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8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выполнение работ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«ОКПД2 43.21.10.140 Поставка, монтаж, наладка технических средств локальной системы оповещения населения Камской ГЭС</w:t>
      </w:r>
      <w:r>
        <w:rPr>
          <w:rFonts w:eastAsia="Calibri"/>
          <w:b/>
          <w:sz w:val="26"/>
          <w:szCs w:val="26"/>
        </w:rPr>
        <w:t>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  <w:r>
        <w:br w:type="page"/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7"/>
              <w:sz w:val="20"/>
              <w:szCs w:val="20"/>
              <w:vanish w:val="false"/>
            </w:rPr>
            <w:instrText xml:space="preserve"> TOC \z \o "1-4" \u \h</w:instrText>
          </w:r>
          <w:r>
            <w:rPr>
              <w:webHidden/>
              <w:rStyle w:val="Style17"/>
              <w:sz w:val="20"/>
              <w:szCs w:val="20"/>
              <w:vanish w:val="false"/>
            </w:rPr>
            <w:fldChar w:fldCharType="separate"/>
          </w:r>
          <w:hyperlink w:anchor="__RefHeading___Toc54646395">
            <w:r>
              <w:rPr>
                <w:webHidden/>
                <w:rStyle w:val="Style17"/>
                <w:vanish w:val="false"/>
                <w:sz w:val="20"/>
                <w:szCs w:val="20"/>
              </w:rPr>
              <w:t>1.</w:t>
            </w:r>
            <w:r>
              <w:rPr>
                <w:rStyle w:val="Style17"/>
                <w:rFonts w:eastAsia="PMingLiU" w:cs="Arial"/>
                <w:sz w:val="20"/>
                <w:szCs w:val="20"/>
              </w:rPr>
              <w:tab/>
            </w:r>
            <w:r>
              <w:rPr>
                <w:rStyle w:val="Style17"/>
                <w:sz w:val="20"/>
                <w:szCs w:val="20"/>
              </w:rPr>
              <w:t>Общие сведения</w:t>
              <w:tab/>
              <w:t>2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54646396">
            <w:r>
              <w:rPr>
                <w:webHidden/>
                <w:rStyle w:val="Style17"/>
                <w:iCs/>
                <w:vanish w:val="false"/>
              </w:rPr>
              <w:t>1.1.</w:t>
            </w:r>
            <w:r>
              <w:rPr>
                <w:rStyle w:val="Style17"/>
                <w:rFonts w:eastAsia="PMingLiU" w:cs="Arial"/>
              </w:rPr>
              <w:tab/>
            </w:r>
            <w:r>
              <w:rPr>
                <w:rStyle w:val="Style17"/>
              </w:rPr>
              <w:t>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54646397">
            <w:r>
              <w:rPr>
                <w:webHidden/>
                <w:rStyle w:val="Style17"/>
                <w:iCs/>
                <w:vanish w:val="false"/>
              </w:rPr>
              <w:t>1.2.</w:t>
            </w:r>
            <w:r>
              <w:rPr>
                <w:rStyle w:val="Style17"/>
                <w:rFonts w:eastAsia="PMingLiU" w:cs="Arial"/>
              </w:rPr>
              <w:tab/>
            </w:r>
            <w:r>
              <w:rPr>
                <w:rStyle w:val="Style17"/>
              </w:rPr>
              <w:t>Наименование закупаемой продукции</w:t>
              <w:tab/>
            </w:r>
            <w:r>
              <w:rPr>
                <w:rStyle w:val="Style17"/>
                <w:rFonts w:eastAsia="PMingLiU" w:cs="Arial"/>
              </w:rPr>
              <w:t>4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54646398">
            <w:r>
              <w:rPr>
                <w:webHidden/>
                <w:rStyle w:val="Style17"/>
                <w:iCs/>
                <w:vanish w:val="false"/>
              </w:rPr>
              <w:t>1.3.</w:t>
            </w:r>
            <w:r>
              <w:rPr>
                <w:rStyle w:val="Style17"/>
                <w:rFonts w:eastAsia="PMingLiU" w:cs="Arial"/>
              </w:rPr>
              <w:tab/>
            </w:r>
            <w:r>
              <w:rPr>
                <w:rStyle w:val="Style17"/>
              </w:rPr>
              <w:t xml:space="preserve">Цель выполнения работ </w:t>
              <w:tab/>
            </w:r>
          </w:hyperlink>
          <w:r>
            <w:rPr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54646399">
            <w:r>
              <w:rPr>
                <w:webHidden/>
                <w:rStyle w:val="Style17"/>
                <w:iCs/>
                <w:vanish w:val="false"/>
              </w:rPr>
              <w:t>1.4.</w:t>
            </w:r>
            <w:r>
              <w:rPr>
                <w:rStyle w:val="Style17"/>
                <w:rFonts w:eastAsia="PMingLiU" w:cs="Arial"/>
              </w:rPr>
              <w:tab/>
            </w:r>
            <w:r>
              <w:rPr>
                <w:rStyle w:val="Style17"/>
              </w:rPr>
              <w:t xml:space="preserve">Существующее положение </w:t>
              <w:tab/>
            </w:r>
          </w:hyperlink>
          <w:r>
            <w:rPr/>
            <w:t>4</w:t>
          </w:r>
        </w:p>
        <w:p>
          <w:pPr>
            <w:pStyle w:val="TOC1"/>
            <w:widowControl/>
            <w:tabs>
              <w:tab w:val="clear" w:pos="708"/>
              <w:tab w:val="right" w:pos="9911" w:leader="dot"/>
            </w:tabs>
            <w:rPr/>
          </w:pPr>
          <w:r>
            <w:rPr>
              <w:sz w:val="20"/>
              <w:szCs w:val="20"/>
            </w:rPr>
            <w:t>Таблица 1. Перечень объектов заказчика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54646401">
            <w:r>
              <w:rPr>
                <w:webHidden/>
                <w:rStyle w:val="Style17"/>
                <w:iCs/>
                <w:vanish w:val="false"/>
              </w:rPr>
              <w:t>1.5.</w:t>
            </w:r>
            <w:r>
              <w:rPr>
                <w:rStyle w:val="Style17"/>
                <w:rFonts w:eastAsia="PMingLiU" w:cs="Arial"/>
              </w:rPr>
              <w:tab/>
            </w:r>
            <w:r>
              <w:rPr>
                <w:rStyle w:val="Style17"/>
              </w:rPr>
  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      <w:tab/>
              <w:t>5</w:t>
            </w:r>
          </w:hyperlink>
        </w:p>
        <w:p>
          <w:pPr>
            <w:pStyle w:val="TOC1"/>
            <w:keepLines/>
            <w:tabs>
              <w:tab w:val="clear" w:pos="708"/>
              <w:tab w:val="left" w:pos="560" w:leader="none"/>
              <w:tab w:val="right" w:pos="9911" w:leader="dot"/>
            </w:tabs>
            <w:rPr>
              <w:rFonts w:cs="Times New Roman"/>
            </w:rPr>
          </w:pPr>
          <w:hyperlink w:anchor="__RefHeading___Toc54646403">
            <w:r>
              <w:rPr>
                <w:webHidden/>
                <w:rStyle w:val="Style17"/>
                <w:vanish w:val="false"/>
                <w:sz w:val="20"/>
                <w:szCs w:val="20"/>
              </w:rPr>
              <w:t>2.</w:t>
            </w:r>
            <w:r>
              <w:rPr>
                <w:rStyle w:val="Style17"/>
                <w:rFonts w:eastAsia="PMingLiU" w:cs="Arial"/>
                <w:sz w:val="20"/>
                <w:szCs w:val="20"/>
              </w:rPr>
              <w:tab/>
            </w:r>
            <w:r>
              <w:rPr>
                <w:rStyle w:val="Style17"/>
                <w:iCs/>
                <w:sz w:val="20"/>
                <w:szCs w:val="20"/>
              </w:rPr>
              <w:t>Требования к продукции</w:t>
            </w:r>
            <w:r>
              <w:rPr>
                <w:rStyle w:val="Style17"/>
                <w:sz w:val="20"/>
                <w:szCs w:val="20"/>
              </w:rPr>
              <w:tab/>
            </w:r>
          </w:hyperlink>
          <w:r>
            <w:rPr>
              <w:sz w:val="20"/>
              <w:szCs w:val="20"/>
            </w:rPr>
            <w:t>6</w:t>
          </w:r>
        </w:p>
        <w:p>
          <w:pPr>
            <w:pStyle w:val="TOC3"/>
            <w:keepLines/>
            <w:tabs>
              <w:tab w:val="clear" w:pos="708"/>
              <w:tab w:val="left" w:pos="1120" w:leader="none"/>
              <w:tab w:val="right" w:pos="9911" w:leader="dot"/>
            </w:tabs>
            <w:rPr>
              <w:rFonts w:cs="Times New Roman"/>
            </w:rPr>
          </w:pPr>
          <w:r>
            <w:rPr>
              <w:rFonts w:cs="Times New Roman"/>
            </w:rPr>
            <w:t xml:space="preserve">      </w:t>
          </w:r>
          <w:hyperlink w:anchor="__RefHeading___Toc54646405">
            <w:r>
              <w:rPr>
                <w:webHidden/>
                <w:rStyle w:val="Style17"/>
                <w:vanish w:val="false"/>
              </w:rPr>
              <w:t>2.1.1.</w:t>
            </w:r>
            <w:r>
              <w:rPr>
                <w:rStyle w:val="Style17"/>
                <w:rFonts w:eastAsia="PMingLiU" w:cs="Arial"/>
              </w:rPr>
              <w:tab/>
            </w:r>
            <w:r>
              <w:rPr>
                <w:rStyle w:val="Style17"/>
              </w:rPr>
              <w:t>Требования к видам и объемам работ</w:t>
              <w:tab/>
            </w:r>
          </w:hyperlink>
          <w:r>
            <w:rPr/>
            <w:t>6</w:t>
          </w:r>
        </w:p>
        <w:p>
          <w:pPr>
            <w:pStyle w:val="TOC1"/>
            <w:keepLines/>
            <w:tabs>
              <w:tab w:val="clear" w:pos="708"/>
              <w:tab w:val="right" w:pos="9911" w:leader="dot"/>
            </w:tabs>
            <w:rPr>
              <w:rFonts w:cs="Times New Roman"/>
            </w:rPr>
          </w:pPr>
          <w:r>
            <w:rPr>
              <w:rFonts w:cs="Times New Roman"/>
              <w:sz w:val="20"/>
              <w:szCs w:val="20"/>
            </w:rPr>
            <w:t xml:space="preserve">            </w:t>
          </w:r>
          <w:hyperlink w:anchor="__RefHeading___Toc54646406">
            <w:r>
              <w:rPr>
                <w:webHidden/>
                <w:rStyle w:val="Style17"/>
                <w:vanish w:val="false"/>
                <w:sz w:val="20"/>
                <w:szCs w:val="20"/>
              </w:rPr>
              <w:t>Таблица 2. Перечень и объем выполняемых работ</w:t>
              <w:tab/>
            </w:r>
          </w:hyperlink>
          <w:r>
            <w:rPr>
              <w:sz w:val="20"/>
              <w:szCs w:val="20"/>
            </w:rPr>
            <w:t>7</w:t>
          </w:r>
        </w:p>
        <w:p>
          <w:pPr>
            <w:pStyle w:val="TOC3"/>
            <w:keepLines/>
            <w:tabs>
              <w:tab w:val="clear" w:pos="708"/>
              <w:tab w:val="left" w:pos="1120" w:leader="none"/>
              <w:tab w:val="right" w:pos="9911" w:leader="dot"/>
            </w:tabs>
            <w:rPr>
              <w:rFonts w:cs="Times New Roman"/>
            </w:rPr>
          </w:pPr>
          <w:r>
            <w:rPr>
              <w:rFonts w:cs="Times New Roman"/>
            </w:rPr>
            <w:t xml:space="preserve">      </w:t>
          </w:r>
          <w:hyperlink w:anchor="__RefHeading___Toc54646407">
            <w:r>
              <w:rPr>
                <w:webHidden/>
                <w:rStyle w:val="Style17"/>
                <w:vanish w:val="false"/>
              </w:rPr>
              <w:t>2.1.2.</w:t>
            </w:r>
            <w:r>
              <w:rPr>
                <w:rStyle w:val="Style17"/>
                <w:rFonts w:eastAsia="PMingLiU" w:cs="Arial"/>
              </w:rPr>
              <w:tab/>
            </w:r>
            <w:r>
              <w:rPr>
                <w:rStyle w:val="Style17"/>
              </w:rPr>
              <w:t>Требования к срокам выполнения работ</w:t>
              <w:tab/>
            </w:r>
          </w:hyperlink>
          <w:r>
            <w:rPr/>
            <w:t>7</w:t>
          </w:r>
        </w:p>
        <w:p>
          <w:pPr>
            <w:pStyle w:val="TOC1"/>
            <w:keepLines/>
            <w:tabs>
              <w:tab w:val="clear" w:pos="708"/>
              <w:tab w:val="right" w:pos="9911" w:leader="dot"/>
            </w:tabs>
            <w:rPr>
              <w:rFonts w:cs="Times New Roman"/>
              <w:iCs/>
            </w:rPr>
          </w:pPr>
          <w:r>
            <w:rPr>
              <w:rFonts w:cs="Times New Roman"/>
              <w:sz w:val="20"/>
              <w:szCs w:val="20"/>
            </w:rPr>
            <w:t xml:space="preserve">            </w:t>
          </w:r>
          <w:hyperlink w:anchor="__RefHeading___Toc54646408">
            <w:r>
              <w:rPr>
                <w:webHidden/>
                <w:rStyle w:val="Style17"/>
                <w:vanish w:val="false"/>
                <w:sz w:val="20"/>
                <w:szCs w:val="20"/>
              </w:rPr>
              <w:t>Таблица 3. Требования по срокам выполнения работ</w:t>
              <w:tab/>
            </w:r>
          </w:hyperlink>
          <w:r>
            <w:rPr>
              <w:sz w:val="20"/>
              <w:szCs w:val="20"/>
            </w:rPr>
            <w:t>8</w:t>
          </w:r>
        </w:p>
        <w:p>
          <w:pPr>
            <w:pStyle w:val="TOC4"/>
            <w:keepLines/>
            <w:tabs>
              <w:tab w:val="clear" w:pos="708"/>
              <w:tab w:val="left" w:pos="1120" w:leader="none"/>
              <w:tab w:val="right" w:pos="9911" w:leader="dot"/>
            </w:tabs>
            <w:ind w:left="0"/>
            <w:rPr>
              <w:rFonts w:cs="Times New Roman"/>
            </w:rPr>
          </w:pPr>
          <w:r>
            <w:rPr>
              <w:rFonts w:cs="Times New Roman"/>
              <w:iCs/>
            </w:rPr>
            <w:t xml:space="preserve">            </w:t>
          </w:r>
          <w:hyperlink w:anchor="__RefHeading___Toc54646409">
            <w:r>
              <w:rPr>
                <w:webHidden/>
                <w:rStyle w:val="Style17"/>
                <w:iCs/>
                <w:vanish w:val="false"/>
              </w:rPr>
              <w:t>2.2.</w:t>
            </w:r>
            <w:r>
              <w:rPr>
                <w:rStyle w:val="Style17"/>
                <w:rFonts w:eastAsia="PMingLiU" w:cs="Arial"/>
              </w:rPr>
              <w:tab/>
            </w:r>
            <w:r>
              <w:rPr>
                <w:rStyle w:val="Style17"/>
              </w:rPr>
              <w:t>Требования к качеству работ</w:t>
              <w:tab/>
              <w:t>8</w:t>
            </w:r>
          </w:hyperlink>
        </w:p>
        <w:p>
          <w:pPr>
            <w:pStyle w:val="TOC1"/>
            <w:keepLines/>
            <w:tabs>
              <w:tab w:val="clear" w:pos="708"/>
              <w:tab w:val="right" w:pos="9911" w:leader="dot"/>
            </w:tabs>
            <w:rPr/>
          </w:pPr>
          <w:r>
            <w:rPr>
              <w:rFonts w:cs="Times New Roman"/>
              <w:sz w:val="20"/>
              <w:szCs w:val="20"/>
            </w:rPr>
            <w:t xml:space="preserve">            </w:t>
          </w:r>
          <w:hyperlink w:anchor="__RefHeading___Toc54646410">
            <w:r>
              <w:rPr>
                <w:webHidden/>
                <w:rStyle w:val="Style17"/>
                <w:vanish w:val="false"/>
                <w:sz w:val="20"/>
                <w:szCs w:val="20"/>
              </w:rPr>
              <w:t>Таблица 4. Требования к качеству работ</w:t>
              <w:tab/>
              <w:t>8</w:t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_RefHeading___Toc54646411">
            <w:r>
              <w:rPr>
                <w:webHidden/>
                <w:rStyle w:val="Style17"/>
                <w:vanish w:val="false"/>
                <w:sz w:val="20"/>
                <w:szCs w:val="20"/>
              </w:rPr>
              <w:t>3.</w:t>
            </w:r>
            <w:r>
              <w:rPr>
                <w:rStyle w:val="Style17"/>
                <w:rFonts w:eastAsia="PMingLiU" w:cs="Arial"/>
                <w:sz w:val="20"/>
                <w:szCs w:val="20"/>
              </w:rPr>
              <w:tab/>
            </w:r>
            <w:r>
              <w:rPr>
                <w:rStyle w:val="Style17"/>
                <w:sz w:val="20"/>
                <w:szCs w:val="20"/>
              </w:rPr>
              <w:t>Требования к документации по ценообразованию на этапе закупки</w:t>
              <w:tab/>
              <w:t>2</w:t>
            </w:r>
          </w:hyperlink>
          <w:r>
            <w:rPr>
              <w:sz w:val="20"/>
              <w:szCs w:val="20"/>
            </w:rPr>
            <w:t>8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_RefHeading___Toc54646412">
            <w:r>
              <w:rPr>
                <w:webHidden/>
                <w:rStyle w:val="Style17"/>
                <w:vanish w:val="false"/>
                <w:sz w:val="20"/>
                <w:szCs w:val="20"/>
              </w:rPr>
              <w:t>4.</w:t>
            </w:r>
            <w:r>
              <w:rPr>
                <w:rStyle w:val="Style17"/>
                <w:rFonts w:eastAsia="PMingLiU" w:cs="Arial"/>
                <w:sz w:val="20"/>
                <w:szCs w:val="20"/>
              </w:rPr>
              <w:tab/>
            </w:r>
            <w:r>
              <w:rPr>
                <w:rStyle w:val="Style17"/>
                <w:sz w:val="20"/>
                <w:szCs w:val="20"/>
              </w:rPr>
              <w:t>Требования к документации по ценообразованию на этапе заключения (исполнения) договора</w:t>
              <w:tab/>
            </w:r>
          </w:hyperlink>
          <w:r>
            <w:rPr>
              <w:sz w:val="20"/>
              <w:szCs w:val="20"/>
            </w:rPr>
            <w:t>29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sz w:val="20"/>
              <w:szCs w:val="20"/>
            </w:rPr>
          </w:pPr>
          <w:hyperlink w:anchor="__RefHeading___Toc54646413">
            <w:r>
              <w:rPr>
                <w:webHidden/>
                <w:rStyle w:val="Style17"/>
                <w:vanish w:val="false"/>
                <w:sz w:val="20"/>
                <w:szCs w:val="20"/>
              </w:rPr>
              <w:t>5.</w:t>
            </w:r>
            <w:r>
              <w:rPr>
                <w:rStyle w:val="Style17"/>
                <w:rFonts w:eastAsia="PMingLiU" w:cs="Arial"/>
                <w:sz w:val="20"/>
                <w:szCs w:val="20"/>
              </w:rPr>
              <w:tab/>
            </w:r>
            <w:r>
              <w:rPr>
                <w:rStyle w:val="Style17"/>
                <w:iCs/>
                <w:sz w:val="20"/>
                <w:szCs w:val="20"/>
              </w:rPr>
              <w:t>Приложения</w:t>
            </w:r>
            <w:r>
              <w:rPr>
                <w:rStyle w:val="Style17"/>
                <w:sz w:val="20"/>
                <w:szCs w:val="20"/>
              </w:rPr>
              <w:tab/>
              <w:t>3</w:t>
            </w:r>
          </w:hyperlink>
          <w:r>
            <w:rPr>
              <w:sz w:val="20"/>
              <w:szCs w:val="20"/>
            </w:rPr>
            <w:t>0</w:t>
          </w:r>
          <w:r>
            <w:rPr>
              <w:sz w:val="20"/>
              <w:szCs w:val="20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4"/>
        </w:numPr>
        <w:ind w:hanging="357" w:left="357"/>
        <w:jc w:val="center"/>
        <w:rPr/>
      </w:pPr>
      <w:bookmarkStart w:id="0" w:name="__RefHeading___Toc54646395"/>
      <w:bookmarkEnd w:id="0"/>
      <w:r>
        <w:rPr>
          <w:lang w:val="ru-RU"/>
        </w:rPr>
        <w:t>Общие сведения</w:t>
      </w:r>
    </w:p>
    <w:p>
      <w:pPr>
        <w:pStyle w:val="Heading4"/>
        <w:numPr>
          <w:ilvl w:val="1"/>
          <w:numId w:val="4"/>
        </w:numPr>
        <w:rPr>
          <w:iCs/>
          <w:sz w:val="26"/>
          <w:szCs w:val="26"/>
        </w:rPr>
      </w:pPr>
      <w:bookmarkStart w:id="1" w:name="__RefHeading___Toc54646396"/>
      <w:bookmarkEnd w:id="1"/>
      <w:r>
        <w:rPr/>
        <w:t>Обозначения и сокращения</w:t>
      </w:r>
    </w:p>
    <w:p>
      <w:pPr>
        <w:pStyle w:val="Normal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</w:r>
    </w:p>
    <w:tbl>
      <w:tblPr>
        <w:tblW w:w="5000" w:type="pct"/>
        <w:jc w:val="left"/>
        <w:tblInd w:w="-1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08"/>
        <w:gridCol w:w="8112"/>
      </w:tblGrid>
      <w:tr>
        <w:trPr>
          <w:cantSplit w:val="true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Style w:val="Style11"/>
                <w:b w:val="false"/>
                <w:bCs/>
                <w:i w:val="false"/>
                <w:sz w:val="24"/>
                <w:szCs w:val="24"/>
                <w:shd w:fill="auto" w:val="clear"/>
              </w:rPr>
              <w:t>АСУ ТП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rStyle w:val="Style11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автоматизированная система управления технологическим процессом;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Style w:val="Style11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ГЩУ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главный щит управления;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ЕДДС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единая дежурно-диспетчерская служба;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ЛАЗ ВЧ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линейно-аппаратный зал высокочастотной связи;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ЛВС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локальная вычислительная сеть;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ЛСО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локальная система оповещения;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МТР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материально-технические ресурсы;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МЧС РФ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Министерство по чрезвычайным ситуациям Российской Федерации;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ПНР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 xml:space="preserve">– </w:t>
            </w:r>
            <w:r>
              <w:rPr>
                <w:bCs/>
                <w:iCs/>
                <w:sz w:val="24"/>
                <w:szCs w:val="24"/>
              </w:rPr>
              <w:t>пуско-наладочные работы;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ПО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программное обеспечение;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РАСЦО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региональная автоматизированная система централизованного оповещения;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РД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>рабочая документация;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РУО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>речевой узел оповещения;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СМР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>строительно-монтажные работы;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СРО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>саморегулируемые организации;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МСО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муниципальная система оповещения;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МО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>муниципальное образование;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ОПО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опасный производственный объект;</w:t>
            </w:r>
          </w:p>
        </w:tc>
      </w:tr>
      <w:tr>
        <w:trPr>
          <w:trHeight w:val="565" w:hRule="atLeast"/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РСО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>региональная система оповещения;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ТЗ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техническое задание;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ТСО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технические средства оповещения населения;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ПСД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проектно-сметная документация;</w:t>
            </w:r>
          </w:p>
        </w:tc>
      </w:tr>
      <w:tr>
        <w:trPr>
          <w:cantSplit w:val="true"/>
        </w:trPr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  <w:sz w:val="24"/>
                <w:szCs w:val="24"/>
              </w:rPr>
              <w:t>ПТД</w:t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  <w:sz w:val="24"/>
                <w:szCs w:val="24"/>
              </w:rPr>
              <w:t>проектно-техническая документация;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4"/>
        </w:numPr>
        <w:rPr>
          <w:lang w:eastAsia="en-US"/>
        </w:rPr>
      </w:pPr>
      <w:bookmarkStart w:id="2" w:name="__RefHeading___Toc54646397"/>
      <w:bookmarkEnd w:id="2"/>
      <w:r>
        <w:rPr/>
        <w:t xml:space="preserve">Наименование закупаемой </w:t>
      </w:r>
      <w:r>
        <w:rPr>
          <w:lang w:val="ru-RU"/>
        </w:rPr>
        <w:t>продукции</w:t>
      </w:r>
    </w:p>
    <w:p>
      <w:pPr>
        <w:pStyle w:val="Normal"/>
        <w:tabs>
          <w:tab w:val="clear" w:pos="708"/>
          <w:tab w:val="left" w:pos="426" w:leader="none"/>
        </w:tabs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Поставка, монтаж, наладка технических средств локальной системы оповещения Камской ГЭС</w:t>
      </w:r>
    </w:p>
    <w:p>
      <w:pPr>
        <w:pStyle w:val="Normal"/>
        <w:tabs>
          <w:tab w:val="clear" w:pos="708"/>
          <w:tab w:val="left" w:pos="426" w:leader="none"/>
        </w:tabs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</w:r>
    </w:p>
    <w:p>
      <w:pPr>
        <w:pStyle w:val="Normal"/>
        <w:tabs>
          <w:tab w:val="clear" w:pos="708"/>
          <w:tab w:val="left" w:pos="426" w:leader="none"/>
        </w:tabs>
        <w:rPr/>
      </w:pPr>
      <w:r>
        <w:rPr>
          <w:rFonts w:eastAsia="Calibri"/>
          <w:b/>
          <w:bCs/>
          <w:sz w:val="24"/>
          <w:szCs w:val="24"/>
          <w:lang w:eastAsia="en-US"/>
        </w:rPr>
        <w:t xml:space="preserve">1.3 </w:t>
      </w:r>
      <w:r>
        <w:rPr>
          <w:b/>
          <w:bCs/>
          <w:sz w:val="24"/>
          <w:szCs w:val="24"/>
        </w:rPr>
        <w:t xml:space="preserve">Цель выполнения работ </w:t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</w:rPr>
        <w:t xml:space="preserve">Основной целью </w:t>
      </w:r>
      <w:r>
        <w:rPr>
          <w:rFonts w:eastAsia="Calibri"/>
          <w:sz w:val="24"/>
          <w:szCs w:val="24"/>
          <w:lang w:eastAsia="en-US"/>
        </w:rPr>
        <w:t>выполнения работ проекта является:</w:t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а)</w:t>
        <w:tab/>
        <w:t xml:space="preserve">техническое перевооружение локальной системы оповещения Камской ГЭС в соответствии действующими нормативными документами: 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426" w:leader="none"/>
        </w:tabs>
        <w:ind w:hanging="284" w:left="426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Постановление Правительства Российской Федерации от 17 мая 2023 г. N 769 " Правила создания, реконструкции и поддержания в состоянии постоянной готовности к использованию систем оповещения населения"; 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426" w:leader="none"/>
        </w:tabs>
        <w:ind w:hanging="284" w:left="426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ГОСТ Р 22.7.05-2022 Безопасность в чрезвычайных ситуациях. Локальные системы оповещения в районах размещения потенциально опасных объектов. Общие требования;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426" w:leader="none"/>
        </w:tabs>
        <w:ind w:hanging="284" w:left="426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"Методические рекомендации по поддержанию в состоянии постоянной готовности к использованию систем оповещения населения" Утверждены протоколом заседания рабочей группы Правительственной комиссии по предупреждению и ликвидации чрезвычайных ситуаций и обеспечению пожарной безопасности по координации создания и поддержания в постоянной готовности систем оповещения населения от 26.06.2024 N 2;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426" w:leader="none"/>
        </w:tabs>
        <w:ind w:hanging="284" w:left="426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Приказ МЧС России N 578, Минкомсвязи России N 365 от 31.07.2020 "Об утверждении Положения о системах оповещения населения";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426" w:leader="none"/>
        </w:tabs>
        <w:ind w:hanging="284" w:left="426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Приказ МЧС России N 579, Минкомсвязи России N 366 от 31.07.2020 "Об утверждении Положения по организации эксплуатационно-технического обслуживания</w:t>
      </w:r>
      <w:r>
        <w:rPr>
          <w:sz w:val="24"/>
          <w:szCs w:val="24"/>
        </w:rPr>
        <w:t xml:space="preserve"> систем оповещения населения".</w:t>
      </w:r>
    </w:p>
    <w:p>
      <w:pPr>
        <w:pStyle w:val="Normal"/>
        <w:tabs>
          <w:tab w:val="clear" w:pos="708"/>
          <w:tab w:val="left" w:pos="426" w:leader="none"/>
        </w:tabs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б)</w:t>
        <w:tab/>
        <w:t>демонтаж, существующий локальной системы оповещения.</w:t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jc w:val="both"/>
        <w:rPr>
          <w:sz w:val="24"/>
        </w:rPr>
      </w:pPr>
      <w:r>
        <w:rPr>
          <w:sz w:val="24"/>
        </w:rPr>
        <w:t>Решаемые задачи в рамках реализации работ:</w:t>
      </w:r>
    </w:p>
    <w:p>
      <w:pPr>
        <w:pStyle w:val="ListParagraph"/>
        <w:widowControl/>
        <w:numPr>
          <w:ilvl w:val="0"/>
          <w:numId w:val="11"/>
        </w:numPr>
        <w:tabs>
          <w:tab w:val="clear" w:pos="708"/>
          <w:tab w:val="left" w:pos="567" w:leader="none"/>
          <w:tab w:val="left" w:pos="709" w:leader="none"/>
        </w:tabs>
        <w:spacing w:before="0" w:after="0"/>
        <w:ind w:hanging="283" w:left="567"/>
        <w:contextualSpacing/>
        <w:jc w:val="both"/>
        <w:rPr>
          <w:sz w:val="24"/>
        </w:rPr>
      </w:pPr>
      <w:r>
        <w:rPr>
          <w:bCs/>
          <w:sz w:val="24"/>
        </w:rPr>
        <w:t>сопряжение ЛСО Камской ГЭС с региональной системой оповещения Пермского края</w:t>
      </w:r>
      <w:r>
        <w:rPr>
          <w:sz w:val="24"/>
        </w:rPr>
        <w:t>;</w:t>
      </w:r>
    </w:p>
    <w:p>
      <w:pPr>
        <w:pStyle w:val="ListParagraph"/>
        <w:widowControl/>
        <w:numPr>
          <w:ilvl w:val="0"/>
          <w:numId w:val="11"/>
        </w:numPr>
        <w:tabs>
          <w:tab w:val="clear" w:pos="708"/>
          <w:tab w:val="left" w:pos="567" w:leader="none"/>
          <w:tab w:val="left" w:pos="709" w:leader="none"/>
        </w:tabs>
        <w:spacing w:before="0" w:after="0"/>
        <w:ind w:hanging="283" w:left="567"/>
        <w:contextualSpacing/>
        <w:jc w:val="both"/>
        <w:rPr>
          <w:sz w:val="24"/>
        </w:rPr>
      </w:pPr>
      <w:r>
        <w:rPr>
          <w:sz w:val="24"/>
        </w:rPr>
        <w:t>реализация импортозамещения и унификация применяемого оборудования для сокращения эксплуатационных затрат;</w:t>
      </w:r>
    </w:p>
    <w:p>
      <w:pPr>
        <w:pStyle w:val="ListParagraph"/>
        <w:widowControl/>
        <w:numPr>
          <w:ilvl w:val="0"/>
          <w:numId w:val="10"/>
        </w:numPr>
        <w:tabs>
          <w:tab w:val="clear" w:pos="708"/>
          <w:tab w:val="left" w:pos="567" w:leader="none"/>
          <w:tab w:val="left" w:pos="709" w:leader="none"/>
        </w:tabs>
        <w:spacing w:before="0" w:after="0"/>
        <w:ind w:hanging="283" w:left="567"/>
        <w:contextualSpacing/>
        <w:jc w:val="both"/>
        <w:rPr>
          <w:sz w:val="24"/>
        </w:rPr>
      </w:pPr>
      <w:r>
        <w:rPr>
          <w:sz w:val="24"/>
        </w:rPr>
        <w:t>обеспечение отказоустойчивости: надежности (коэффициент готовности одного направления оповещения не менее 0,999, живучесть (вероятность живучести одного направления оповещения не менее 0,99);</w:t>
      </w:r>
    </w:p>
    <w:p>
      <w:pPr>
        <w:pStyle w:val="ListParagraph"/>
        <w:widowControl/>
        <w:numPr>
          <w:ilvl w:val="0"/>
          <w:numId w:val="10"/>
        </w:numPr>
        <w:tabs>
          <w:tab w:val="clear" w:pos="708"/>
          <w:tab w:val="left" w:pos="567" w:leader="none"/>
          <w:tab w:val="left" w:pos="709" w:leader="none"/>
        </w:tabs>
        <w:spacing w:before="0" w:after="0"/>
        <w:ind w:hanging="283" w:left="567"/>
        <w:contextualSpacing/>
        <w:jc w:val="both"/>
        <w:rPr>
          <w:sz w:val="24"/>
        </w:rPr>
      </w:pPr>
      <w:r>
        <w:rPr>
          <w:sz w:val="24"/>
        </w:rPr>
        <w:t>увеличение доступности и помехозащищённости каналов связи до объектов ЛСО</w:t>
      </w:r>
      <w:r>
        <w:rPr/>
        <w:t xml:space="preserve"> </w:t>
      </w:r>
      <w:r>
        <w:rPr>
          <w:sz w:val="24"/>
        </w:rPr>
        <w:t>в период действия режима "беспилотная опасность";</w:t>
      </w:r>
    </w:p>
    <w:p>
      <w:pPr>
        <w:pStyle w:val="ListParagraph"/>
        <w:widowControl/>
        <w:numPr>
          <w:ilvl w:val="0"/>
          <w:numId w:val="10"/>
        </w:numPr>
        <w:tabs>
          <w:tab w:val="clear" w:pos="708"/>
          <w:tab w:val="left" w:pos="567" w:leader="none"/>
          <w:tab w:val="left" w:pos="709" w:leader="none"/>
        </w:tabs>
        <w:spacing w:before="0" w:after="0"/>
        <w:ind w:hanging="283" w:left="567"/>
        <w:contextualSpacing/>
        <w:jc w:val="both"/>
        <w:rPr>
          <w:sz w:val="24"/>
        </w:rPr>
      </w:pPr>
      <w:r>
        <w:rPr>
          <w:sz w:val="24"/>
        </w:rPr>
        <w:t>автоматическое диагностирование наличия электропитания и состояния технических средств на объектах ЛСО;</w:t>
      </w:r>
    </w:p>
    <w:p>
      <w:pPr>
        <w:pStyle w:val="ListParagraph"/>
        <w:widowControl/>
        <w:numPr>
          <w:ilvl w:val="0"/>
          <w:numId w:val="10"/>
        </w:numPr>
        <w:tabs>
          <w:tab w:val="clear" w:pos="708"/>
          <w:tab w:val="left" w:pos="567" w:leader="none"/>
          <w:tab w:val="left" w:pos="709" w:leader="none"/>
        </w:tabs>
        <w:spacing w:before="0" w:after="0"/>
        <w:ind w:hanging="283" w:left="567"/>
        <w:contextualSpacing/>
        <w:jc w:val="both"/>
        <w:rPr>
          <w:sz w:val="24"/>
        </w:rPr>
      </w:pPr>
      <w:r>
        <w:rPr>
          <w:sz w:val="24"/>
        </w:rPr>
        <w:t>обеспечение защиты информации в ЛСО не ниже 3 класса защищенности КИИ;</w:t>
      </w:r>
    </w:p>
    <w:p>
      <w:pPr>
        <w:pStyle w:val="ListParagraph"/>
        <w:widowControl/>
        <w:numPr>
          <w:ilvl w:val="0"/>
          <w:numId w:val="10"/>
        </w:numPr>
        <w:tabs>
          <w:tab w:val="clear" w:pos="708"/>
          <w:tab w:val="left" w:pos="567" w:leader="none"/>
          <w:tab w:val="left" w:pos="709" w:leader="none"/>
        </w:tabs>
        <w:spacing w:before="0" w:after="0"/>
        <w:ind w:hanging="283" w:left="567"/>
        <w:contextualSpacing/>
        <w:jc w:val="both"/>
        <w:rPr>
          <w:sz w:val="24"/>
        </w:rPr>
      </w:pPr>
      <w:r>
        <w:rPr>
          <w:sz w:val="24"/>
        </w:rPr>
        <w:t>категорирование объекта КИИ ЛСО;</w:t>
      </w:r>
    </w:p>
    <w:p>
      <w:pPr>
        <w:pStyle w:val="ListParagraph"/>
        <w:widowControl/>
        <w:numPr>
          <w:ilvl w:val="0"/>
          <w:numId w:val="10"/>
        </w:numPr>
        <w:tabs>
          <w:tab w:val="clear" w:pos="708"/>
          <w:tab w:val="left" w:pos="567" w:leader="none"/>
          <w:tab w:val="left" w:pos="709" w:leader="none"/>
        </w:tabs>
        <w:spacing w:before="0" w:after="0"/>
        <w:ind w:hanging="283" w:left="567"/>
        <w:contextualSpacing/>
        <w:jc w:val="both"/>
        <w:rPr>
          <w:sz w:val="24"/>
        </w:rPr>
      </w:pPr>
      <w:r>
        <w:rPr>
          <w:sz w:val="24"/>
        </w:rPr>
        <w:t>размещение технических средств оповещения на мачтах Филиала.</w:t>
      </w:r>
    </w:p>
    <w:p>
      <w:pPr>
        <w:pStyle w:val="Normal"/>
        <w:tabs>
          <w:tab w:val="clear" w:pos="708"/>
          <w:tab w:val="left" w:pos="426" w:leader="none"/>
        </w:tabs>
        <w:ind w:left="142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Heading4"/>
        <w:numPr>
          <w:ilvl w:val="1"/>
          <w:numId w:val="4"/>
        </w:numPr>
        <w:rPr>
          <w:b w:val="false"/>
          <w:bCs w:val="false"/>
          <w:lang w:val="ru-RU"/>
        </w:rPr>
      </w:pPr>
      <w:bookmarkStart w:id="3" w:name="__RefHeading___Toc54646399"/>
      <w:bookmarkEnd w:id="3"/>
      <w:r>
        <w:rPr/>
        <w:t>Существующее положение</w:t>
      </w:r>
      <w:r>
        <w:rPr>
          <w:lang w:val="ru-RU"/>
        </w:rPr>
        <w:t xml:space="preserve"> </w:t>
      </w:r>
    </w:p>
    <w:p>
      <w:pPr>
        <w:pStyle w:val="Heading4"/>
        <w:tabs>
          <w:tab w:val="clear" w:pos="0"/>
        </w:tabs>
        <w:ind w:hanging="0" w:left="0"/>
        <w:jc w:val="both"/>
        <w:rPr>
          <w:lang w:val="ru-RU"/>
        </w:rPr>
      </w:pPr>
      <w:r>
        <w:rPr>
          <w:b w:val="false"/>
          <w:bCs w:val="false"/>
          <w:lang w:val="ru-RU"/>
        </w:rPr>
        <w:t>ЛСО Камской ГЭС создана в 2010, в 2018 была произведена модернизация с заменых каналов связи. Основное оборудование модернизации не подвергалось.</w:t>
      </w:r>
    </w:p>
    <w:p>
      <w:pPr>
        <w:pStyle w:val="Normal"/>
        <w:tabs>
          <w:tab w:val="clear" w:pos="708"/>
          <w:tab w:val="left" w:pos="540" w:leader="none"/>
        </w:tabs>
        <w:ind w:firstLine="540" w:right="-24"/>
        <w:jc w:val="both"/>
        <w:rPr>
          <w:sz w:val="24"/>
          <w:szCs w:val="24"/>
        </w:rPr>
      </w:pPr>
      <w:r>
        <w:rPr>
          <w:sz w:val="24"/>
          <w:szCs w:val="24"/>
        </w:rPr>
        <w:t>Локальная система оповещения Камской ГЭС обеспечивает доведение сигналов и информации оповещения до:</w:t>
      </w:r>
    </w:p>
    <w:p>
      <w:pPr>
        <w:pStyle w:val="Normal"/>
        <w:tabs>
          <w:tab w:val="clear" w:pos="708"/>
          <w:tab w:val="left" w:pos="540" w:leader="none"/>
        </w:tabs>
        <w:ind w:firstLine="540" w:right="-24"/>
        <w:jc w:val="both"/>
        <w:rPr>
          <w:sz w:val="24"/>
          <w:szCs w:val="24"/>
        </w:rPr>
      </w:pPr>
      <w:r>
        <w:rPr>
          <w:sz w:val="24"/>
          <w:szCs w:val="24"/>
        </w:rPr>
        <w:t>- руководителей и персонала ГЭС, на территории Камской ГЭС с использованием: громкоговорящей связи, сирен, сотовой связи;</w:t>
      </w:r>
    </w:p>
    <w:p>
      <w:pPr>
        <w:pStyle w:val="Normal"/>
        <w:tabs>
          <w:tab w:val="clear" w:pos="708"/>
          <w:tab w:val="left" w:pos="540" w:leader="none"/>
        </w:tabs>
        <w:ind w:firstLine="540" w:right="-24"/>
        <w:jc w:val="both"/>
        <w:rPr>
          <w:sz w:val="24"/>
          <w:szCs w:val="24"/>
        </w:rPr>
      </w:pPr>
      <w:r>
        <w:rPr>
          <w:sz w:val="24"/>
          <w:szCs w:val="24"/>
        </w:rPr>
        <w:t>- объектовых аварийно-спасательных формирований и формирований гражданской обороны с использованием: громкоговорящей связи, сирен, телефонной связи;</w:t>
      </w:r>
    </w:p>
    <w:p>
      <w:pPr>
        <w:pStyle w:val="Normal"/>
        <w:tabs>
          <w:tab w:val="clear" w:pos="708"/>
          <w:tab w:val="left" w:pos="540" w:leader="none"/>
        </w:tabs>
        <w:ind w:firstLine="540" w:right="-24"/>
        <w:jc w:val="both"/>
        <w:rPr>
          <w:sz w:val="24"/>
          <w:szCs w:val="24"/>
        </w:rPr>
      </w:pPr>
      <w:r>
        <w:rPr>
          <w:sz w:val="24"/>
          <w:szCs w:val="24"/>
        </w:rPr>
        <w:t>- оперативных дежурных ЕДДС г. Пермь с использованием телефонной связи;</w:t>
      </w:r>
    </w:p>
    <w:p>
      <w:pPr>
        <w:pStyle w:val="Normal"/>
        <w:tabs>
          <w:tab w:val="clear" w:pos="708"/>
          <w:tab w:val="left" w:pos="540" w:leader="none"/>
        </w:tabs>
        <w:ind w:firstLine="540" w:right="-24"/>
        <w:jc w:val="both"/>
        <w:rPr>
          <w:sz w:val="24"/>
          <w:szCs w:val="24"/>
        </w:rPr>
      </w:pPr>
      <w:r>
        <w:rPr>
          <w:sz w:val="24"/>
          <w:szCs w:val="24"/>
        </w:rPr>
        <w:t>- персонала (дежурных служб) объектов и населения, расположенных на территории возможного затопления от последствий гидродинамических аварий, на расстоянии до 6 км от гидротехнических сооружений Камской ГЭС, с использованием громкоговорящей связи и сирен.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В состав ЛСО входят: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центральный пункт управления, размещенный в помещении ЛАЗ участка связи и телекоммуникаций (далее - участок СиТК) каб. №330 шкаф №3;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два пункта управления - рабочие места оператора, размещенные в помещениях главного щита управления и защитного сооружения;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шесть речевых пунктов оповещения;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пять электросиренных пунктов оповещения;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один речевой пункт оповещения, расположенный в правобережной башне.</w:t>
      </w:r>
    </w:p>
    <w:p>
      <w:pPr>
        <w:pStyle w:val="Normal"/>
        <w:widowControl w:val="false"/>
        <w:tabs>
          <w:tab w:val="clear" w:pos="708"/>
          <w:tab w:val="left" w:pos="540" w:leader="none"/>
        </w:tabs>
        <w:bidi w:val="0"/>
        <w:spacing w:lineRule="auto" w:line="240" w:before="0" w:after="0"/>
        <w:ind w:firstLine="540" w:right="-24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Сиренные узлы оповещения (СУО):</w:t>
      </w:r>
    </w:p>
    <w:p>
      <w:pPr>
        <w:pStyle w:val="NoSpacing"/>
        <w:widowControl w:val="false"/>
        <w:tabs>
          <w:tab w:val="clear" w:pos="708"/>
          <w:tab w:val="left" w:pos="540" w:leader="none"/>
        </w:tabs>
        <w:bidi w:val="0"/>
        <w:spacing w:lineRule="auto" w:line="240" w:before="0" w:after="0"/>
        <w:ind w:firstLine="540" w:right="-24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СУО 1 - Верхняя Курья, восточнее жилого дома по ул.2-я Линия, 145;</w:t>
      </w:r>
    </w:p>
    <w:p>
      <w:pPr>
        <w:pStyle w:val="NoSpacing"/>
        <w:widowControl w:val="false"/>
        <w:tabs>
          <w:tab w:val="clear" w:pos="708"/>
          <w:tab w:val="left" w:pos="540" w:leader="none"/>
        </w:tabs>
        <w:bidi w:val="0"/>
        <w:spacing w:lineRule="auto" w:line="240" w:before="0" w:after="0"/>
        <w:ind w:firstLine="540" w:right="-24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СУО 2 - м/р Ширяиха восточнее жилого дома, 27;</w:t>
      </w:r>
    </w:p>
    <w:p>
      <w:pPr>
        <w:pStyle w:val="NoSpacing"/>
        <w:widowControl w:val="false"/>
        <w:tabs>
          <w:tab w:val="clear" w:pos="708"/>
          <w:tab w:val="left" w:pos="540" w:leader="none"/>
        </w:tabs>
        <w:bidi w:val="0"/>
        <w:spacing w:lineRule="auto" w:line="240" w:before="0" w:after="0"/>
        <w:ind w:firstLine="540" w:right="-24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СУО 3 - м/р Ширяиха южнее жилого дома Камская поляна, 26;</w:t>
      </w:r>
    </w:p>
    <w:p>
      <w:pPr>
        <w:pStyle w:val="NoSpacing"/>
        <w:widowControl w:val="false"/>
        <w:tabs>
          <w:tab w:val="clear" w:pos="708"/>
          <w:tab w:val="left" w:pos="540" w:leader="none"/>
        </w:tabs>
        <w:bidi w:val="0"/>
        <w:spacing w:lineRule="auto" w:line="240" w:before="0" w:after="0"/>
        <w:ind w:firstLine="540" w:right="-24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СУО 4 - м/р Плотинка, около участка 15а;</w:t>
      </w:r>
    </w:p>
    <w:p>
      <w:pPr>
        <w:pStyle w:val="NoSpacing"/>
        <w:widowControl w:val="false"/>
        <w:tabs>
          <w:tab w:val="clear" w:pos="708"/>
          <w:tab w:val="left" w:pos="540" w:leader="none"/>
        </w:tabs>
        <w:bidi w:val="0"/>
        <w:spacing w:lineRule="auto" w:line="240" w:before="0" w:after="0"/>
        <w:ind w:firstLine="540" w:right="-24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СУО 5 – м/р Соцпоселок, МОУ ДОД ООП "Звездный", в 9 м от вспомогательного корпуса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ind w:firstLine="567" w:right="-24"/>
        <w:jc w:val="both"/>
        <w:rPr/>
      </w:pPr>
      <w:r>
        <w:rPr>
          <w:sz w:val="24"/>
          <w:szCs w:val="24"/>
        </w:rPr>
        <w:t>Речевые узлы оповещения (РУО):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РУО 1 - ООО "Профит", ул. Новогайвинская, 102;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РУО 3 - АО "Уралгидросталь", ул. Новогайвинская, 82;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 xml:space="preserve">- РУО 4 - Правобережная башня; 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РУО 5 – ООО «ПромТех Инжиниринг», ул. Новогайвинская, 92;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РУО 6 -  ул. Соликамская, 306 крыша административного здания;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РУО 7 – АО «Камтэкс-Химпром», ул. Соликамская, 293;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РУО 8 - м/р Свободный, севернее жилого дома в м/р Свободный, 2.</w:t>
      </w:r>
    </w:p>
    <w:p>
      <w:pPr>
        <w:pStyle w:val="Normal"/>
        <w:tabs>
          <w:tab w:val="clear" w:pos="708"/>
          <w:tab w:val="left" w:pos="540" w:leader="none"/>
        </w:tabs>
        <w:ind w:hanging="567" w:left="567" w:right="-24"/>
        <w:rPr/>
      </w:pPr>
      <w:r>
        <w:rPr/>
      </w:r>
    </w:p>
    <w:p>
      <w:pPr>
        <w:pStyle w:val="Heading4"/>
        <w:numPr>
          <w:ilvl w:val="1"/>
          <w:numId w:val="4"/>
        </w:numPr>
        <w:rPr>
          <w:lang w:val="ru-RU"/>
        </w:rPr>
      </w:pPr>
      <w:bookmarkStart w:id="4" w:name="__RefHeading___Toc54646401"/>
      <w:bookmarkStart w:id="5" w:name="_Hlk49857604"/>
      <w:bookmarkEnd w:id="4"/>
      <w:r>
        <w:rPr>
          <w:lang w:val="ru-RU"/>
        </w:rPr>
        <w:t xml:space="preserve">Информация в отношении исполнения договора, </w:t>
      </w:r>
      <w:bookmarkStart w:id="6" w:name="_Hlk46492347"/>
      <w:r>
        <w:rPr>
          <w:lang w:val="ru-RU"/>
        </w:rPr>
        <w:t xml:space="preserve">которая должна быть учтена при подготовке заявки </w:t>
      </w:r>
      <w:bookmarkEnd w:id="5"/>
      <w:r>
        <w:rPr>
          <w:lang w:val="ru-RU"/>
        </w:rPr>
        <w:t>(в том числе перечень ресурсов, услуг и документов, предоставляемых заказчиком на</w:t>
      </w:r>
      <w:r>
        <w:rPr/>
        <w:t> </w:t>
      </w:r>
      <w:r>
        <w:rPr>
          <w:lang w:val="ru-RU"/>
        </w:rPr>
        <w:t>этапе исполнения договора)</w:t>
      </w:r>
      <w:bookmarkEnd w:id="6"/>
      <w:r>
        <w:rPr>
          <w:lang w:val="ru-RU"/>
        </w:rPr>
        <w:t xml:space="preserve"> </w:t>
      </w:r>
    </w:p>
    <w:p>
      <w:pPr>
        <w:pStyle w:val="Normal"/>
        <w:rPr/>
      </w:pPr>
      <w:r>
        <w:rPr/>
      </w:r>
    </w:p>
    <w:p>
      <w:pPr>
        <w:pStyle w:val="ListParagraph"/>
        <w:tabs>
          <w:tab w:val="clear" w:pos="708"/>
          <w:tab w:val="left" w:pos="594" w:leader="none"/>
        </w:tabs>
        <w:spacing w:before="0" w:after="0"/>
        <w:ind w:left="27" w:right="-2"/>
        <w:contextualSpacing/>
        <w:jc w:val="both"/>
        <w:rPr>
          <w:iCs/>
        </w:rPr>
      </w:pPr>
      <w:r>
        <w:rPr>
          <w:rStyle w:val="Style11"/>
          <w:b w:val="false"/>
          <w:i w:val="false"/>
          <w:sz w:val="24"/>
          <w:szCs w:val="24"/>
          <w:shd w:fill="auto" w:val="clear"/>
        </w:rPr>
        <w:tab/>
        <w:t>Необходимость и порядок ознакомления с документацией по предмету Договора осуществляется по отдельному запросу в установленном законом порядке.</w:t>
      </w:r>
      <w:r>
        <w:br w:type="page"/>
      </w:r>
    </w:p>
    <w:p>
      <w:pPr>
        <w:pStyle w:val="Heading1"/>
        <w:keepLines/>
        <w:numPr>
          <w:ilvl w:val="0"/>
          <w:numId w:val="4"/>
        </w:numPr>
        <w:ind w:hanging="357" w:left="357"/>
        <w:jc w:val="center"/>
        <w:rPr/>
      </w:pPr>
      <w:bookmarkStart w:id="7" w:name="__RefHeading___Toc54646403"/>
      <w:bookmarkEnd w:id="7"/>
      <w:r>
        <w:rPr>
          <w:iCs/>
        </w:rPr>
        <w:t>Требования к продукции</w:t>
      </w:r>
    </w:p>
    <w:p>
      <w:pPr>
        <w:pStyle w:val="Heading4"/>
        <w:numPr>
          <w:ilvl w:val="1"/>
          <w:numId w:val="4"/>
        </w:numPr>
        <w:rPr>
          <w:lang w:val="ru-RU"/>
        </w:rPr>
      </w:pPr>
      <w:r>
        <w:rPr>
          <w:lang w:val="ru-RU"/>
        </w:rPr>
        <w:t>Требования к объемам и срокам выполнения работ</w:t>
      </w:r>
    </w:p>
    <w:p>
      <w:pPr>
        <w:pStyle w:val="Heading3"/>
        <w:numPr>
          <w:ilvl w:val="2"/>
          <w:numId w:val="4"/>
        </w:numPr>
        <w:rPr>
          <w:bCs/>
          <w:lang w:val="ru-RU"/>
        </w:rPr>
      </w:pPr>
      <w:bookmarkStart w:id="8" w:name="__RefHeading___Toc54646405"/>
      <w:bookmarkEnd w:id="8"/>
      <w:r>
        <w:rPr>
          <w:lang w:val="ru-RU"/>
        </w:rPr>
        <w:t>Требования к видам и объемам работ</w:t>
      </w:r>
    </w:p>
    <w:p>
      <w:pPr>
        <w:pStyle w:val="Normal"/>
        <w:rPr>
          <w:sz w:val="24"/>
          <w:szCs w:val="24"/>
        </w:rPr>
      </w:pPr>
      <w:bookmarkStart w:id="9" w:name="__RefHeading___Toc54646406"/>
      <w:bookmarkEnd w:id="9"/>
      <w:r>
        <w:rPr>
          <w:b/>
          <w:bCs/>
          <w:sz w:val="24"/>
          <w:szCs w:val="24"/>
        </w:rPr>
        <w:t>Таблица 1. Перечень и объем выполняемых работ</w:t>
      </w:r>
    </w:p>
    <w:tbl>
      <w:tblPr>
        <w:tblW w:w="9808" w:type="dxa"/>
        <w:jc w:val="left"/>
        <w:tblInd w:w="-1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8"/>
        <w:gridCol w:w="4849"/>
        <w:gridCol w:w="1992"/>
        <w:gridCol w:w="2118"/>
      </w:tblGrid>
      <w:tr>
        <w:trPr>
          <w:cantSplit w:val="true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jc w:val="center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/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/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/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cantSplit w:val="true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cantSplit w:val="true"/>
        </w:trPr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Поставка оборудования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>
          <w:cantSplit w:val="true"/>
        </w:trPr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color w:val="000000"/>
                <w:sz w:val="24"/>
                <w:szCs w:val="24"/>
              </w:rPr>
              <w:t>Выполнение СМР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>
          <w:cantSplit w:val="true"/>
        </w:trPr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Выполнение ПНР в том числе выполнение мероприятий по обеспечению информационной безопасности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>
          <w:cantSplit w:val="true"/>
        </w:trPr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Проведение испытаний в соответствии с ПМИ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>
          <w:cantSplit w:val="true"/>
        </w:trPr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Приемка законченного строительства заказчиком в том числе с территориальным органом МЧС России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>
          <w:cantSplit w:val="true"/>
        </w:trPr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color w:val="000000"/>
                <w:sz w:val="24"/>
                <w:szCs w:val="24"/>
              </w:rPr>
              <w:t>Проведение опытной эксплуатации и ввод в эксплуатацию ЛСО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>
          <w:cantSplit w:val="true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Ввод в эксплуатацию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>
          <w:cantSplit w:val="true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spacing w:before="0" w:after="120"/>
              <w:ind w:left="0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Демонтаж старого оборудования с проведением общестроительных работ по восстановлению внешнего вида строи-тельных конструкций.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>
      <w:pPr>
        <w:pStyle w:val="Normal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4"/>
        </w:numPr>
        <w:ind w:hanging="680" w:left="1417"/>
        <w:rPr/>
      </w:pPr>
      <w:r>
        <w:rPr>
          <w:lang w:val="ru-RU"/>
        </w:rPr>
        <w:t>Требования к срокам выполнения работ</w:t>
      </w:r>
    </w:p>
    <w:p>
      <w:pPr>
        <w:pStyle w:val="Heading3"/>
        <w:tabs>
          <w:tab w:val="clear" w:pos="0"/>
        </w:tabs>
        <w:ind w:hanging="0" w:left="1111"/>
        <w:rPr>
          <w:lang w:val="ru-RU"/>
        </w:rPr>
      </w:pPr>
      <w:r>
        <w:rPr>
          <w:lang w:val="ru-RU"/>
        </w:rPr>
        <w:t xml:space="preserve">Таблица 2. </w:t>
      </w:r>
      <w:bookmarkStart w:id="10" w:name="_Hlk50465284"/>
      <w:r>
        <w:rPr>
          <w:lang w:val="ru-RU"/>
        </w:rPr>
        <w:t xml:space="preserve">Требования по срокам </w:t>
      </w:r>
      <w:bookmarkEnd w:id="10"/>
      <w:r>
        <w:rPr>
          <w:lang w:val="ru-RU"/>
        </w:rPr>
        <w:t>выполнения работ</w:t>
      </w:r>
    </w:p>
    <w:tbl>
      <w:tblPr>
        <w:tblW w:w="9776" w:type="dxa"/>
        <w:jc w:val="left"/>
        <w:tblInd w:w="-1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8"/>
        <w:gridCol w:w="5185"/>
        <w:gridCol w:w="3463"/>
      </w:tblGrid>
      <w:tr>
        <w:trPr>
          <w:tblHeader w:val="true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keepNext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Поставка оборудования</w:t>
            </w:r>
          </w:p>
        </w:tc>
        <w:tc>
          <w:tcPr>
            <w:tcW w:w="346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 месяцев с даты заключения договора</w:t>
            </w:r>
          </w:p>
        </w:tc>
      </w:tr>
      <w:tr>
        <w:trPr/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color w:val="000000"/>
                <w:sz w:val="24"/>
                <w:szCs w:val="24"/>
              </w:rPr>
              <w:t>Выполнение СМР</w:t>
            </w:r>
          </w:p>
        </w:tc>
        <w:tc>
          <w:tcPr>
            <w:tcW w:w="34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Выполнение ПНР в том числе выполнение мероприятий по обеспечению информационной безопасности</w:t>
            </w:r>
          </w:p>
        </w:tc>
        <w:tc>
          <w:tcPr>
            <w:tcW w:w="34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Проведение испытаний в соответствии с ПМИ</w:t>
            </w:r>
          </w:p>
        </w:tc>
        <w:tc>
          <w:tcPr>
            <w:tcW w:w="34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Приемка законченного строительства заказчиком в том числе с территориальным органом МЧС России</w:t>
            </w:r>
          </w:p>
        </w:tc>
        <w:tc>
          <w:tcPr>
            <w:tcW w:w="34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trHeight w:val="682" w:hRule="atLeast"/>
        </w:trPr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color w:val="000000"/>
                <w:sz w:val="24"/>
                <w:szCs w:val="24"/>
              </w:rPr>
              <w:t>Проведение опытной эксплуатации и ввод в эксплуатацию ЛСО</w:t>
            </w:r>
          </w:p>
        </w:tc>
        <w:tc>
          <w:tcPr>
            <w:tcW w:w="34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22" w:hRule="atLeast"/>
        </w:trPr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Ввод в эксплуатацию</w:t>
            </w:r>
          </w:p>
        </w:tc>
        <w:tc>
          <w:tcPr>
            <w:tcW w:w="34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trHeight w:val="322" w:hRule="atLeast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spacing w:before="0" w:after="120"/>
              <w:ind w:left="0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Демонтаж старого оборудования с проведением общестроительных работ по восстановлению внешнего вида строительных конструкций.</w:t>
            </w:r>
          </w:p>
        </w:tc>
        <w:tc>
          <w:tcPr>
            <w:tcW w:w="34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4"/>
        </w:numPr>
        <w:rPr/>
      </w:pPr>
      <w:bookmarkStart w:id="11" w:name="__RefHeading___Toc54646410"/>
      <w:r>
        <w:rPr/>
        <w:t xml:space="preserve">Требования к </w:t>
      </w:r>
      <w:r>
        <w:rPr>
          <w:lang w:val="ru-RU"/>
        </w:rPr>
        <w:t>качеству работ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b w:val="false"/>
          <w:bC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Таблица</w:t>
      </w:r>
      <w:r>
        <w:rPr>
          <w:sz w:val="24"/>
          <w:szCs w:val="24"/>
        </w:rPr>
        <w:t> </w:t>
      </w:r>
      <w:r>
        <w:rPr>
          <w:sz w:val="24"/>
          <w:szCs w:val="24"/>
          <w:lang w:val="ru-RU"/>
        </w:rPr>
        <w:t>3. Требования к качеству работ</w:t>
      </w:r>
      <w:bookmarkEnd w:id="11"/>
      <w:r>
        <w:rPr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Наименование работ/этапа работ:</w:t>
      </w:r>
    </w:p>
    <w:tbl>
      <w:tblPr>
        <w:tblW w:w="15024" w:type="dxa"/>
        <w:jc w:val="left"/>
        <w:tblInd w:w="-1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65"/>
        <w:gridCol w:w="1852"/>
        <w:gridCol w:w="3803"/>
        <w:gridCol w:w="2692"/>
        <w:gridCol w:w="2925"/>
        <w:gridCol w:w="2886"/>
      </w:tblGrid>
      <w:tr>
        <w:trPr/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rPr/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Наименование  работ/этапа работ</w:t>
            </w:r>
          </w:p>
        </w:tc>
        <w:tc>
          <w:tcPr>
            <w:tcW w:w="3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8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0"/>
                <w:numId w:val="7"/>
              </w:numPr>
              <w:spacing w:before="60" w:after="60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1"/>
                <w:numId w:val="7"/>
              </w:numPr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60" w:after="60"/>
              <w:rPr/>
            </w:pPr>
            <w:r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7533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Style w:val="Style11"/>
                <w:b w:val="false"/>
                <w:bCs/>
                <w:i w:val="false"/>
                <w:i w:val="false"/>
                <w:iCs/>
                <w:color w:val="000000"/>
                <w:sz w:val="24"/>
                <w:szCs w:val="24"/>
                <w:shd w:fill="auto" w:val="clear"/>
              </w:rPr>
            </w:pPr>
            <w:r>
              <w:rPr>
                <w:rStyle w:val="Style11"/>
                <w:rFonts w:eastAsia="Calibri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  <w:lang w:eastAsia="en-US"/>
              </w:rPr>
              <w:t>Аудит ранее созданных элементов ЛСО рассмотрение ПТД.</w:t>
            </w:r>
          </w:p>
          <w:p>
            <w:pPr>
              <w:pStyle w:val="Normal"/>
              <w:rPr>
                <w:rStyle w:val="Style11"/>
                <w:b w:val="false"/>
                <w:bCs/>
                <w:i w:val="false"/>
                <w:i w:val="false"/>
                <w:iCs/>
                <w:color w:val="000000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Обследование зоны действия ЛСО и сбор сведений о наличии:</w:t>
            </w:r>
          </w:p>
          <w:p>
            <w:pPr>
              <w:pStyle w:val="Normal"/>
              <w:ind w:firstLine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существующих средств (систем) оповещения населения;</w:t>
            </w:r>
          </w:p>
          <w:p>
            <w:pPr>
              <w:pStyle w:val="Normal"/>
              <w:ind w:firstLine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населенных пунктов и мест в зоне действия поражающих факторов объекта, где возможно нахождение людей;</w:t>
            </w:r>
          </w:p>
          <w:p>
            <w:pPr>
              <w:pStyle w:val="Normal"/>
              <w:ind w:firstLine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сформированных требований к ЛСО;</w:t>
            </w:r>
          </w:p>
          <w:p>
            <w:pPr>
              <w:pStyle w:val="Normal"/>
              <w:ind w:firstLine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получение технических условий на сопряжение с МСО (РСО); (ЕДДС г.Пермь) при необходимости</w:t>
            </w:r>
          </w:p>
          <w:p>
            <w:pPr>
              <w:pStyle w:val="Normal"/>
              <w:ind w:firstLine="2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изучение документации на предмет сведений о размерах и расположении зон воздействия поражающих факторов от аварий на объекте.</w:t>
            </w:r>
          </w:p>
          <w:p>
            <w:pPr>
              <w:pStyle w:val="Normal"/>
              <w:ind w:firstLine="34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ТЗ должно учитывать действующую на момент создания НТД, содержать данные о размерах вероятных зон действия поражающих факторов для различных сценариев аварии и границы зоны действия ЛСО. Техническое задание должно содержать виды и характеристики работ, подлежащих выполнению, требования к системе оповещения населения с учетом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разработке технического задания учитываются: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границы зоны действия системы оповещения населения — это границы территорий, находящихся в нижнем бьефе, в зонах затопления на расстоянии до 6 километров от плотины Камской ГЭС;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возможности информационно-телекоммуникационной инфраструктуры сетей связи операторов связи, действующих на территории   системы оповещения населения с учетом перспектив ее развития;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сопрягаемые с системой оповещения населения действующие автоматизированные и информационные системы, взаимодействие которых определено законодательством Российской Федерации;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объектов, производств и сооружений, в районах размещения которых должны быть созданы локальные системы оповещения;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и расположение мест массового пребывания людей;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сведения о зонах экстренного оповещения населения.</w:t>
            </w:r>
          </w:p>
          <w:p>
            <w:pPr>
              <w:pStyle w:val="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ТЗ должно быть направленно на создание и поддержание в состоянии постоянной готовности систем оповещения населения, и утверждено заказчиком.</w:t>
            </w:r>
          </w:p>
          <w:p>
            <w:pPr>
              <w:pStyle w:val="Normal"/>
              <w:ind w:firstLine="283"/>
              <w:jc w:val="both"/>
              <w:rPr/>
            </w:pPr>
            <w:r>
              <w:rPr>
                <w:sz w:val="24"/>
                <w:szCs w:val="24"/>
              </w:rPr>
              <w:t>ТЗ должно учитывать требования раздела 13 Приказ ФСТЭК №31 от 14.03.2014 (в действующей редакции) в части формирования требований к защите информации.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i/>
                <w:i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i/>
                <w:sz w:val="20"/>
                <w:szCs w:val="20"/>
                <w:lang w:val="ru-RU" w:eastAsia="ru-RU"/>
              </w:rPr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24"/>
                <w:szCs w:val="24"/>
                <w:lang w:eastAsia="ru-RU"/>
              </w:rPr>
            </w:pPr>
            <w:r>
              <w:rPr>
                <w:i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1"/>
                <w:numId w:val="7"/>
              </w:numPr>
              <w:spacing w:before="60" w:after="60"/>
              <w:ind w:firstLine="142" w:left="-117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60" w:after="0"/>
              <w:rPr/>
            </w:pPr>
            <w:r>
              <w:rPr>
                <w:b/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sz w:val="24"/>
                <w:szCs w:val="24"/>
              </w:rPr>
              <w:t>Поставка оборудования;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соответствовать ГОСТ Р 42.3.01-2021. Оборудование должно быть отечественного производства.</w:t>
            </w:r>
          </w:p>
          <w:p>
            <w:pPr>
              <w:pStyle w:val="Normal"/>
              <w:spacing w:before="0" w:after="60"/>
              <w:rPr/>
            </w:pPr>
            <w:r>
              <w:rPr>
                <w:color w:val="000000"/>
                <w:sz w:val="24"/>
                <w:szCs w:val="24"/>
              </w:rPr>
              <w:t>В качестве программного обеспечения ЛСО должно использоваться программное обеспечение, соответствующее ГОСТ Р 56939, включенное в единый реестр российских программ для электронных вычислительных машин и баз данных. Программное обеспечение должно быть не обременено исключительными правами третьих лиц. Операционная система — по согласованию с Заказчиком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  <w:lang w:eastAsia="ru-RU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Выписка из реестра Минпромторга, реестра российского ПО.</w:t>
            </w:r>
          </w:p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1"/>
                <w:numId w:val="7"/>
              </w:numPr>
              <w:spacing w:before="60" w:after="60"/>
              <w:ind w:firstLine="142" w:left="-117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b/>
                <w:sz w:val="24"/>
                <w:szCs w:val="24"/>
              </w:rPr>
              <w:t>Требования к контролю качества работ и материалов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rFonts w:eastAsia="Calibri"/>
                <w:sz w:val="24"/>
                <w:szCs w:val="24"/>
                <w:lang w:eastAsia="en-US"/>
              </w:rPr>
              <w:t>Все этапы;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rPr/>
            </w:pPr>
            <w:r>
              <w:rPr>
                <w:color w:val="000000"/>
                <w:sz w:val="24"/>
                <w:szCs w:val="24"/>
              </w:rPr>
              <w:t>Подрядчик обязан извещать Заказчика о ходе работ по электронной почте не реже двух раз в месяц и при выполнении этапа работ.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bCs/>
                <w:sz w:val="20"/>
                <w:szCs w:val="20"/>
                <w:lang w:val="ru-RU" w:eastAsia="ru-RU"/>
              </w:rPr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1"/>
                <w:numId w:val="7"/>
              </w:numPr>
              <w:spacing w:before="60" w:after="60"/>
              <w:ind w:firstLine="142" w:left="-117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sz w:val="24"/>
                <w:szCs w:val="24"/>
              </w:rPr>
              <w:t>Требования к персоналу подрядчика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rFonts w:eastAsia="Calibri"/>
                <w:sz w:val="24"/>
                <w:szCs w:val="24"/>
                <w:lang w:eastAsia="en-US"/>
              </w:rPr>
              <w:t>Все этапы;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персонала (не менее 2-х человек), прошедшего обучение в области проектирования и наладки оборудования ЛСО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before="60" w:after="0"/>
              <w:jc w:val="both"/>
              <w:rPr/>
            </w:pPr>
            <w:r>
              <w:rPr>
                <w:sz w:val="24"/>
                <w:szCs w:val="24"/>
              </w:rPr>
              <w:t>(квалификация персонала подтверждается предоставлением на этапе заключения договора копий документов, подтверждающих прохождение обучения (удостоверений, сертификатов или квалификационных аттестатов);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spacing w:before="60" w:after="0"/>
              <w:jc w:val="both"/>
              <w:rPr/>
            </w:pPr>
            <w:r>
              <w:rPr>
                <w:i/>
                <w:iCs/>
                <w:sz w:val="24"/>
                <w:szCs w:val="24"/>
              </w:rPr>
              <w:t>предоставление копий удостоверений, сертификатов или квалификационных аттестатов.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1"/>
                <w:numId w:val="7"/>
              </w:numPr>
              <w:spacing w:before="60" w:after="60"/>
              <w:ind w:firstLine="142" w:left="-117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60" w:after="0"/>
              <w:rPr/>
            </w:pPr>
            <w:r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rFonts w:eastAsia="Calibri"/>
                <w:sz w:val="24"/>
                <w:szCs w:val="24"/>
                <w:lang w:eastAsia="en-US"/>
              </w:rPr>
              <w:t>Все этапы;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contextualSpacing/>
              <w:jc w:val="both"/>
              <w:rPr/>
            </w:pPr>
            <w:r>
              <w:rPr>
                <w:rFonts w:eastAsia="Calibri"/>
                <w:sz w:val="24"/>
                <w:szCs w:val="24"/>
                <w:lang w:eastAsia="en-US"/>
              </w:rPr>
              <w:t>Часть работы выполняется в существующих производственных зданиях и сооружениях в действующих электроустановках, в стесненных условиях: с наличием в зоне производства работ технологического оборудования, находящегося под напряжением. Работы с грузоподъёмными механизмами. Работы на высоте.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spacing w:before="60" w:after="0"/>
              <w:jc w:val="both"/>
              <w:rPr/>
            </w:pPr>
            <w:r>
              <w:rPr>
                <w:i/>
                <w:iCs/>
                <w:sz w:val="24"/>
                <w:szCs w:val="24"/>
              </w:rPr>
              <w:t>предоставление копий удостоверений.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0"/>
                <w:numId w:val="7"/>
              </w:numPr>
              <w:spacing w:before="60" w:after="60"/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1"/>
                <w:numId w:val="7"/>
              </w:numPr>
              <w:spacing w:before="60" w:after="60"/>
              <w:ind w:firstLine="142" w:left="-117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60" w:after="0"/>
              <w:rPr/>
            </w:pPr>
            <w:r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Style w:val="Style11"/>
                <w:rFonts w:eastAsia="Calibri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  <w:lang w:eastAsia="en-US"/>
              </w:rPr>
              <w:t>Аудит ранее созданных элементов ЛСО рассмотрение ПТД.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 корректировке Участником ПТД должно быть выполнено согласование с ГУ МЧС России по Пермскому краю, Государственным казенным учреждением Пермского края «Гражданская защита», при необходимости.</w:t>
            </w:r>
          </w:p>
          <w:p>
            <w:pPr>
              <w:pStyle w:val="Normal"/>
              <w:ind w:firstLine="283"/>
              <w:jc w:val="both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/>
            </w:pPr>
            <w:r>
              <w:rPr>
                <w:rFonts w:eastAsia="Times New Roman"/>
                <w:b w:val="false"/>
                <w:bCs/>
                <w:i/>
                <w:iCs/>
                <w:lang w:val="ru-RU" w:eastAsia="ru-RU"/>
              </w:rPr>
              <w:t>Предоставление согласований.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1"/>
                <w:numId w:val="7"/>
              </w:numPr>
              <w:spacing w:before="60" w:after="60"/>
              <w:ind w:firstLine="142" w:left="-117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Style w:val="Style11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rFonts w:eastAsia="Calibri"/>
                <w:sz w:val="24"/>
                <w:szCs w:val="24"/>
                <w:lang w:eastAsia="en-US"/>
              </w:rPr>
              <w:t>Исполнитель письменно приглашает Заказчика на приемку не позднее чем за 3 дня.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0"/>
                <w:numId w:val="7"/>
              </w:numPr>
              <w:spacing w:before="60" w:after="60"/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40" w:after="0"/>
              <w:rPr/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Корректиорвка</w:t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рабочей документации;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bCs/>
                <w:sz w:val="24"/>
                <w:szCs w:val="24"/>
              </w:rPr>
              <w:t>При разработке решений по подключению к сетям электроснабжения обеспечить электропитание технических средств оповещения от сети гарантированного электропитания, в том числе от источников автономного питания (п.8 Приложения№1  к Приказу МЧС от 31.07.2020 N 578/365)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/>
            </w:pPr>
            <w:r>
              <w:rPr>
                <w:rFonts w:eastAsia="Times New Roman"/>
                <w:b w:val="false"/>
                <w:i/>
                <w:iCs/>
                <w:lang w:val="ru-RU" w:eastAsia="ru-RU"/>
              </w:rPr>
              <w:t>ТУ на технологическое присоединение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</w:r>
          </w:p>
        </w:tc>
      </w:tr>
      <w:tr>
        <w:trPr>
          <w:trHeight w:val="63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Корректиорвка</w:t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рабочей документации;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tabs>
                <w:tab w:val="clear" w:pos="708"/>
                <w:tab w:val="left" w:pos="426" w:leader="none"/>
              </w:tabs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Мероприятия по обеспечению защиты информации в системе оповещения населения.</w:t>
            </w:r>
          </w:p>
          <w:p>
            <w:pPr>
              <w:pStyle w:val="ConsPlusNormal"/>
              <w:tabs>
                <w:tab w:val="clear" w:pos="708"/>
                <w:tab w:val="left" w:pos="426" w:leader="none"/>
              </w:tabs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Состав мер защиты информации и их базовые наборы для соответствующих классов защищенности систем приведены в приказе ФСТЭК России от 14 марта 2014 г. N 31. 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 защите информации ЛСО должна соответствовать классу защищенности не ниже 3 класса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before="60" w:after="6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3.1.3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Проведение испытаний ЛСО;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keepLines/>
              <w:tabs>
                <w:tab w:val="clear" w:pos="708"/>
                <w:tab w:val="left" w:pos="426" w:leader="none"/>
              </w:tabs>
              <w:ind w:firstLine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Надежность (коэффициент готовности одного направления оповещения):</w:t>
            </w:r>
          </w:p>
          <w:p>
            <w:pPr>
              <w:pStyle w:val="ConsPlusNormal"/>
              <w:tabs>
                <w:tab w:val="clear" w:pos="708"/>
                <w:tab w:val="left" w:pos="426" w:leader="none"/>
              </w:tabs>
              <w:ind w:firstLine="113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для объектового уровня - Кг не менее 0,995;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before="60" w:after="6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3.1.4</w:t>
            </w:r>
          </w:p>
        </w:tc>
        <w:tc>
          <w:tcPr>
            <w:tcW w:w="1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Проведение испытаний ЛСО;</w:t>
            </w:r>
          </w:p>
        </w:tc>
        <w:tc>
          <w:tcPr>
            <w:tcW w:w="3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keepLines/>
              <w:tabs>
                <w:tab w:val="clear" w:pos="708"/>
                <w:tab w:val="left" w:pos="169" w:leader="none"/>
                <w:tab w:val="left" w:pos="426" w:leader="none"/>
              </w:tabs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Живучесть (вероятность живучести одного направления оповещения):</w:t>
            </w:r>
          </w:p>
          <w:p>
            <w:pPr>
              <w:pStyle w:val="ConsPlusNormal"/>
              <w:tabs>
                <w:tab w:val="clear" w:pos="708"/>
                <w:tab w:val="left" w:pos="169" w:leader="none"/>
                <w:tab w:val="left" w:pos="426" w:leader="none"/>
              </w:tabs>
              <w:ind w:firstLine="17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для объектового уровня - Рж не менее 0,95;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before="60" w:after="6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3.1.5</w:t>
            </w:r>
          </w:p>
        </w:tc>
        <w:tc>
          <w:tcPr>
            <w:tcW w:w="1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Проведение испытаний  ЛСО;</w:t>
            </w:r>
          </w:p>
        </w:tc>
        <w:tc>
          <w:tcPr>
            <w:tcW w:w="3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keepLines/>
              <w:tabs>
                <w:tab w:val="clear" w:pos="708"/>
                <w:tab w:val="left" w:pos="169" w:leader="none"/>
                <w:tab w:val="left" w:pos="426" w:leader="none"/>
              </w:tabs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Надежность:</w:t>
            </w:r>
          </w:p>
          <w:p>
            <w:pPr>
              <w:pStyle w:val="ConsPlusNormal"/>
              <w:tabs>
                <w:tab w:val="clear" w:pos="708"/>
                <w:tab w:val="left" w:pos="169" w:leader="none"/>
                <w:tab w:val="left" w:pos="426" w:leader="none"/>
              </w:tabs>
              <w:ind w:firstLine="17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Предусмотреть резервирование управляющего оборудования и источника информации об уровне воды в нижнем бъефе.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0"/>
                <w:numId w:val="7"/>
              </w:numPr>
              <w:spacing w:before="60" w:after="60"/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20" w:after="0"/>
              <w:jc w:val="both"/>
              <w:rPr/>
            </w:pPr>
            <w:r>
              <w:rPr>
                <w:b/>
                <w:sz w:val="24"/>
                <w:szCs w:val="24"/>
              </w:rPr>
              <w:t>Требования к ответственности и гарантиям подрядчика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Все этапы;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качества результата работ подрядчика 3 года, с момента ввода в эксплуатацию ЛСО: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гарантирует соответствие результата Работ требованиям Договора, технических заданий, законодательства Российской Федерации и норм и правил, действующих на момент сдачи результата Работ Заказчику.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обнаружения недостатков результата Работ, Заказчик направляет Подрядчику соответствующее письменное уведомление, в котором указывает перечень выявленных недостатков и срок на их устранение.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Устранение недостатков, обнаруженных Заказчиком, осуществляется Подрядчиком своими силами, за свой счёт и в срок, указанный в уведомлении, направленном Заказчиком.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Подрядчик не устранит недостатки в срок, установленный в соответствии в уведомлении, Заказчик вправе устранить их своими силами или силами третьих лиц и потребовать от Подрядчика возмещения понесенных расходов. Подрядчик обязан возместить расходы Заказчика, указанные в этом пункте, в течении 10 (десяти) рабочих дней с даты получения соответствующего письменного требования Заказчика.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Устранение недостатков, в том числе в рамках срока, установленного Заказчиком, не освобождает Подрядчика от ответственности за убытки, причиненные Заказчику вследствие таких недостатков.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before="40" w:after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bCs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0"/>
                <w:numId w:val="7"/>
              </w:numPr>
              <w:spacing w:before="60" w:after="60"/>
              <w:contextualSpacing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before="60" w:after="60"/>
              <w:rPr/>
            </w:pPr>
            <w:r>
              <w:rPr>
                <w:b/>
                <w:sz w:val="24"/>
                <w:szCs w:val="24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Style w:val="Style11"/>
                <w:rFonts w:eastAsia="Calibri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  <w:lang w:eastAsia="en-US"/>
              </w:rPr>
              <w:t>Аудит ранее созданных элементов ЛСО рассмотрение ПТД.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4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саморегулируемой организации (далее - СРО), о</w:t>
            </w:r>
            <w:r>
              <w:rPr>
                <w:color w:val="000000"/>
                <w:sz w:val="24"/>
                <w:szCs w:val="24"/>
              </w:rPr>
              <w:t>снованной на членстве лиц:</w:t>
            </w:r>
          </w:p>
          <w:p>
            <w:pPr>
              <w:pStyle w:val="Normal"/>
              <w:ind w:firstLine="3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имеющих вид работ по</w:t>
            </w:r>
          </w:p>
          <w:p>
            <w:pPr>
              <w:pStyle w:val="Normal"/>
              <w:ind w:firstLine="34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 Работы по разработке специальных разделов проектной документации:</w:t>
            </w:r>
          </w:p>
          <w:p>
            <w:pPr>
              <w:pStyle w:val="BodyText"/>
              <w:numPr>
                <w:ilvl w:val="0"/>
                <w:numId w:val="8"/>
              </w:numPr>
              <w:tabs>
                <w:tab w:val="clear" w:pos="708"/>
                <w:tab w:val="left" w:pos="0" w:leader="none"/>
                <w:tab w:val="left" w:pos="5764" w:leader="none"/>
              </w:tabs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Инженерно-технические мероприятия по гражданской обороне</w:t>
            </w:r>
          </w:p>
          <w:p>
            <w:pPr>
              <w:pStyle w:val="Normal"/>
              <w:tabs>
                <w:tab w:val="clear" w:pos="708"/>
                <w:tab w:val="left" w:pos="1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  <w:t>осуществляющих строительство</w:t>
            </w:r>
          </w:p>
          <w:p>
            <w:pPr>
              <w:pStyle w:val="Normal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объектах особо-опасных и технически сложных, и зарегистрированной в установленном порядке на территории субъекта Российской Федерации, в котором зарегистрирован участник закупки.</w:t>
            </w:r>
          </w:p>
          <w:p>
            <w:pPr>
              <w:pStyle w:val="Normal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установленному требованию подтверждается путем предоставления участником закупки в составе заявки выписки из реестра членов СРО, оформленной по форме, установленной органом надзора за саморегулируемыми организациями, и содержать сведения об уровне ответственности участника по компенсационному фонду возмещения вреда и компенсационному фонду обеспечения договорных обязательств, соответствующем предложенной стоимости выполнения работ по договору.</w:t>
            </w:r>
          </w:p>
          <w:p>
            <w:pPr>
              <w:pStyle w:val="Normal"/>
              <w:ind w:firstLine="34"/>
              <w:jc w:val="both"/>
              <w:rPr/>
            </w:pPr>
            <w:r>
              <w:rPr>
                <w:sz w:val="24"/>
                <w:szCs w:val="24"/>
              </w:rPr>
              <w:t>Выписка должна быть выдана не ранее, чем за один месяц до даты подачи заявки Участника.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/>
                <w:b w:val="false"/>
                <w:i/>
                <w:iCs/>
                <w:lang w:val="ru-RU" w:eastAsia="ru-RU"/>
              </w:rPr>
              <w:t xml:space="preserve">Предоставление </w:t>
            </w:r>
            <w:r>
              <w:rPr>
                <w:b w:val="false"/>
                <w:i/>
                <w:iCs/>
                <w:color w:val="000000"/>
                <w:lang w:val="ru-RU"/>
              </w:rPr>
              <w:t>выписки из реестра членов СРО.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Style w:val="Style11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</w:rPr>
              <w:t>Планирование, аудит ранее созданных элементов ЛСО.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40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лицензий:</w:t>
            </w:r>
          </w:p>
          <w:p>
            <w:pPr>
              <w:pStyle w:val="Normal"/>
              <w:tabs>
                <w:tab w:val="clear" w:pos="708"/>
                <w:tab w:val="left" w:pos="440" w:leader="none"/>
              </w:tabs>
              <w:jc w:val="both"/>
              <w:rPr/>
            </w:pPr>
            <w:r>
              <w:rPr>
                <w:sz w:val="24"/>
                <w:szCs w:val="24"/>
              </w:rPr>
              <w:t>Организация имеющую лицензию на осуществление деятельности по технической защите конфиденциальной информации (с правом проведения работ и оказания услуг по аттестационным испытаниям и аттестации на соответствие требованиям по защите информации), выданную ФСТЭК России в соответствии с Положением о лицензировании деятельности по технической защите конфиденциальной информации, утвержденным постановлением Правительства Российской Федерации от 3 февраля 2012 г. № 79 (далее - орган по аттестации).имеющих лицензию на деятельность по технической защите конфиденциальной информации в соответствии с Федеральным законом от 4 мая 2011 г. N 99-ФЗ "О лицензировании отдельных видов деятельности".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right="-113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/>
            </w:pPr>
            <w:r>
              <w:rPr>
                <w:b w:val="false"/>
                <w:i/>
                <w:iCs/>
              </w:rPr>
              <w:t xml:space="preserve">Предоставление </w:t>
            </w:r>
            <w:r>
              <w:rPr>
                <w:b w:val="false"/>
                <w:i/>
                <w:iCs/>
                <w:color w:val="000000"/>
              </w:rPr>
              <w:t>копий лицензий.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2"/>
                <w:numId w:val="7"/>
              </w:numPr>
              <w:spacing w:before="60" w:after="60"/>
              <w:ind w:hanging="1199" w:left="1224"/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tcW w:w="1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>
                <w:sz w:val="24"/>
                <w:szCs w:val="24"/>
              </w:rPr>
              <w:t>Все этапы;</w:t>
            </w:r>
          </w:p>
        </w:tc>
        <w:tc>
          <w:tcPr>
            <w:tcW w:w="3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субподрядным организациям, привлекаемым к выполнению работ:</w:t>
            </w:r>
          </w:p>
          <w:p>
            <w:pPr>
              <w:pStyle w:val="Normal"/>
              <w:widowControl/>
              <w:jc w:val="both"/>
              <w:rPr/>
            </w:pPr>
            <w:r>
              <w:rPr>
                <w:sz w:val="24"/>
                <w:szCs w:val="24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right="-113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0"/>
                <w:numId w:val="7"/>
              </w:numPr>
              <w:spacing w:before="60" w:after="60"/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</w:r>
          </w:p>
        </w:tc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60" w:after="60"/>
              <w:rPr/>
            </w:pPr>
            <w:r>
              <w:rPr>
                <w:b/>
                <w:sz w:val="24"/>
                <w:szCs w:val="24"/>
              </w:rPr>
              <w:t>Прочие требования к выполняемым работам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numPr>
                <w:ilvl w:val="1"/>
                <w:numId w:val="7"/>
              </w:numPr>
              <w:spacing w:before="60" w:after="60"/>
              <w:ind w:firstLine="142" w:left="-117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426" w:leader="none"/>
              </w:tabs>
              <w:spacing w:before="60" w:after="0"/>
              <w:ind w:hanging="0" w:left="0"/>
              <w:outlineLvl w:val="2"/>
              <w:rPr/>
            </w:pPr>
            <w:r>
              <w:rPr>
                <w:rFonts w:eastAsia="Calibri"/>
                <w:sz w:val="24"/>
                <w:szCs w:val="24"/>
              </w:rPr>
              <w:t>Проектно-сметная документация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/>
              <w:jc w:val="both"/>
              <w:outlineLvl w:val="2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Проектно-сметная документация: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/>
              <w:jc w:val="both"/>
              <w:outlineLvl w:val="2"/>
              <w:rPr/>
            </w:pPr>
            <w:r>
              <w:rPr>
                <w:rFonts w:eastAsia="Calibri"/>
                <w:iCs/>
                <w:sz w:val="24"/>
                <w:szCs w:val="24"/>
              </w:rPr>
              <w:t>В сметной документации предусмотрен резерв средств на непредвиденные работы и затраты в размере 3%.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right="-113"/>
              <w:rPr/>
            </w:pPr>
            <w:r>
              <w:rPr>
                <w:i/>
                <w:iCs/>
                <w:sz w:val="24"/>
                <w:szCs w:val="24"/>
              </w:rPr>
              <w:t>Согласие с требованием.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</w:tbl>
    <w:p>
      <w:pPr>
        <w:sectPr>
          <w:headerReference w:type="even" r:id="rId4"/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33" w:top="941" w:footer="0" w:bottom="851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1"/>
        <w:keepLines/>
        <w:numPr>
          <w:ilvl w:val="0"/>
          <w:numId w:val="0"/>
        </w:numPr>
        <w:ind w:hanging="0" w:left="357"/>
        <w:jc w:val="center"/>
        <w:rPr/>
      </w:pPr>
      <w:r>
        <w:rPr/>
      </w:r>
    </w:p>
    <w:p>
      <w:pPr>
        <w:pStyle w:val="Normal"/>
        <w:tabs>
          <w:tab w:val="clear" w:pos="708"/>
          <w:tab w:val="left" w:pos="1134" w:leader="none"/>
        </w:tabs>
        <w:ind w:firstLine="567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ind w:firstLine="567" w:right="-23"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tabs>
          <w:tab w:val="clear" w:pos="708"/>
          <w:tab w:val="left" w:pos="851" w:leader="none"/>
        </w:tabs>
        <w:spacing w:before="60" w:after="0"/>
        <w:jc w:val="both"/>
        <w:rPr>
          <w:b/>
          <w:lang w:eastAsia="en-US"/>
        </w:rPr>
      </w:pPr>
      <w:r>
        <w:rPr>
          <w:b/>
          <w:lang w:eastAsia="en-US"/>
        </w:rPr>
      </w:r>
    </w:p>
    <w:p>
      <w:pPr>
        <w:pStyle w:val="Heading1"/>
        <w:keepLines/>
        <w:numPr>
          <w:ilvl w:val="0"/>
          <w:numId w:val="0"/>
        </w:numPr>
        <w:ind w:hanging="0" w:left="357"/>
        <w:rPr>
          <w:b w:val="false"/>
          <w:iCs/>
          <w:lang w:val="ru-RU" w:eastAsia="en-US"/>
        </w:rPr>
      </w:pPr>
      <w:r>
        <w:rPr>
          <w:b w:val="false"/>
          <w:iCs/>
          <w:lang w:val="ru-RU" w:eastAsia="en-US"/>
        </w:rPr>
      </w:r>
    </w:p>
    <w:p>
      <w:pPr>
        <w:pStyle w:val="Normal"/>
        <w:rPr>
          <w:rFonts w:eastAsia="Calibri"/>
          <w:b/>
          <w:iCs/>
          <w:lang w:eastAsia="en-US"/>
        </w:rPr>
      </w:pPr>
      <w:r>
        <w:rPr>
          <w:rFonts w:eastAsia="Calibri"/>
          <w:b/>
          <w:iCs/>
          <w:lang w:eastAsia="en-US"/>
        </w:rPr>
      </w:r>
      <w:r>
        <w:br w:type="page"/>
      </w:r>
    </w:p>
    <w:p>
      <w:pPr>
        <w:pStyle w:val="Heading1"/>
        <w:keepLines/>
        <w:numPr>
          <w:ilvl w:val="0"/>
          <w:numId w:val="0"/>
        </w:numPr>
        <w:spacing w:before="120" w:after="60"/>
        <w:ind w:hanging="0" w:left="357"/>
        <w:jc w:val="center"/>
        <w:rPr>
          <w:i/>
          <w:i/>
          <w:sz w:val="24"/>
          <w:szCs w:val="24"/>
        </w:rPr>
      </w:pPr>
      <w:r>
        <w:rPr/>
      </w:r>
    </w:p>
    <w:sectPr>
      <w:headerReference w:type="even" r:id="rId7"/>
      <w:headerReference w:type="default" r:id="rId8"/>
      <w:head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22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Heading2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pStyle w:val="Heading5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pStyle w:val="Heading7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pStyle w:val="Heading8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pStyle w:val="Heading9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4"/>
      <w:numFmt w:val="bullet"/>
      <w:lvlText w:val="-"/>
      <w:lvlJc w:val="left"/>
      <w:pPr>
        <w:tabs>
          <w:tab w:val="num" w:pos="0"/>
        </w:tabs>
        <w:ind w:left="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00" w:hanging="0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–"/>
      <w:lvlJc w:val="left"/>
      <w:pPr>
        <w:tabs>
          <w:tab w:val="num" w:pos="0"/>
        </w:tabs>
        <w:ind w:left="766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206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92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66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526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–"/>
      <w:lvlJc w:val="left"/>
      <w:pPr>
        <w:tabs>
          <w:tab w:val="num" w:pos="0"/>
        </w:tabs>
        <w:ind w:left="766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206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92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66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526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24"/>
  <w:defaultTabStop w:val="708"/>
  <w:autoHyphenation w:val="true"/>
  <w:compat>
    <w:compatSetting w:name="compatibilityMode" w:uri="http://schemas.microsoft.com/office/word" w:val="1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Heading1">
    <w:name w:val="Heading 1"/>
    <w:basedOn w:val="Heading3"/>
    <w:next w:val="Normal"/>
    <w:link w:val="11"/>
    <w:qFormat/>
    <w:pPr>
      <w:numPr>
        <w:ilvl w:val="0"/>
        <w:numId w:val="4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1"/>
    <w:qFormat/>
    <w:pPr>
      <w:numPr>
        <w:ilvl w:val="1"/>
        <w:numId w:val="1"/>
      </w:numPr>
      <w:outlineLvl w:val="1"/>
    </w:pPr>
    <w:rPr/>
  </w:style>
  <w:style w:type="paragraph" w:styleId="Heading3">
    <w:name w:val="Heading 3"/>
    <w:basedOn w:val="Normal"/>
    <w:next w:val="Normal"/>
    <w:link w:val="31"/>
    <w:qFormat/>
    <w:pPr>
      <w:keepNext w:val="true"/>
      <w:tabs>
        <w:tab w:val="clear" w:pos="708"/>
        <w:tab w:val="left" w:pos="0" w:leader="none"/>
      </w:tabs>
      <w:spacing w:before="120" w:after="60"/>
      <w:ind w:hanging="360" w:left="5038"/>
      <w:outlineLvl w:val="2"/>
    </w:pPr>
    <w:rPr>
      <w:rFonts w:eastAsia="Calibri"/>
      <w:b/>
      <w:sz w:val="24"/>
      <w:szCs w:val="24"/>
      <w:lang w:val="en-US"/>
    </w:rPr>
  </w:style>
  <w:style w:type="paragraph" w:styleId="Heading4">
    <w:name w:val="Heading 4"/>
    <w:basedOn w:val="Heading3"/>
    <w:next w:val="Normal"/>
    <w:link w:val="41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1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61"/>
    <w:qFormat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 w:cs="Cambria"/>
      <w:i/>
      <w:iCs/>
      <w:color w:val="243F60"/>
      <w:sz w:val="20"/>
      <w:szCs w:val="20"/>
      <w:lang w:val="en-US"/>
    </w:rPr>
  </w:style>
  <w:style w:type="paragraph" w:styleId="Heading7">
    <w:name w:val="Heading 7"/>
    <w:basedOn w:val="Normal"/>
    <w:next w:val="Normal"/>
    <w:link w:val="71"/>
    <w:qFormat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 w:cs="Cambria"/>
      <w:i/>
      <w:iCs/>
      <w:color w:val="404040"/>
      <w:sz w:val="20"/>
      <w:szCs w:val="20"/>
      <w:lang w:val="en-US"/>
    </w:rPr>
  </w:style>
  <w:style w:type="paragraph" w:styleId="Heading8">
    <w:name w:val="Heading 8"/>
    <w:basedOn w:val="Normal"/>
    <w:next w:val="Normal"/>
    <w:link w:val="81"/>
    <w:qFormat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 w:cs="Cambria"/>
      <w:color w:val="4F81BD"/>
      <w:sz w:val="20"/>
      <w:szCs w:val="20"/>
      <w:lang w:val="en-US"/>
    </w:rPr>
  </w:style>
  <w:style w:type="paragraph" w:styleId="Heading9">
    <w:name w:val="Heading 9"/>
    <w:basedOn w:val="Normal"/>
    <w:next w:val="Normal"/>
    <w:link w:val="91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1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1"/>
    <w:qFormat/>
    <w:rPr>
      <w:rFonts w:eastAsia="Calibri"/>
      <w:b/>
      <w:sz w:val="24"/>
      <w:szCs w:val="24"/>
      <w:lang w:val="en-US" w:eastAsia="zh-CN"/>
    </w:rPr>
  </w:style>
  <w:style w:type="character" w:styleId="41" w:customStyle="1">
    <w:name w:val="Заголовок 4 Знак1"/>
    <w:qFormat/>
    <w:rPr>
      <w:rFonts w:eastAsia="Calibri"/>
      <w:b/>
      <w:bCs/>
      <w:sz w:val="24"/>
      <w:szCs w:val="24"/>
      <w:lang w:val="en-US" w:eastAsia="zh-CN"/>
    </w:rPr>
  </w:style>
  <w:style w:type="character" w:styleId="51" w:customStyle="1">
    <w:name w:val="Заголовок 5 Знак1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1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Заголовок Знак"/>
    <w:uiPriority w:val="10"/>
    <w:qFormat/>
    <w:rPr>
      <w:sz w:val="48"/>
      <w:szCs w:val="48"/>
    </w:rPr>
  </w:style>
  <w:style w:type="character" w:styleId="1" w:customStyle="1">
    <w:name w:val="Подзаголовок Знак1"/>
    <w:uiPriority w:val="11"/>
    <w:qFormat/>
    <w:rPr>
      <w:sz w:val="24"/>
      <w:szCs w:val="24"/>
    </w:rPr>
  </w:style>
  <w:style w:type="character" w:styleId="211" w:customStyle="1">
    <w:name w:val="Цитата 2 Знак1"/>
    <w:link w:val="Quote"/>
    <w:uiPriority w:val="29"/>
    <w:qFormat/>
    <w:rPr>
      <w:i/>
    </w:rPr>
  </w:style>
  <w:style w:type="character" w:styleId="12" w:customStyle="1">
    <w:name w:val="Выделенная цитата Знак1"/>
    <w:link w:val="IntenseQuote"/>
    <w:uiPriority w:val="30"/>
    <w:qFormat/>
    <w:rPr>
      <w:i/>
    </w:rPr>
  </w:style>
  <w:style w:type="character" w:styleId="13" w:customStyle="1">
    <w:name w:val="Верхний колонтитул Знак1"/>
    <w:basedOn w:val="DefaultParagraphFont"/>
    <w:uiPriority w:val="99"/>
    <w:qFormat/>
    <w:rPr/>
  </w:style>
  <w:style w:type="character" w:styleId="Style1" w:customStyle="1">
    <w:name w:val="Нижний колонтитул Знак"/>
    <w:basedOn w:val="DefaultParagraphFont"/>
    <w:uiPriority w:val="99"/>
    <w:qFormat/>
    <w:rPr/>
  </w:style>
  <w:style w:type="character" w:styleId="Style2" w:customStyle="1">
    <w:name w:val="Название объекта Знак"/>
    <w:link w:val="Caption1"/>
    <w:uiPriority w:val="35"/>
    <w:qFormat/>
    <w:rPr>
      <w:b/>
      <w:bCs/>
      <w:color w:val="4F81BD"/>
      <w:sz w:val="18"/>
      <w:szCs w:val="18"/>
    </w:rPr>
  </w:style>
  <w:style w:type="character" w:styleId="14" w:customStyle="1">
    <w:name w:val="Текст сноски Знак1"/>
    <w:uiPriority w:val="99"/>
    <w:qFormat/>
    <w:rPr>
      <w:sz w:val="18"/>
    </w:rPr>
  </w:style>
  <w:style w:type="character" w:styleId="15" w:customStyle="1">
    <w:name w:val="Текст концевой сноски Знак1"/>
    <w:uiPriority w:val="99"/>
    <w:qFormat/>
    <w:rPr>
      <w:sz w:val="20"/>
    </w:rPr>
  </w:style>
  <w:style w:type="character" w:styleId="WW8Num3z0" w:customStyle="1">
    <w:name w:val="WW8Num3z0"/>
    <w:qFormat/>
    <w:rPr>
      <w:rFonts w:ascii="Times New Roman" w:hAnsi="Times New Roman" w:cs="Times New Roman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0" w:customStyle="1">
    <w:name w:val="WW8Num4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8"/>
      <w:sz w:val="28"/>
      <w:szCs w:val="28"/>
      <w:u w:val="none"/>
      <w:vertAlign w:val="baseline"/>
    </w:rPr>
  </w:style>
  <w:style w:type="character" w:styleId="WW8Num4z1" w:customStyle="1">
    <w:name w:val="WW8Num4z1"/>
    <w:qFormat/>
    <w:rPr>
      <w:b/>
      <w:bCs/>
      <w:i w:val="false"/>
      <w:iCs/>
      <w:sz w:val="24"/>
      <w:szCs w:val="24"/>
    </w:rPr>
  </w:style>
  <w:style w:type="character" w:styleId="WW8Num5z4" w:customStyle="1">
    <w:name w:val="WW8Num5z4"/>
    <w:qFormat/>
    <w:rPr>
      <w:rFonts w:ascii="Times New Roman" w:hAnsi="Times New Roman" w:cs="Times New Roman"/>
    </w:rPr>
  </w:style>
  <w:style w:type="character" w:styleId="WW8Num7z0" w:customStyle="1">
    <w:name w:val="WW8Num7z0"/>
    <w:qFormat/>
    <w:rPr>
      <w:b/>
      <w:bCs w:val="false"/>
      <w:sz w:val="24"/>
      <w:szCs w:val="24"/>
    </w:rPr>
  </w:style>
  <w:style w:type="character" w:styleId="WW8Num7z1" w:customStyle="1">
    <w:name w:val="WW8Num7z1"/>
    <w:qFormat/>
    <w:rPr>
      <w:b/>
      <w:bCs/>
      <w:sz w:val="24"/>
      <w:szCs w:val="24"/>
    </w:rPr>
  </w:style>
  <w:style w:type="character" w:styleId="WW8Num7z2" w:customStyle="1">
    <w:name w:val="WW8Num7z2"/>
    <w:qFormat/>
    <w:rPr>
      <w:sz w:val="24"/>
      <w:szCs w:val="24"/>
    </w:rPr>
  </w:style>
  <w:style w:type="character" w:styleId="WW8Num8z0" w:customStyle="1">
    <w:name w:val="WW8Num8z0"/>
    <w:qFormat/>
    <w:rPr>
      <w:rFonts w:ascii="Symbol" w:hAnsi="Symbol" w:cs="Symbol"/>
      <w:sz w:val="24"/>
      <w:szCs w:val="24"/>
    </w:rPr>
  </w:style>
  <w:style w:type="character" w:styleId="WW8Num10z0" w:customStyle="1">
    <w:name w:val="WW8Num10z0"/>
    <w:qFormat/>
    <w:rPr>
      <w:rFonts w:ascii="Symbol" w:hAnsi="Symbol" w:cs="Symbol"/>
      <w:sz w:val="24"/>
      <w:szCs w:val="24"/>
    </w:rPr>
  </w:style>
  <w:style w:type="character" w:styleId="WW8Num2z0" w:customStyle="1">
    <w:name w:val="WW8Num2z0"/>
    <w:qFormat/>
    <w:rPr>
      <w:rFonts w:ascii="Times New Roman" w:hAnsi="Times New Roman" w:cs="Times New Roman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WW8Num4z4" w:customStyle="1">
    <w:name w:val="WW8Num4z4"/>
    <w:qFormat/>
    <w:rPr>
      <w:rFonts w:ascii="Times New Roman" w:hAnsi="Times New Roman" w:cs="Times New Roman"/>
    </w:rPr>
  </w:style>
  <w:style w:type="character" w:styleId="WW8Num6z0" w:customStyle="1">
    <w:name w:val="WW8Num6z0"/>
    <w:qFormat/>
    <w:rPr>
      <w:b/>
      <w:bCs w:val="false"/>
      <w:sz w:val="24"/>
      <w:szCs w:val="24"/>
    </w:rPr>
  </w:style>
  <w:style w:type="character" w:styleId="WW8Num6z1" w:customStyle="1">
    <w:name w:val="WW8Num6z1"/>
    <w:qFormat/>
    <w:rPr>
      <w:b/>
      <w:bCs/>
      <w:sz w:val="24"/>
      <w:szCs w:val="24"/>
    </w:rPr>
  </w:style>
  <w:style w:type="character" w:styleId="WW8Num6z2" w:customStyle="1">
    <w:name w:val="WW8Num6z2"/>
    <w:qFormat/>
    <w:rPr>
      <w:sz w:val="24"/>
      <w:szCs w:val="24"/>
    </w:rPr>
  </w:style>
  <w:style w:type="character" w:styleId="WW8Num9z0" w:customStyle="1">
    <w:name w:val="WW8Num9z0"/>
    <w:qFormat/>
    <w:rPr>
      <w:rFonts w:ascii="Symbol" w:hAnsi="Symbol" w:cs="Symbol"/>
      <w:sz w:val="24"/>
      <w:szCs w:val="24"/>
    </w:rPr>
  </w:style>
  <w:style w:type="character" w:styleId="Style3" w:customStyle="1">
    <w:name w:val="Символ сноски"/>
    <w:qFormat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rFonts w:ascii="Times New Roman" w:hAnsi="Times New Roman" w:cs="Times New Roman"/>
      <w:sz w:val="16"/>
      <w:szCs w:val="16"/>
    </w:rPr>
  </w:style>
  <w:style w:type="character" w:styleId="Strong1" w:customStyle="1">
    <w:name w:val="Strong1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 w:cs="Cambria"/>
      <w:i/>
      <w:iCs/>
      <w:color w:val="243F60"/>
      <w:lang w:val="en-US"/>
    </w:rPr>
  </w:style>
  <w:style w:type="character" w:styleId="7" w:customStyle="1">
    <w:name w:val="Заголовок 7 Знак"/>
    <w:qFormat/>
    <w:rPr>
      <w:rFonts w:ascii="Cambria" w:hAnsi="Cambria" w:cs="Cambria"/>
      <w:i/>
      <w:iCs/>
      <w:color w:val="404040"/>
      <w:lang w:val="en-US"/>
    </w:rPr>
  </w:style>
  <w:style w:type="character" w:styleId="8" w:customStyle="1">
    <w:name w:val="Заголовок 8 Знак"/>
    <w:qFormat/>
    <w:rPr>
      <w:rFonts w:ascii="Cambria" w:hAnsi="Cambria" w:cs="Cambria"/>
      <w:color w:val="4F81BD"/>
      <w:lang w:val="en-US"/>
    </w:rPr>
  </w:style>
  <w:style w:type="character" w:styleId="16" w:customStyle="1">
    <w:name w:val="Заголовок 1 Знак"/>
    <w:qFormat/>
    <w:rPr>
      <w:rFonts w:eastAsia="Calibri"/>
      <w:b/>
      <w:sz w:val="28"/>
      <w:szCs w:val="28"/>
      <w:lang w:val="en-US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val="en-US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  <w:lang w:val="en-US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en-US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4" w:customStyle="1">
    <w:name w:val="Название Знак"/>
    <w:qFormat/>
    <w:rPr>
      <w:sz w:val="28"/>
    </w:rPr>
  </w:style>
  <w:style w:type="character" w:styleId="Style5" w:customStyle="1">
    <w:name w:val="Подзаголовок Знак"/>
    <w:qFormat/>
    <w:rPr>
      <w:rFonts w:ascii="Cambria" w:hAnsi="Cambria" w:cs="Cambria"/>
      <w:i/>
      <w:iCs/>
      <w:color w:val="4F81BD"/>
      <w:spacing w:val="15"/>
      <w:sz w:val="24"/>
      <w:szCs w:val="24"/>
      <w:lang w:val="en-US"/>
    </w:rPr>
  </w:style>
  <w:style w:type="character" w:styleId="Emphasis">
    <w:name w:val="Emphasis"/>
    <w:qFormat/>
    <w:rPr>
      <w:i/>
      <w:iCs/>
    </w:rPr>
  </w:style>
  <w:style w:type="character" w:styleId="22" w:customStyle="1">
    <w:name w:val="Цитата 2 Знак"/>
    <w:qFormat/>
    <w:rPr>
      <w:rFonts w:ascii="Calibri" w:hAnsi="Calibri" w:eastAsia="Calibri" w:cs="Calibri"/>
      <w:i/>
      <w:iCs/>
      <w:color w:val="000000"/>
      <w:lang w:val="en-US"/>
    </w:rPr>
  </w:style>
  <w:style w:type="character" w:styleId="Style6" w:customStyle="1">
    <w:name w:val="Выделенная цитата Знак"/>
    <w:qFormat/>
    <w:rPr>
      <w:rFonts w:ascii="Calibri" w:hAnsi="Calibri" w:eastAsia="Calibri" w:cs="Calibri"/>
      <w:b/>
      <w:bCs/>
      <w:i/>
      <w:iCs/>
      <w:color w:val="4F81BD"/>
      <w:lang w:val="en-US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7" w:customStyle="1">
    <w:name w:val="Электронная подпись Знак"/>
    <w:qFormat/>
    <w:rPr>
      <w:rFonts w:eastAsia="Calibri"/>
      <w:sz w:val="24"/>
      <w:szCs w:val="24"/>
    </w:rPr>
  </w:style>
  <w:style w:type="character" w:styleId="17" w:customStyle="1">
    <w:name w:val="Подпункт Знак1"/>
    <w:qFormat/>
    <w:rPr>
      <w:sz w:val="28"/>
    </w:rPr>
  </w:style>
  <w:style w:type="character" w:styleId="Style8" w:customStyle="1">
    <w:name w:val="Текст сноски Знак"/>
    <w:qFormat/>
    <w:rPr/>
  </w:style>
  <w:style w:type="character" w:styleId="Style9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10" w:customStyle="1">
    <w:name w:val="Абзац списка Знак"/>
    <w:qFormat/>
    <w:rPr>
      <w:rFonts w:eastAsia="Calibri"/>
      <w:sz w:val="24"/>
      <w:szCs w:val="24"/>
    </w:rPr>
  </w:style>
  <w:style w:type="character" w:styleId="Style11" w:customStyle="1">
    <w:name w:val="комментарий"/>
    <w:qFormat/>
    <w:rPr>
      <w:b/>
      <w:i/>
      <w:shd w:fill="FFFF99" w:val="clear"/>
    </w:rPr>
  </w:style>
  <w:style w:type="character" w:styleId="Style12" w:customStyle="1">
    <w:name w:val="Подподпункт Знак"/>
    <w:qFormat/>
    <w:rPr>
      <w:sz w:val="26"/>
      <w:szCs w:val="26"/>
    </w:rPr>
  </w:style>
  <w:style w:type="character" w:styleId="32" w:customStyle="1">
    <w:name w:val="УРОВЕНЬ_Абзац_тип3 Знак"/>
    <w:qFormat/>
    <w:rPr>
      <w:rFonts w:eastAsia="Calibri"/>
      <w:sz w:val="26"/>
      <w:szCs w:val="28"/>
    </w:rPr>
  </w:style>
  <w:style w:type="character" w:styleId="Style13" w:customStyle="1">
    <w:name w:val="Верхний колонтитул Знак"/>
    <w:qFormat/>
    <w:rPr>
      <w:sz w:val="24"/>
      <w:szCs w:val="24"/>
    </w:rPr>
  </w:style>
  <w:style w:type="character" w:styleId="Style14" w:customStyle="1">
    <w:name w:val="Текст примечания Знак"/>
    <w:qFormat/>
    <w:rPr/>
  </w:style>
  <w:style w:type="character" w:styleId="Style15" w:customStyle="1">
    <w:name w:val="Текст концевой сноски Знак"/>
    <w:basedOn w:val="DefaultParagraphFont"/>
    <w:qFormat/>
    <w:rPr/>
  </w:style>
  <w:style w:type="character" w:styleId="Style16" w:customStyle="1">
    <w:name w:val="Символ концевой сноски"/>
    <w:qFormat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23" w:customStyle="1">
    <w:name w:val="Пункт2 Знак"/>
    <w:qFormat/>
    <w:rPr>
      <w:b/>
      <w:sz w:val="28"/>
    </w:rPr>
  </w:style>
  <w:style w:type="character" w:styleId="18" w:customStyle="1">
    <w:name w:val="УРОВЕНЬ_1. Знак"/>
    <w:qFormat/>
    <w:rPr>
      <w:rFonts w:eastAsia="Calibri"/>
      <w:caps/>
      <w:sz w:val="28"/>
      <w:szCs w:val="28"/>
    </w:rPr>
  </w:style>
  <w:style w:type="character" w:styleId="19" w:customStyle="1">
    <w:name w:val="Неразрешенное упоминание1"/>
    <w:qFormat/>
    <w:rPr>
      <w:color w:val="605E5C"/>
      <w:shd w:fill="E1DFDD" w:val="clear"/>
    </w:rPr>
  </w:style>
  <w:style w:type="character" w:styleId="33" w:customStyle="1">
    <w:name w:val="Основной текст с отступом 3 Знак"/>
    <w:qFormat/>
    <w:rPr>
      <w:sz w:val="16"/>
      <w:szCs w:val="16"/>
    </w:rPr>
  </w:style>
  <w:style w:type="character" w:styleId="WW-" w:customStyle="1">
    <w:name w:val="WW-Символ сноски"/>
    <w:qFormat/>
    <w:rPr/>
  </w:style>
  <w:style w:type="character" w:styleId="Style17" w:customStyle="1">
    <w:name w:val="Ссылка указателя"/>
    <w:qFormat/>
    <w:rPr/>
  </w:style>
  <w:style w:type="character" w:styleId="WW-1" w:customStyle="1">
    <w:name w:val="WW-Символ концевой сноски"/>
    <w:qFormat/>
    <w:rPr/>
  </w:style>
  <w:style w:type="character" w:styleId="FootnoteReference1" w:customStyle="1">
    <w:name w:val="Footnote Reference1"/>
    <w:qFormat/>
    <w:rPr>
      <w:vertAlign w:val="superscript"/>
    </w:rPr>
  </w:style>
  <w:style w:type="character" w:styleId="EndnoteReference1" w:customStyle="1">
    <w:name w:val="Endnote Reference1"/>
    <w:qFormat/>
    <w:rPr>
      <w:vertAlign w:val="superscript"/>
    </w:rPr>
  </w:style>
  <w:style w:type="character" w:styleId="FootnoteReference2" w:customStyle="1">
    <w:name w:val="Footnote Reference2"/>
    <w:qFormat/>
    <w:rPr>
      <w:vertAlign w:val="superscript"/>
    </w:rPr>
  </w:style>
  <w:style w:type="character" w:styleId="EndnoteReference2" w:customStyle="1">
    <w:name w:val="Endnote Reference2"/>
    <w:qFormat/>
    <w:rPr>
      <w:vertAlign w:val="superscript"/>
    </w:rPr>
  </w:style>
  <w:style w:type="character" w:styleId="FootnoteReference3" w:customStyle="1">
    <w:name w:val="Footnote Reference3"/>
    <w:qFormat/>
    <w:rPr>
      <w:vertAlign w:val="superscript"/>
    </w:rPr>
  </w:style>
  <w:style w:type="character" w:styleId="EndnoteReference3" w:customStyle="1">
    <w:name w:val="Endnote Reference3"/>
    <w:qFormat/>
    <w:rPr>
      <w:vertAlign w:val="superscript"/>
    </w:rPr>
  </w:style>
  <w:style w:type="character" w:styleId="FootnoteReference4" w:customStyle="1">
    <w:name w:val="Footnote Reference4"/>
    <w:qFormat/>
    <w:rPr>
      <w:vertAlign w:val="superscript"/>
    </w:rPr>
  </w:style>
  <w:style w:type="character" w:styleId="EndnoteReference4" w:customStyle="1">
    <w:name w:val="Endnote Reference4"/>
    <w:qFormat/>
    <w:rPr>
      <w:vertAlign w:val="superscript"/>
    </w:rPr>
  </w:style>
  <w:style w:type="character" w:styleId="FootnoteReference5" w:customStyle="1">
    <w:name w:val="Footnote Reference5"/>
    <w:qFormat/>
    <w:rPr>
      <w:vertAlign w:val="superscript"/>
    </w:rPr>
  </w:style>
  <w:style w:type="character" w:styleId="EndnoteReference5" w:customStyle="1">
    <w:name w:val="Endnote Reference5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110" w:customStyle="1">
    <w:name w:val="Текст примечания Знак1"/>
    <w:qFormat/>
    <w:rPr>
      <w:rFonts w:ascii="Times New Roman" w:hAnsi="Times New Roman" w:cs="Times New Roman"/>
    </w:rPr>
  </w:style>
  <w:style w:type="character" w:styleId="Style18" w:customStyle="1">
    <w:name w:val="Тема примечания Знак"/>
    <w:qFormat/>
    <w:rPr>
      <w:rFonts w:ascii="Times New Roman" w:hAnsi="Times New Roman" w:cs="Times New Roman"/>
      <w:b/>
      <w:bCs/>
    </w:rPr>
  </w:style>
  <w:style w:type="character" w:styleId="Style19" w:customStyle="1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FootnoteReference6" w:customStyle="1">
    <w:name w:val="Footnote Reference6"/>
    <w:qFormat/>
    <w:rPr>
      <w:vertAlign w:val="superscript"/>
    </w:rPr>
  </w:style>
  <w:style w:type="character" w:styleId="EndnoteReference6" w:customStyle="1">
    <w:name w:val="Endnote Reference6"/>
    <w:qFormat/>
    <w:rPr>
      <w:vertAlign w:val="superscript"/>
    </w:rPr>
  </w:style>
  <w:style w:type="character" w:styleId="FootnoteReference7" w:customStyle="1">
    <w:name w:val="Footnote Reference7"/>
    <w:qFormat/>
    <w:rPr>
      <w:vertAlign w:val="superscript"/>
    </w:rPr>
  </w:style>
  <w:style w:type="character" w:styleId="EndnoteReference7" w:customStyle="1">
    <w:name w:val="Endnote Reference7"/>
    <w:qFormat/>
    <w:rPr>
      <w:vertAlign w:val="superscript"/>
    </w:rPr>
  </w:style>
  <w:style w:type="character" w:styleId="FootnoteReference8" w:customStyle="1">
    <w:name w:val="Footnote Reference8"/>
    <w:qFormat/>
    <w:rPr>
      <w:vertAlign w:val="superscript"/>
    </w:rPr>
  </w:style>
  <w:style w:type="character" w:styleId="EndnoteReference8" w:customStyle="1">
    <w:name w:val="Endnote Reference8"/>
    <w:qFormat/>
    <w:rPr>
      <w:vertAlign w:val="superscript"/>
    </w:rPr>
  </w:style>
  <w:style w:type="character" w:styleId="FootnoteReference9" w:customStyle="1">
    <w:name w:val="Footnote Reference9"/>
    <w:qFormat/>
    <w:rPr>
      <w:vertAlign w:val="superscript"/>
    </w:rPr>
  </w:style>
  <w:style w:type="character" w:styleId="EndnoteReference9" w:customStyle="1">
    <w:name w:val="Endnote Reference9"/>
    <w:qFormat/>
    <w:rPr>
      <w:vertAlign w:val="superscript"/>
    </w:rPr>
  </w:style>
  <w:style w:type="character" w:styleId="FootnoteReference10" w:customStyle="1">
    <w:name w:val="Footnote Reference10"/>
    <w:qFormat/>
    <w:rPr>
      <w:vertAlign w:val="superscript"/>
    </w:rPr>
  </w:style>
  <w:style w:type="character" w:styleId="EndnoteReference10" w:customStyle="1">
    <w:name w:val="Endnote Reference10"/>
    <w:qFormat/>
    <w:rPr>
      <w:vertAlign w:val="superscript"/>
    </w:rPr>
  </w:style>
  <w:style w:type="character" w:styleId="FootnoteReference11" w:customStyle="1">
    <w:name w:val="Footnote Reference11"/>
    <w:qFormat/>
    <w:rPr>
      <w:vertAlign w:val="superscript"/>
    </w:rPr>
  </w:style>
  <w:style w:type="character" w:styleId="EndnoteReference11" w:customStyle="1">
    <w:name w:val="Endnote Reference11"/>
    <w:qFormat/>
    <w:rPr>
      <w:vertAlign w:val="superscript"/>
    </w:rPr>
  </w:style>
  <w:style w:type="character" w:styleId="FootnoteReference12" w:customStyle="1">
    <w:name w:val="Footnote Reference12"/>
    <w:qFormat/>
    <w:rPr>
      <w:vertAlign w:val="superscript"/>
    </w:rPr>
  </w:style>
  <w:style w:type="character" w:styleId="EndnoteReference12" w:customStyle="1">
    <w:name w:val="Endnote Reference12"/>
    <w:qFormat/>
    <w:rPr>
      <w:vertAlign w:val="superscript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Style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Caption1">
    <w:name w:val="caption1"/>
    <w:basedOn w:val="Normal"/>
    <w:link w:val="Style2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111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112" w:customStyle="1">
    <w:name w:val="Указатель1"/>
    <w:basedOn w:val="Normal"/>
    <w:qFormat/>
    <w:pPr>
      <w:suppressLineNumbers/>
    </w:pPr>
    <w:rPr>
      <w:lang w:val="en-US" w:bidi="en-US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23" w:customStyle="1">
    <w:name w:val="Раздел положения"/>
    <w:basedOn w:val="Normal"/>
    <w:qFormat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24" w:customStyle="1">
    <w:name w:val="Подраздел раздела положения"/>
    <w:basedOn w:val="Normal"/>
    <w:qFormat/>
    <w:pPr>
      <w:tabs>
        <w:tab w:val="clear" w:pos="708"/>
        <w:tab w:val="left" w:pos="360" w:leader="none"/>
      </w:tabs>
      <w:spacing w:before="80" w:after="80"/>
      <w:ind w:hanging="360" w:left="360"/>
      <w:jc w:val="both"/>
    </w:pPr>
    <w:rPr/>
  </w:style>
  <w:style w:type="paragraph" w:styleId="FootnoteText">
    <w:name w:val="Footnote Text"/>
    <w:basedOn w:val="Normal"/>
    <w:link w:val="14"/>
    <w:pPr/>
    <w:rPr>
      <w:sz w:val="20"/>
      <w:szCs w:val="20"/>
    </w:rPr>
  </w:style>
  <w:style w:type="paragraph" w:styleId="113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14" w:customStyle="1">
    <w:name w:val="Название1"/>
    <w:basedOn w:val="Normal"/>
    <w:qFormat/>
    <w:pPr>
      <w:jc w:val="center"/>
    </w:pPr>
    <w:rPr>
      <w:szCs w:val="20"/>
      <w:lang w:val="en-US"/>
    </w:rPr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13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Footer">
    <w:name w:val="Footer"/>
    <w:basedOn w:val="Normal"/>
    <w:link w:val="Style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/>
      <w:jc w:val="center"/>
    </w:pPr>
    <w:rPr>
      <w:b/>
      <w:bCs/>
      <w:sz w:val="24"/>
      <w:szCs w:val="20"/>
    </w:rPr>
  </w:style>
  <w:style w:type="paragraph" w:styleId="Style26" w:customStyle="1">
    <w:name w:val="Подпункт"/>
    <w:basedOn w:val="Normal"/>
    <w:qFormat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  <w:lang w:val="en-US"/>
    </w:rPr>
  </w:style>
  <w:style w:type="paragraph" w:styleId="25" w:customStyle="1">
    <w:name w:val="Пункт2"/>
    <w:basedOn w:val="Normal"/>
    <w:qFormat/>
    <w:pPr>
      <w:keepNext w:val="true"/>
      <w:tabs>
        <w:tab w:val="clear" w:pos="708"/>
        <w:tab w:val="left" w:pos="1134" w:leader="none"/>
      </w:tabs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pPr>
      <w:spacing w:before="120" w:after="0"/>
    </w:pPr>
    <w:rPr>
      <w:rFonts w:cs="Calibri Light (Заголовки)"/>
      <w:sz w:val="24"/>
      <w:szCs w:val="24"/>
    </w:rPr>
  </w:style>
  <w:style w:type="paragraph" w:styleId="TOC3">
    <w:name w:val="TOC 3"/>
    <w:basedOn w:val="Normal"/>
    <w:next w:val="Normal"/>
    <w:pPr>
      <w:ind w:left="280"/>
    </w:pPr>
    <w:rPr>
      <w:rFonts w:cs="Calibri"/>
      <w:sz w:val="20"/>
      <w:szCs w:val="20"/>
    </w:rPr>
  </w:style>
  <w:style w:type="paragraph" w:styleId="Style27" w:customStyle="1">
    <w:name w:val="Раздел регламента"/>
    <w:basedOn w:val="Normal"/>
    <w:qFormat/>
    <w:pPr/>
    <w:rPr/>
  </w:style>
  <w:style w:type="paragraph" w:styleId="Style28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15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pPr>
      <w:ind w:left="19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pPr>
      <w:ind w:left="84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pPr>
      <w:ind w:left="560"/>
    </w:pPr>
    <w:rPr>
      <w:rFonts w:cs="Calibri"/>
      <w:sz w:val="20"/>
      <w:szCs w:val="20"/>
    </w:rPr>
  </w:style>
  <w:style w:type="paragraph" w:styleId="26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9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1111111111" w:customStyle="1">
    <w:name w:val="caption1111111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1"/>
    <w:qFormat/>
    <w:pPr>
      <w:ind w:firstLine="709" w:left="1066"/>
    </w:pPr>
    <w:rPr>
      <w:rFonts w:ascii="Cambria" w:hAnsi="Cambria" w:cs="Cambria"/>
      <w:i/>
      <w:iCs/>
      <w:color w:val="4F81BD"/>
      <w:spacing w:val="15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08"/>
    </w:pPr>
    <w:rPr/>
  </w:style>
  <w:style w:type="paragraph" w:styleId="Quote">
    <w:name w:val="Quote"/>
    <w:basedOn w:val="Normal"/>
    <w:next w:val="Normal"/>
    <w:link w:val="211"/>
    <w:qFormat/>
    <w:pPr/>
    <w:rPr>
      <w:rFonts w:ascii="Calibri" w:hAnsi="Calibri" w:eastAsia="Calibri" w:cs="Calibri"/>
      <w:i/>
      <w:iCs/>
      <w:color w:val="000000"/>
      <w:sz w:val="20"/>
      <w:szCs w:val="20"/>
      <w:lang w:val="en-US"/>
    </w:rPr>
  </w:style>
  <w:style w:type="paragraph" w:styleId="IntenseQuote">
    <w:name w:val="Intense Quote"/>
    <w:basedOn w:val="Normal"/>
    <w:next w:val="Normal"/>
    <w:link w:val="12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 w:cs="Calibri"/>
      <w:b/>
      <w:bCs/>
      <w:i/>
      <w:iCs/>
      <w:color w:val="4F81BD"/>
      <w:sz w:val="20"/>
      <w:szCs w:val="20"/>
      <w:lang w:val="en-US"/>
    </w:rPr>
  </w:style>
  <w:style w:type="paragraph" w:styleId="IndexHeading">
    <w:name w:val="Index Heading"/>
    <w:basedOn w:val="Style20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 w:cs="Cambria"/>
      <w:bCs/>
      <w:color w:val="365F91"/>
    </w:rPr>
  </w:style>
  <w:style w:type="paragraph" w:styleId="E-mailSignature">
    <w:name w:val="E-mail Signature"/>
    <w:basedOn w:val="Normal"/>
    <w:qFormat/>
    <w:pPr/>
    <w:rPr>
      <w:rFonts w:eastAsia="Calibri"/>
      <w:sz w:val="24"/>
      <w:szCs w:val="24"/>
      <w:lang w:val="en-US"/>
    </w:rPr>
  </w:style>
  <w:style w:type="paragraph" w:styleId="Style30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pPr>
      <w:numPr>
        <w:ilvl w:val="0"/>
        <w:numId w:val="3"/>
      </w:numPr>
      <w:jc w:val="both"/>
    </w:pPr>
    <w:rPr>
      <w:rFonts w:ascii="Garamond" w:hAnsi="Garamond" w:cs="Garamond"/>
      <w:sz w:val="24"/>
      <w:szCs w:val="20"/>
    </w:rPr>
  </w:style>
  <w:style w:type="paragraph" w:styleId="ListBullet4">
    <w:name w:val="List Bullet 4"/>
    <w:basedOn w:val="Normal"/>
    <w:qFormat/>
    <w:pPr>
      <w:tabs>
        <w:tab w:val="clear" w:pos="708"/>
        <w:tab w:val="left" w:pos="0" w:leader="none"/>
      </w:tabs>
      <w:spacing w:before="120" w:after="0"/>
      <w:ind w:hanging="360" w:left="207"/>
      <w:jc w:val="both"/>
    </w:pPr>
    <w:rPr>
      <w:rFonts w:ascii="Garamond" w:hAnsi="Garamond" w:cs="Garamond"/>
      <w:sz w:val="24"/>
      <w:szCs w:val="20"/>
    </w:rPr>
  </w:style>
  <w:style w:type="paragraph" w:styleId="27" w:customStyle="1">
    <w:name w:val="Нумерованный список ур2"/>
    <w:basedOn w:val="Normal"/>
    <w:qFormat/>
    <w:pPr>
      <w:tabs>
        <w:tab w:val="clear" w:pos="708"/>
        <w:tab w:val="left" w:pos="0" w:leader="none"/>
      </w:tabs>
      <w:spacing w:before="120" w:after="0"/>
      <w:ind w:hanging="360" w:left="207"/>
      <w:jc w:val="both"/>
    </w:pPr>
    <w:rPr>
      <w:rFonts w:ascii="Garamond" w:hAnsi="Garamond" w:cs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/>
    </w:rPr>
  </w:style>
  <w:style w:type="paragraph" w:styleId="Style31" w:customStyle="1">
    <w:name w:val="Пункт"/>
    <w:basedOn w:val="Normal"/>
    <w:qFormat/>
    <w:pPr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cs="Arial"/>
      <w:b/>
      <w:i/>
      <w:szCs w:val="20"/>
    </w:rPr>
  </w:style>
  <w:style w:type="paragraph" w:styleId="116" w:customStyle="1">
    <w:name w:val="Абзац списка1"/>
    <w:basedOn w:val="Normal"/>
    <w:qFormat/>
    <w:pPr>
      <w:spacing w:lineRule="auto" w:line="276" w:before="0" w:after="200"/>
      <w:ind w:left="720"/>
      <w:contextualSpacing/>
    </w:pPr>
    <w:rPr>
      <w:rFonts w:ascii="Calibri" w:hAnsi="Calibri" w:cs="Calibri"/>
      <w:sz w:val="22"/>
      <w:szCs w:val="22"/>
    </w:rPr>
  </w:style>
  <w:style w:type="paragraph" w:styleId="Style32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en-US"/>
    </w:rPr>
  </w:style>
  <w:style w:type="paragraph" w:styleId="Style33" w:customStyle="1">
    <w:name w:val="Таблица шапка"/>
    <w:basedOn w:val="Normal"/>
    <w:qFormat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4" w:customStyle="1">
    <w:name w:val="Подподпункт"/>
    <w:basedOn w:val="Style26"/>
    <w:qFormat/>
    <w:pPr>
      <w:tabs>
        <w:tab w:val="clear" w:pos="1134"/>
        <w:tab w:val="left" w:pos="5104" w:leader="none"/>
      </w:tabs>
      <w:spacing w:lineRule="auto" w:line="240" w:before="120" w:after="0"/>
      <w:ind w:hanging="567" w:left="5104"/>
    </w:pPr>
    <w:rPr>
      <w:sz w:val="26"/>
      <w:szCs w:val="26"/>
      <w:lang w:val="ru-RU"/>
    </w:rPr>
  </w:style>
  <w:style w:type="paragraph" w:styleId="Style35" w:customStyle="1">
    <w:name w:val="УРОВЕНЬ_(а)"/>
    <w:basedOn w:val="ListParagraph"/>
    <w:qFormat/>
    <w:pPr>
      <w:numPr>
        <w:ilvl w:val="0"/>
        <w:numId w:val="5"/>
      </w:numPr>
      <w:spacing w:lineRule="exact" w:line="360" w:before="120" w:after="0"/>
      <w:jc w:val="both"/>
      <w:outlineLvl w:val="3"/>
    </w:pPr>
    <w:rPr>
      <w:sz w:val="26"/>
    </w:rPr>
  </w:style>
  <w:style w:type="paragraph" w:styleId="-" w:customStyle="1">
    <w:name w:val="УРОВЕНЬ_-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hanging="1134" w:left="1134"/>
      <w:jc w:val="both"/>
      <w:outlineLvl w:val="4"/>
    </w:pPr>
    <w:rPr>
      <w:sz w:val="26"/>
    </w:rPr>
  </w:style>
  <w:style w:type="paragraph" w:styleId="28" w:customStyle="1">
    <w:name w:val="УРОВЕНЬ_Абзац_тип2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hanging="1134" w:left="1134"/>
      <w:jc w:val="both"/>
    </w:pPr>
    <w:rPr>
      <w:sz w:val="26"/>
    </w:rPr>
  </w:style>
  <w:style w:type="paragraph" w:styleId="37" w:customStyle="1">
    <w:name w:val="УРОВЕНЬ_Абзац_тип3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hanging="1134" w:left="1134"/>
      <w:jc w:val="both"/>
    </w:pPr>
    <w:rPr>
      <w:sz w:val="26"/>
    </w:rPr>
  </w:style>
  <w:style w:type="paragraph" w:styleId="Style36" w:customStyle="1">
    <w:name w:val="УРОВЕНЬ_Подпись"/>
    <w:basedOn w:val="ListParagraph"/>
    <w:qFormat/>
    <w:pPr>
      <w:keepNext w:val="true"/>
      <w:tabs>
        <w:tab w:val="clear" w:pos="708"/>
        <w:tab w:val="left" w:pos="0" w:leader="none"/>
      </w:tabs>
      <w:spacing w:lineRule="exact" w:line="360" w:before="120" w:after="120"/>
      <w:ind w:hanging="1134" w:left="1134"/>
      <w:jc w:val="right"/>
      <w:outlineLvl w:val="3"/>
    </w:pPr>
    <w:rPr>
      <w:sz w:val="26"/>
    </w:rPr>
  </w:style>
  <w:style w:type="paragraph" w:styleId="117" w:customStyle="1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left" w:pos="0" w:leader="none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 w:cs="Arial"/>
      <w:bCs/>
      <w:sz w:val="40"/>
      <w:szCs w:val="20"/>
      <w:lang w:val="ru-RU"/>
    </w:rPr>
  </w:style>
  <w:style w:type="paragraph" w:styleId="EndnoteText">
    <w:name w:val="Endnote Text"/>
    <w:basedOn w:val="Normal"/>
    <w:link w:val="15"/>
    <w:pPr/>
    <w:rPr>
      <w:sz w:val="20"/>
      <w:szCs w:val="20"/>
    </w:rPr>
  </w:style>
  <w:style w:type="paragraph" w:styleId="29" w:customStyle="1">
    <w:name w:val="Заголовок 2 КВВ"/>
    <w:basedOn w:val="Normal"/>
    <w:qFormat/>
    <w:pPr>
      <w:keepNext w:val="true"/>
      <w:numPr>
        <w:ilvl w:val="0"/>
        <w:numId w:val="6"/>
      </w:numPr>
      <w:spacing w:before="120" w:after="120"/>
      <w:jc w:val="both"/>
      <w:outlineLvl w:val="0"/>
    </w:pPr>
    <w:rPr>
      <w:b/>
      <w:sz w:val="24"/>
      <w:szCs w:val="20"/>
    </w:rPr>
  </w:style>
  <w:style w:type="paragraph" w:styleId="Style37" w:customStyle="1">
    <w:name w:val="Таблица текст"/>
    <w:basedOn w:val="Normal"/>
    <w:qFormat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18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/>
      <w:jc w:val="both"/>
      <w:outlineLvl w:val="0"/>
    </w:pPr>
    <w:rPr>
      <w:caps/>
    </w:rPr>
  </w:style>
  <w:style w:type="paragraph" w:styleId="TOC6">
    <w:name w:val="TOC 6"/>
    <w:basedOn w:val="Normal"/>
    <w:next w:val="Normal"/>
    <w:pPr>
      <w:ind w:left="112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left="14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pPr>
      <w:ind w:left="1680"/>
    </w:pPr>
    <w:rPr>
      <w:rFonts w:ascii="Calibri" w:hAnsi="Calibri" w:cs="Calibri"/>
      <w:sz w:val="20"/>
      <w:szCs w:val="20"/>
    </w:rPr>
  </w:style>
  <w:style w:type="paragraph" w:styleId="Style38" w:customStyle="1">
    <w:name w:val="Содержимое врезки"/>
    <w:basedOn w:val="Normal"/>
    <w:qFormat/>
    <w:pPr/>
    <w:rPr/>
  </w:style>
  <w:style w:type="paragraph" w:styleId="Style39" w:customStyle="1">
    <w:name w:val="Содержимое таблицы"/>
    <w:basedOn w:val="Normal"/>
    <w:qFormat/>
    <w:pPr>
      <w:suppressLineNumbers/>
    </w:pPr>
    <w:rPr/>
  </w:style>
  <w:style w:type="paragraph" w:styleId="Style40" w:customStyle="1">
    <w:name w:val="Заголовок таблицы"/>
    <w:basedOn w:val="Style39"/>
    <w:qFormat/>
    <w:pPr>
      <w:jc w:val="center"/>
    </w:pPr>
    <w:rPr>
      <w:b/>
      <w:bCs/>
    </w:rPr>
  </w:style>
  <w:style w:type="paragraph" w:styleId="Style41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Plain Table 1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2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40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50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tblPr>
      <w:tblStyleRowBandSize w:val="1"/>
      <w:tblStyleColBandSize w:val="1"/>
      <w:tblBorders>
        <w:right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Application>AlterOffice/2026.2.0.0$Linux_X86_64 LibreOffice_project/bc4ef1adf80b36c7a6365f8ed6cbf29021361edd</Application>
  <AppVersion>15.0000</AppVersion>
  <Pages>22</Pages>
  <Words>2414</Words>
  <Characters>16358</Characters>
  <CharactersWithSpaces>18460</CharactersWithSpaces>
  <Paragraphs>379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2021-04-04T02:36:00Z</dcterms:created>
  <dc:creator>Быстров Олег Геннадьевич</dc:creator>
  <dc:description/>
  <dc:language>ru-RU</dc:language>
  <cp:lastModifiedBy>bezmaternyheb@corp.gidroogk.com</cp:lastModifiedBy>
  <dcterms:modified xsi:type="dcterms:W3CDTF">2026-10-13T15:49:47Z</dcterms:modified>
  <cp:revision>25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