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rFonts w:eastAsia="Calibri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«ОКПД2 71.12.19.100 Разработка рабочей документации 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 xml:space="preserve">по техническому перевооружению </w:t>
      </w:r>
    </w:p>
    <w:p>
      <w:pPr>
        <w:pStyle w:val="Normal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локальной системы оповещения населения Камской ГЭС»</w:t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Heading1"/>
        <w:numPr>
          <w:ilvl w:val="0"/>
          <w:numId w:val="1"/>
        </w:numPr>
        <w:rPr/>
      </w:pPr>
      <w:r>
        <w:rPr/>
      </w:r>
    </w:p>
    <w:p>
      <w:pPr>
        <w:pStyle w:val="Heading1"/>
        <w:numPr>
          <w:ilvl w:val="0"/>
          <w:numId w:val="0"/>
        </w:numPr>
        <w:ind w:hanging="0" w:left="0"/>
        <w:rPr/>
      </w:pPr>
      <w:r>
        <w:rPr/>
      </w:r>
    </w:p>
    <w:p>
      <w:pPr>
        <w:pStyle w:val="Heading1"/>
        <w:numPr>
          <w:ilvl w:val="0"/>
          <w:numId w:val="1"/>
        </w:numPr>
        <w:rPr/>
      </w:pPr>
      <w:r>
        <w:rPr/>
      </w:r>
    </w:p>
    <w:p>
      <w:pPr>
        <w:pStyle w:val="Heading1"/>
        <w:numPr>
          <w:ilvl w:val="0"/>
          <w:numId w:val="1"/>
        </w:numPr>
        <w:rPr/>
      </w:pPr>
      <w:r>
        <w:rPr/>
      </w:r>
    </w:p>
    <w:p>
      <w:pPr>
        <w:pStyle w:val="Heading1"/>
        <w:numPr>
          <w:ilvl w:val="0"/>
          <w:numId w:val="1"/>
        </w:numPr>
        <w:rPr/>
      </w:pPr>
      <w:bookmarkStart w:id="0" w:name="__RefHeading___Toc29818116"/>
      <w:bookmarkEnd w:id="0"/>
      <w:r>
        <w:rPr/>
        <w:t>СОДЕРЖАНИЕ</w:t>
      </w:r>
    </w:p>
    <w:p>
      <w:pPr>
        <w:pStyle w:val="Normal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</w:r>
    </w:p>
    <w:p>
      <w:pPr>
        <w:pStyle w:val="Normal"/>
        <w:jc w:val="center"/>
        <w:rPr>
          <w:b/>
          <w:sz w:val="24"/>
          <w:szCs w:val="20"/>
        </w:rPr>
      </w:pPr>
      <w:r>
        <w:rPr>
          <w:b/>
          <w:sz w:val="24"/>
          <w:szCs w:val="20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440"/>
              <w:tab w:val="clear" w:pos="9923"/>
              <w:tab w:val="right" w:pos="10054" w:leader="dot"/>
            </w:tabs>
            <w:rPr>
              <w:lang w:val="en-US"/>
            </w:rPr>
          </w:pPr>
          <w:r>
            <w:fldChar w:fldCharType="begin"/>
          </w:r>
          <w:r>
            <w:rPr>
              <w:webHidden/>
              <w:rStyle w:val="Style18"/>
              <w:vanish w:val="false"/>
              <w:lang w:val="ru-RU" w:eastAsia="ru-RU"/>
            </w:rPr>
            <w:instrText xml:space="preserve"> TOC \z \o "1-2" \u \h</w:instrText>
          </w:r>
          <w:r>
            <w:rPr>
              <w:webHidden/>
              <w:rStyle w:val="Style18"/>
              <w:vanish w:val="false"/>
              <w:lang w:val="ru-RU" w:eastAsia="ru-RU"/>
            </w:rPr>
            <w:fldChar w:fldCharType="separate"/>
          </w:r>
          <w:hyperlink w:anchor="__RefHeading___Toc29818116">
            <w:r>
              <w:rPr>
                <w:webHidden/>
                <w:rStyle w:val="Style18"/>
                <w:vanish w:val="false"/>
                <w:lang w:val="ru-RU" w:eastAsia="ru-RU"/>
              </w:rPr>
              <w:t>СОДЕРЖАНИЕ</w:t>
              <w:tab/>
              <w:t>2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right" w:pos="10054" w:leader="dot"/>
            </w:tabs>
            <w:rPr/>
          </w:pPr>
          <w:hyperlink w:anchor="__RefHeading___Toc29818117">
            <w:r>
              <w:rPr>
                <w:webHidden/>
                <w:rStyle w:val="Style18"/>
                <w:vanish w:val="false"/>
                <w:lang w:val="ru-RU" w:eastAsia="ru-RU"/>
              </w:rPr>
              <w:t>ОБОЗНАЧЕНИЯ И СОКРАЩЕНИЯ</w:t>
              <w:tab/>
              <w:t>3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18">
            <w:r>
              <w:rPr>
                <w:webHidden/>
                <w:rStyle w:val="Style18"/>
                <w:vanish w:val="false"/>
                <w:lang w:val="ru-RU" w:eastAsia="ru-RU"/>
              </w:rPr>
              <w:t>1.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Наименование закупаемых работ.</w:t>
              <w:tab/>
              <w:t>4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19">
            <w:r>
              <w:rPr>
                <w:webHidden/>
                <w:rStyle w:val="Style18"/>
                <w:vanish w:val="false"/>
                <w:lang w:val="ru-RU" w:eastAsia="ru-RU"/>
              </w:rPr>
              <w:t>2.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Заказчик.</w:t>
              <w:tab/>
              <w:t>4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20">
            <w:r>
              <w:rPr>
                <w:webHidden/>
                <w:rStyle w:val="Style18"/>
                <w:vanish w:val="false"/>
                <w:lang w:val="ru-RU" w:eastAsia="ru-RU"/>
              </w:rPr>
              <w:t>3.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Цели и задачи.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1">
            <w:r>
              <w:rPr>
                <w:webHidden/>
                <w:rStyle w:val="Style18"/>
                <w:vanish w:val="false"/>
                <w:lang w:val="ru-RU" w:eastAsia="ru-RU"/>
              </w:rPr>
              <w:t>3.1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Цели и задачи.</w:t>
              <w:tab/>
              <w:t>4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2">
            <w:r>
              <w:rPr>
                <w:webHidden/>
                <w:rStyle w:val="Style18"/>
                <w:vanish w:val="false"/>
                <w:lang w:val="ru-RU" w:eastAsia="ru-RU"/>
              </w:rPr>
              <w:t>3.2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Существующее положение.</w:t>
              <w:tab/>
              <w:t>4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3">
            <w:r>
              <w:rPr>
                <w:webHidden/>
                <w:rStyle w:val="Style18"/>
                <w:bCs/>
                <w:vanish w:val="false"/>
                <w:lang w:val="ru-RU" w:eastAsia="ru-RU"/>
              </w:rPr>
              <w:t>3.3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Основание на выполнение работ.</w:t>
              <w:tab/>
              <w:t>5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4">
            <w:r>
              <w:rPr>
                <w:webHidden/>
                <w:rStyle w:val="Style18"/>
                <w:vanish w:val="false"/>
                <w:lang w:val="ru-RU" w:eastAsia="ru-RU"/>
              </w:rPr>
              <w:t>3.4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Перечень Объектов</w:t>
              <w:tab/>
              <w:t>5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25">
            <w:r>
              <w:rPr>
                <w:webHidden/>
                <w:rStyle w:val="Style18"/>
                <w:vanish w:val="false"/>
                <w:lang w:val="ru-RU" w:eastAsia="ru-RU"/>
              </w:rPr>
              <w:t>4.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Требования к закупаемому работам (технические и иные характеристики)</w:t>
              <w:tab/>
              <w:t>6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26">
            <w:r>
              <w:rPr>
                <w:webHidden/>
                <w:rStyle w:val="Style18"/>
                <w:vanish w:val="false"/>
                <w:lang w:val="ru-RU" w:eastAsia="ru-RU"/>
              </w:rPr>
              <w:t>5.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Сроки поставки товаров, выполнения работ.</w:t>
              <w:tab/>
              <w:t>9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27">
            <w:r>
              <w:rPr>
                <w:webHidden/>
                <w:rStyle w:val="Style18"/>
                <w:vanish w:val="false"/>
                <w:lang w:val="ru-RU" w:eastAsia="ru-RU"/>
              </w:rPr>
              <w:t>6.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Иные условия выполнения работ</w:t>
              <w:tab/>
              <w:t>9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8">
            <w:r>
              <w:rPr>
                <w:webHidden/>
                <w:rStyle w:val="Style18"/>
                <w:vanish w:val="false"/>
                <w:lang w:val="ru-RU" w:eastAsia="ru-RU"/>
              </w:rPr>
              <w:t>6.1.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Выполнение комплекса работ «под ключ»</w:t>
              <w:tab/>
              <w:t>9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29">
            <w:r>
              <w:rPr>
                <w:webHidden/>
                <w:rStyle w:val="Style18"/>
                <w:vanish w:val="false"/>
                <w:lang w:val="ru-RU" w:eastAsia="ru-RU"/>
              </w:rPr>
              <w:t>6.2.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 xml:space="preserve">Особые условия выполнения </w:t>
              <w:tab/>
              <w:t>10</w:t>
            </w:r>
          </w:hyperlink>
        </w:p>
        <w:p>
          <w:pPr>
            <w:pStyle w:val="TOC1"/>
            <w:tabs>
              <w:tab w:val="clear" w:pos="440"/>
              <w:tab w:val="clear" w:pos="9923"/>
              <w:tab w:val="left" w:pos="660" w:leader="none"/>
              <w:tab w:val="right" w:pos="10054" w:leader="dot"/>
            </w:tabs>
            <w:rPr/>
          </w:pPr>
          <w:hyperlink w:anchor="__RefHeading___Toc29818130">
            <w:r>
              <w:rPr>
                <w:webHidden/>
                <w:rStyle w:val="Style18"/>
                <w:vanish w:val="false"/>
                <w:lang w:val="ru-RU" w:eastAsia="ru-RU"/>
              </w:rPr>
              <w:t>6.3.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Обязательства Заказчика</w:t>
              <w:tab/>
              <w:t>10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31">
            <w:r>
              <w:rPr>
                <w:webHidden/>
                <w:rStyle w:val="Style18"/>
                <w:vanish w:val="false"/>
                <w:lang w:val="ru-RU" w:eastAsia="ru-RU"/>
              </w:rPr>
              <w:t>7.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Требования к подрядчику</w:t>
              <w:tab/>
              <w:t>10</w:t>
            </w:r>
          </w:hyperlink>
        </w:p>
        <w:p>
          <w:pPr>
            <w:pStyle w:val="TOC1"/>
            <w:tabs>
              <w:tab w:val="clear" w:pos="9923"/>
              <w:tab w:val="left" w:pos="440" w:leader="none"/>
              <w:tab w:val="right" w:pos="10054" w:leader="dot"/>
            </w:tabs>
            <w:rPr/>
          </w:pPr>
          <w:hyperlink w:anchor="__RefHeading___Toc29818132">
            <w:r>
              <w:rPr>
                <w:webHidden/>
                <w:rStyle w:val="Style18"/>
                <w:vanish w:val="false"/>
                <w:lang w:val="ru-RU" w:eastAsia="ru-RU"/>
              </w:rPr>
              <w:t>8.</w:t>
            </w:r>
            <w:r>
              <w:rPr>
                <w:rStyle w:val="Style18"/>
                <w:rFonts w:cs="Calibri" w:ascii="Calibri" w:hAnsi="Calibri"/>
                <w:sz w:val="22"/>
                <w:szCs w:val="22"/>
                <w:lang w:val="ru-RU" w:eastAsia="ru-RU"/>
              </w:rPr>
              <w:tab/>
            </w:r>
            <w:r>
              <w:rPr>
                <w:rStyle w:val="Style18"/>
                <w:lang w:val="ru-RU" w:eastAsia="ru-RU"/>
              </w:rPr>
              <w:t>Требования к документации по ценообразованию.</w:t>
              <w:tab/>
              <w:t>13</w:t>
            </w:r>
          </w:hyperlink>
          <w:r>
            <w:rPr>
              <w:rStyle w:val="Style18"/>
              <w:lang w:val="ru-RU" w:eastAsia="ru-RU"/>
            </w:rPr>
            <w:fldChar w:fldCharType="end"/>
          </w:r>
        </w:p>
      </w:sdtContent>
    </w:sdt>
    <w:p>
      <w:pPr>
        <w:pStyle w:val="Normal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/>
      </w:pPr>
      <w:r>
        <w:rPr>
          <w:rFonts w:eastAsia="Calibri"/>
          <w:b/>
        </w:rPr>
        <w:t xml:space="preserve">1. </w:t>
      </w:r>
      <w:r>
        <w:rPr>
          <w:b/>
        </w:rPr>
        <w:t>Общие сведения</w:t>
      </w:r>
    </w:p>
    <w:p>
      <w:pPr>
        <w:pStyle w:val="Heading4"/>
        <w:numPr>
          <w:ilvl w:val="0"/>
          <w:numId w:val="0"/>
        </w:numPr>
        <w:ind w:hanging="0" w:left="1440" w:right="0"/>
        <w:rPr>
          <w:iCs/>
          <w:sz w:val="26"/>
          <w:szCs w:val="26"/>
        </w:rPr>
      </w:pPr>
      <w:r>
        <w:rPr>
          <w:rFonts w:cs="Times New Roman" w:ascii="Times New Roman" w:hAnsi="Times New Roman"/>
          <w:sz w:val="24"/>
          <w:szCs w:val="24"/>
        </w:rPr>
        <w:t>1.1. Обозначения и сокращения</w:t>
      </w:r>
    </w:p>
    <w:p>
      <w:pPr>
        <w:pStyle w:val="Normal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8116"/>
      </w:tblGrid>
      <w:tr>
        <w:trPr>
          <w:cantSplit w:val="true"/>
        </w:trPr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Style w:val="Style14"/>
                <w:b w:val="false"/>
                <w:bCs/>
                <w:i w:val="false"/>
                <w:iCs/>
                <w:shd w:fill="auto" w:val="clear"/>
              </w:rPr>
              <w:t>ГЩУ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главный щит управления;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ЕДДС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единая дежурно-диспетчерская служба;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ЛАЗ ВЧ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линейно-аппаратный зал высокочастотной связи;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bCs/>
                <w:iCs/>
              </w:rPr>
              <w:t>ЛВС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локальная вычислительная сеть;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ЛСО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локальная система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МЧС РФ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Министерство по чрезвычайным ситуациям Российской Федерации;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МСО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муниципальная система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МО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муниципальное образование;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МТР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материально-технические ресурсы;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опасный производственный объект;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программное обеспечение;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ПСД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проектно-сметная документация;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before="0" w:after="240"/>
              <w:ind w:left="567" w:right="0"/>
              <w:contextualSpacing/>
              <w:rPr>
                <w:bCs/>
                <w:iCs/>
              </w:rPr>
            </w:pPr>
            <w:r>
              <w:rPr>
                <w:bCs/>
                <w:iCs/>
              </w:rPr>
              <w:t>ППО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40"/>
              <w:contextualSpacing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предпроектное обследование.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РАСЦО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региональная автоматизированная система централизованного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РД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bCs/>
                <w:iCs/>
              </w:rPr>
              <w:t>рабочая документация (п</w:t>
            </w:r>
            <w:r>
              <w:rPr>
                <w:bCs/>
                <w:iCs/>
                <w:color w:val="000000"/>
              </w:rPr>
              <w:t>роектно-техническая документация )</w:t>
            </w:r>
            <w:r>
              <w:rPr>
                <w:bCs/>
                <w:iCs/>
              </w:rPr>
              <w:t>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РУО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речевой узел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РСО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региональная система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СРО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саморегулируемые организации;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СУО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сиренный узел оповещения;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ТЗ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техническое задание;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ТСО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>технические средства оповещения населения;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ТП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трансформаторная подстанция.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ЧС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чрезвычайная ситуация</w:t>
            </w:r>
          </w:p>
        </w:tc>
      </w:tr>
      <w:tr>
        <w:trPr>
          <w:cantSplit w:val="true"/>
        </w:trPr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Филиал</w:t>
            </w:r>
          </w:p>
        </w:tc>
        <w:tc>
          <w:tcPr>
            <w:tcW w:w="8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fill="FFFFFF"/>
              <w:suppressAutoHyphens w:val="false"/>
              <w:ind w:right="40"/>
              <w:jc w:val="both"/>
              <w:rPr>
                <w:rFonts w:eastAsia="MS Mincho;ＭＳ 明朝"/>
                <w:lang w:eastAsia="ru-RU"/>
              </w:rPr>
            </w:pPr>
            <w:r>
              <w:rPr>
                <w:rFonts w:eastAsia="MS Mincho;ＭＳ 明朝"/>
                <w:lang w:eastAsia="ru-RU"/>
              </w:rPr>
              <w:t>филиал ПАО «РусГидро» - «Камская ГЭС»</w:t>
            </w:r>
          </w:p>
        </w:tc>
      </w:tr>
    </w:tbl>
    <w:p>
      <w:pPr>
        <w:pStyle w:val="Normal"/>
        <w:keepNext w:val="true"/>
        <w:keepLines/>
        <w:jc w:val="both"/>
        <w:rPr/>
      </w:pPr>
      <w:r>
        <w:rPr/>
      </w:r>
    </w:p>
    <w:p>
      <w:pPr>
        <w:pStyle w:val="Heading1"/>
        <w:numPr>
          <w:ilvl w:val="0"/>
          <w:numId w:val="1"/>
        </w:numPr>
        <w:tabs>
          <w:tab w:val="clear" w:pos="432"/>
          <w:tab w:val="left" w:pos="426" w:leader="none"/>
        </w:tabs>
        <w:spacing w:before="0" w:after="0"/>
        <w:jc w:val="left"/>
        <w:rPr/>
      </w:pPr>
      <w:r>
        <w:rPr>
          <w:bCs/>
          <w:caps w:val="false"/>
          <w:smallCaps w:val="false"/>
          <w:sz w:val="24"/>
        </w:rPr>
        <w:t>1.3. Цель выполнения работ</w:t>
      </w:r>
    </w:p>
    <w:p>
      <w:pPr>
        <w:pStyle w:val="Normal"/>
        <w:tabs>
          <w:tab w:val="clear" w:pos="708"/>
          <w:tab w:val="left" w:pos="567" w:leader="none"/>
        </w:tabs>
        <w:ind w:left="57" w:right="0"/>
        <w:jc w:val="both"/>
        <w:rPr/>
      </w:pPr>
      <w:r>
        <w:rPr/>
        <w:t xml:space="preserve">Целью мероприятий по модернизации является: </w:t>
      </w:r>
    </w:p>
    <w:p>
      <w:pPr>
        <w:pStyle w:val="BodyText"/>
        <w:numPr>
          <w:ilvl w:val="0"/>
          <w:numId w:val="5"/>
        </w:numPr>
        <w:ind w:hanging="0" w:left="454" w:right="0"/>
        <w:jc w:val="both"/>
        <w:rPr/>
      </w:pPr>
      <w:r>
        <w:rPr/>
        <w:t xml:space="preserve">обеспечение соответствия локальной системы оповещения Филиала нормативным документам: </w:t>
      </w:r>
      <w:r>
        <w:rPr>
          <w:color w:val="000000"/>
          <w:bdr w:val="single" w:sz="12" w:space="0" w:color="EDEDED"/>
        </w:rPr>
        <w:t xml:space="preserve">ГОСТ Р 22.7.05-2022 Безопасность в чрезвычайных ситуациях. Локальные системы оповещения в районах размещения потенциально опасных объектов. Общие требования, </w:t>
      </w:r>
      <w:r>
        <w:rPr/>
        <w:t>«Методическим рекомендациям по созданию и реконструкции систем оповещния населения» (утв. МЧС России 19.02.2021 №1), Приказ МЧС России N 578, Минкомсвязи России N 365 от 31.07.2020 "Об утверждении Положения о системах оповещения населения", Приказ МЧС России N 579, Минкомсвязи России N 366 от 31.07.2020 "Об утверждении Положения по организации эксплуатационно-технического обслуживания систем оповещения населения"</w:t>
      </w:r>
    </w:p>
    <w:p>
      <w:pPr>
        <w:pStyle w:val="Normal"/>
        <w:numPr>
          <w:ilvl w:val="0"/>
          <w:numId w:val="5"/>
        </w:numPr>
        <w:ind w:hanging="0" w:left="454" w:right="0"/>
        <w:jc w:val="both"/>
        <w:rPr/>
      </w:pPr>
      <w:r>
        <w:rPr/>
        <w:t xml:space="preserve">изменение параметров системы оповещения населения (приведение ее в соответствие с требованиями, нормами, техническими условиями и показателями готовности), в том числе полная замена оборудования системы ЛСО с организацией сопряжения с ЕДДС г.Пермь. </w:t>
      </w:r>
    </w:p>
    <w:p>
      <w:pPr>
        <w:pStyle w:val="Normal"/>
        <w:numPr>
          <w:ilvl w:val="0"/>
        </w:numPr>
        <w:ind w:left="1741" w:right="0"/>
        <w:jc w:val="both"/>
        <w:rPr/>
      </w:pPr>
      <w:r>
        <w:rPr/>
      </w:r>
    </w:p>
    <w:p>
      <w:pPr>
        <w:pStyle w:val="Normal"/>
        <w:tabs>
          <w:tab w:val="clear" w:pos="708"/>
          <w:tab w:val="left" w:pos="567" w:leader="none"/>
        </w:tabs>
        <w:ind w:right="-24"/>
        <w:jc w:val="both"/>
        <w:rPr>
          <w:b/>
        </w:rPr>
      </w:pPr>
      <w:r>
        <w:rPr>
          <w:b/>
        </w:rPr>
        <w:t>1.4.</w:t>
        <w:tab/>
        <w:t>Существующее положение:</w:t>
      </w:r>
    </w:p>
    <w:p>
      <w:pPr>
        <w:pStyle w:val="Normal"/>
        <w:tabs>
          <w:tab w:val="clear" w:pos="708"/>
          <w:tab w:val="left" w:pos="567" w:leader="none"/>
        </w:tabs>
        <w:ind w:right="-24"/>
        <w:jc w:val="both"/>
        <w:rPr>
          <w:b/>
        </w:rPr>
      </w:pPr>
      <w:r>
        <w:rPr>
          <w:b/>
        </w:rPr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/>
        <w:t>ЛСО Камской ГЭС создана в 2010, в 2018 была произведена модернизация с заменых каналов связи. Основное оборудование модернизации не подвергалось.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Локальная система оповещения Камской ГЭС обеспечивает доведение сигналов и информации оповещения до: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руководителей и персонала ГЭС, на территории Камской ГЭС с использованием: громкоговорящей связи, сирен, сотовой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объектовых аварийно-спасательных формирований и формирований гражданской обороны с использованием: громкоговорящей связи, сирен, телефонной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оперативных дежурных ЕДДС г. Пермь с использованием телефонной связи;</w:t>
      </w:r>
    </w:p>
    <w:p>
      <w:pPr>
        <w:pStyle w:val="Normal"/>
        <w:tabs>
          <w:tab w:val="clear" w:pos="708"/>
          <w:tab w:val="left" w:pos="540" w:leader="none"/>
        </w:tabs>
        <w:ind w:firstLine="540" w:right="-24"/>
        <w:jc w:val="both"/>
        <w:rPr>
          <w:sz w:val="24"/>
          <w:szCs w:val="24"/>
        </w:rPr>
      </w:pPr>
      <w:r>
        <w:rPr>
          <w:sz w:val="24"/>
          <w:szCs w:val="24"/>
        </w:rPr>
        <w:t>- персонала (дежурных служб) объектов и населения, расположенных на территории возможного затопления от последствий гидродинамических аварий, на расстоянии до 6 км от гидротехнических сооружений Камской ГЭС, с использованием громкоговорящей связи и сирен.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В состав ЛСО входят: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центральный пункт управления, размещенный в помещении ЛАЗ участка связи и телекоммуникаций (далее - участок СиТК) каб. №330 шкаф №3;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два пункта управления - рабочие места оператора, размещенные в помещениях главного щита управления и защитного сооружения;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шесть речевых пунктов оповещения;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пять электросиренных пунктов оповещения;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один речевой пункт оповещения, расположенный в правобережной башне.</w:t>
      </w:r>
    </w:p>
    <w:p>
      <w:pPr>
        <w:pStyle w:val="Normal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Сиренные узлы оповещения (СУО):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1 - Верхняя Курья, восточнее жилого дома по ул.2-я Линия, 145;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2 - м/р Ширяиха восточнее жилого дома, 27;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3 - м/р Ширяиха южнее жилого дома Камская поляна, 26;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4 - м/р Плотинка, около участка 15а;</w:t>
      </w:r>
    </w:p>
    <w:p>
      <w:pPr>
        <w:pStyle w:val="NoSpacing"/>
        <w:widowControl w:val="false"/>
        <w:tabs>
          <w:tab w:val="clear" w:pos="708"/>
          <w:tab w:val="left" w:pos="540" w:leader="none"/>
        </w:tabs>
        <w:bidi w:val="0"/>
        <w:spacing w:lineRule="auto" w:line="240" w:before="0" w:after="0"/>
        <w:ind w:firstLine="540" w:right="-24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- СУО 5 – м/р Соцпоселок, МОУ ДОД ООП "Звездный", в 9 м от вспомогательного корпуса</w:t>
      </w:r>
    </w:p>
    <w:p>
      <w:pPr>
        <w:pStyle w:val="Normal"/>
        <w:tabs>
          <w:tab w:val="clear" w:pos="708"/>
          <w:tab w:val="left" w:pos="0" w:leader="none"/>
        </w:tabs>
        <w:spacing w:lineRule="auto" w:line="240"/>
        <w:ind w:firstLine="567" w:right="-24"/>
        <w:jc w:val="both"/>
        <w:rPr/>
      </w:pPr>
      <w:r>
        <w:rPr>
          <w:sz w:val="24"/>
          <w:szCs w:val="24"/>
        </w:rPr>
        <w:t>Речевые узлы оповещения (РУО):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1 - ООО "Профит", ул. Новогайвинская, 102;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3 - АО "Уралгидросталь", ул. Новогайвинская, 82;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 xml:space="preserve">- РУО 4 - Правобережная башня; 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5 – ООО «ПромТех Инжиниринг», ул. Новогайвинская, 92;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6 -  ул. Соликамская, 306 крыша административного здания;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7 – АО «Камтэкс-Химпром», ул. Соликамская, 293;</w:t>
      </w:r>
    </w:p>
    <w:p>
      <w:pPr>
        <w:pStyle w:val="NoSpacing"/>
        <w:spacing w:lineRule="auto" w:line="240"/>
        <w:ind w:firstLine="567"/>
        <w:rPr/>
      </w:pPr>
      <w:r>
        <w:rPr>
          <w:rFonts w:cs="Times New Roman"/>
          <w:sz w:val="24"/>
          <w:szCs w:val="24"/>
        </w:rPr>
        <w:t>- РУО 8 - м/р Свободный, севернее жилого дома в м/р Свободный, 2.</w:t>
      </w:r>
    </w:p>
    <w:p>
      <w:pPr>
        <w:pStyle w:val="Normal"/>
        <w:tabs>
          <w:tab w:val="clear" w:pos="708"/>
          <w:tab w:val="left" w:pos="540" w:leader="none"/>
        </w:tabs>
        <w:ind w:left="567" w:right="-24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08"/>
          <w:tab w:val="left" w:pos="540" w:leader="none"/>
        </w:tabs>
        <w:ind w:hanging="567" w:left="567" w:right="-2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tabs>
          <w:tab w:val="clear" w:pos="708"/>
          <w:tab w:val="left" w:pos="540" w:leader="none"/>
        </w:tabs>
        <w:ind w:firstLine="567" w:right="-24"/>
        <w:jc w:val="both"/>
        <w:rPr/>
      </w:pPr>
      <w:r>
        <w:rPr/>
        <w:t>Перечень оборудования ЛСО приведен в Приложении №2 к настоящим Техническим требованиям.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b/>
        </w:rPr>
      </w:pPr>
      <w:r>
        <w:rPr/>
        <w:t>Таблица 2. Перечень объектов заказчика</w:t>
      </w:r>
    </w:p>
    <w:p>
      <w:pPr>
        <w:pStyle w:val="Normal"/>
        <w:tabs>
          <w:tab w:val="clear" w:pos="708"/>
          <w:tab w:val="left" w:pos="851" w:leader="none"/>
        </w:tabs>
        <w:ind w:right="-24"/>
        <w:jc w:val="both"/>
        <w:rPr>
          <w:b/>
        </w:rPr>
      </w:pPr>
      <w:r>
        <w:rPr>
          <w:b/>
        </w:rPr>
      </w:r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97"/>
        <w:gridCol w:w="2691"/>
        <w:gridCol w:w="2412"/>
        <w:gridCol w:w="1701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№</w:t>
            </w:r>
          </w:p>
          <w:p>
            <w:pPr>
              <w:pStyle w:val="Normal"/>
              <w:widowControl w:val="false"/>
              <w:rPr/>
            </w:pPr>
            <w:r>
              <w:rPr/>
              <w:t>п/п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Расположение объекта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Наименование основного средства </w:t>
              <w:br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>
        <w:trPr/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ind w:right="-24"/>
              <w:jc w:val="both"/>
              <w:rPr/>
            </w:pPr>
            <w:r>
              <w:rPr/>
              <w:t>ЛСО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438" w:leader="none"/>
              </w:tabs>
              <w:ind w:hanging="0" w:left="31" w:right="0"/>
              <w:rPr/>
            </w:pPr>
            <w:r>
              <w:rPr/>
              <w:t>Камская ГЭС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38" w:leader="none"/>
              </w:tabs>
              <w:ind w:hanging="0" w:left="31" w:right="0"/>
              <w:rPr/>
            </w:pPr>
            <w:r>
              <w:rPr/>
              <w:t>Российская Федерация, Пермский край,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38" w:leader="none"/>
              </w:tabs>
              <w:ind w:hanging="0" w:left="31" w:right="0"/>
              <w:rPr/>
            </w:pPr>
            <w:r>
              <w:rPr/>
              <w:t>г. Пермь, ул. Соликамская 329</w:t>
            </w:r>
          </w:p>
        </w:tc>
        <w:tc>
          <w:tcPr>
            <w:tcW w:w="2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ind w:right="-24"/>
              <w:jc w:val="both"/>
              <w:rPr/>
            </w:pPr>
            <w:r>
              <w:rPr/>
              <w:t>Локальная система оповещения ГО и ЧС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67" w:leader="none"/>
              </w:tabs>
              <w:ind w:right="-24"/>
              <w:jc w:val="both"/>
              <w:rPr>
                <w:rFonts w:eastAsia="MS Mincho;ＭＳ 明朝"/>
                <w:lang w:eastAsia="ru-RU"/>
              </w:rPr>
            </w:pPr>
            <w:r>
              <w:rPr>
                <w:rFonts w:eastAsia="MS Mincho;ＭＳ 明朝"/>
                <w:lang w:eastAsia="ru-RU"/>
              </w:rPr>
              <w:t>инв. № КМ0000087192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tabs>
          <w:tab w:val="clear" w:pos="708"/>
          <w:tab w:val="left" w:pos="567" w:leader="none"/>
        </w:tabs>
        <w:ind w:right="-24"/>
        <w:jc w:val="both"/>
        <w:rPr>
          <w:b/>
        </w:rPr>
      </w:pPr>
      <w:r>
        <w:rPr>
          <w:b/>
        </w:rPr>
        <w:t>1.5.</w:t>
        <w:tab/>
        <w:t>Порядок представления исходных данных: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567" w:right="0"/>
        <w:jc w:val="both"/>
        <w:rPr/>
      </w:pPr>
      <w:r>
        <w:rPr/>
        <w:t xml:space="preserve">Исходные данные предоставляются заказчиком до начала проектирования. </w:t>
      </w:r>
    </w:p>
    <w:p>
      <w:pPr>
        <w:pStyle w:val="Normal"/>
        <w:widowControl w:val="false"/>
        <w:ind w:firstLine="567" w:right="0"/>
        <w:jc w:val="both"/>
        <w:rPr>
          <w:color w:val="000000"/>
        </w:rPr>
      </w:pPr>
      <w:r>
        <w:rPr/>
        <w:t>Исходные данные предоставляются исполнителю на бумажном или электронном носителе в виде схем, таблиц, планов, текстовых документов с оформлением препроводительного письма.</w:t>
      </w:r>
    </w:p>
    <w:p>
      <w:pPr>
        <w:pStyle w:val="Normal"/>
        <w:widowControl w:val="false"/>
        <w:ind w:firstLine="567" w:right="0"/>
        <w:jc w:val="both"/>
        <w:rPr>
          <w:color w:val="000000"/>
        </w:rPr>
      </w:pPr>
      <w:r>
        <w:rPr>
          <w:color w:val="000000"/>
        </w:rPr>
        <w:t>В ходе сбора исходных данных и проведения ППО схемы организации системы связи, мониторинга, оповещения (технические решения), а также места размещения технических средств должны быть согласованы с заказчиком и с заинтересованными организациями.</w:t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0"/>
        </w:numPr>
        <w:ind w:hanging="0" w:left="0"/>
        <w:rPr>
          <w:sz w:val="24"/>
        </w:rPr>
      </w:pPr>
      <w:r>
        <w:rPr>
          <w:sz w:val="24"/>
        </w:rPr>
        <w:t>2. Требования к продукции</w:t>
      </w:r>
    </w:p>
    <w:p>
      <w:pPr>
        <w:pStyle w:val="Heading2"/>
        <w:numPr>
          <w:ilvl w:val="0"/>
          <w:numId w:val="0"/>
        </w:numPr>
        <w:ind w:hanging="0" w:left="432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 w:val="false"/>
          <w:iCs w:val="false"/>
          <w:sz w:val="24"/>
          <w:szCs w:val="24"/>
        </w:rPr>
        <w:t>2.1. Требования к объемам и срокам выполнения работ</w:t>
      </w:r>
    </w:p>
    <w:p>
      <w:pPr>
        <w:pStyle w:val="Heading3"/>
        <w:numPr>
          <w:ilvl w:val="0"/>
          <w:numId w:val="0"/>
        </w:numPr>
        <w:ind w:hanging="0" w:left="1224" w:right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Требования к видам и объемам работ</w:t>
      </w:r>
    </w:p>
    <w:p>
      <w:pPr>
        <w:pStyle w:val="BodyText"/>
        <w:numPr>
          <w:ilvl w:val="0"/>
          <w:numId w:val="0"/>
        </w:numPr>
        <w:ind w:hanging="0" w:left="1224" w:right="0"/>
        <w:rPr>
          <w:b w:val="false"/>
        </w:rPr>
      </w:pPr>
      <w:r>
        <w:rPr>
          <w:b w:val="false"/>
        </w:rPr>
      </w:r>
    </w:p>
    <w:p>
      <w:pPr>
        <w:pStyle w:val="Style36"/>
        <w:jc w:val="left"/>
        <w:rPr>
          <w:b w:val="false"/>
        </w:rPr>
      </w:pPr>
      <w:r>
        <w:rPr>
          <w:b w:val="false"/>
        </w:rPr>
        <w:t>Таблица 3. Перечень и объем выполняемых работ</w:t>
      </w:r>
    </w:p>
    <w:tbl>
      <w:tblPr>
        <w:tblW w:w="99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838"/>
        <w:gridCol w:w="1814"/>
        <w:gridCol w:w="1416"/>
      </w:tblGrid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п/п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Наименование работ / этапа работ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/>
              <w:t>Количество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ind w:hanging="360" w:left="360" w:right="0"/>
              <w:jc w:val="center"/>
              <w:rPr/>
            </w:pPr>
            <w:r>
              <w:rPr/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"/>
                <w:i/>
                <w:i/>
                <w:iCs/>
                <w:kern w:val="2"/>
                <w:sz w:val="22"/>
                <w:lang w:eastAsia="en-US"/>
              </w:rPr>
            </w:pPr>
            <w:r>
              <w:rPr>
                <w:i/>
                <w:iCs/>
                <w:sz w:val="22"/>
                <w:szCs w:val="22"/>
              </w:rPr>
              <w:t>Проведение ППО,</w:t>
            </w:r>
          </w:p>
          <w:p>
            <w:pPr>
              <w:pStyle w:val="Normal"/>
              <w:widowControl w:val="false"/>
              <w:rPr>
                <w:rFonts w:cs=""/>
                <w:i/>
                <w:i/>
                <w:iCs/>
                <w:kern w:val="2"/>
                <w:sz w:val="22"/>
                <w:lang w:eastAsia="en-US"/>
              </w:rPr>
            </w:pPr>
            <w:r>
              <w:rPr>
                <w:rFonts w:cs=""/>
                <w:i/>
                <w:iCs/>
                <w:kern w:val="2"/>
                <w:sz w:val="22"/>
                <w:lang w:eastAsia="en-US"/>
              </w:rPr>
              <w:t>Разработка отчета о предпроектном обследовании.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документ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ind w:hanging="360" w:left="360" w:right="0"/>
              <w:jc w:val="center"/>
              <w:rPr/>
            </w:pPr>
            <w:r>
              <w:rPr/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Разработка и согласование ТЗ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документ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ind w:hanging="360" w:left="360" w:right="0"/>
              <w:jc w:val="center"/>
              <w:rPr/>
            </w:pPr>
            <w:r>
              <w:rPr/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Разработка и согласование РД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Комплект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документов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ind w:hanging="360" w:left="360" w:right="0"/>
              <w:jc w:val="center"/>
              <w:rPr/>
            </w:pPr>
            <w:r>
              <w:rPr/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Разработка и согласование сметной документации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  <w:t>документ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1</w:t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spacing w:before="140" w:after="120"/>
        <w:ind w:hanging="0" w:left="1134" w:right="0"/>
        <w:rPr>
          <w:lang w:val="ru-RU"/>
        </w:rPr>
      </w:pPr>
      <w:r>
        <w:rPr>
          <w:lang w:val="ru-RU"/>
        </w:rPr>
      </w:r>
    </w:p>
    <w:p>
      <w:pPr>
        <w:pStyle w:val="Heading3"/>
        <w:widowControl/>
        <w:numPr>
          <w:ilvl w:val="0"/>
          <w:numId w:val="0"/>
        </w:numPr>
        <w:suppressAutoHyphens w:val="true"/>
        <w:bidi w:val="0"/>
        <w:spacing w:before="140" w:after="120"/>
        <w:ind w:hanging="0" w:left="1134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2.1.2 Требования к срокам выполнения работ</w:t>
      </w:r>
    </w:p>
    <w:p>
      <w:pPr>
        <w:pStyle w:val="Heading3"/>
        <w:numPr>
          <w:ilvl w:val="2"/>
          <w:numId w:val="1"/>
        </w:numPr>
        <w:tabs>
          <w:tab w:val="clear" w:pos="708"/>
        </w:tabs>
        <w:ind w:hanging="0" w:left="1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Таблица 2. </w:t>
      </w:r>
      <w:bookmarkStart w:id="1" w:name="_Hlk50465284"/>
      <w:r>
        <w:rPr>
          <w:rFonts w:ascii="Times New Roman" w:hAnsi="Times New Roman"/>
          <w:sz w:val="24"/>
          <w:szCs w:val="24"/>
          <w:lang w:val="ru-RU"/>
        </w:rPr>
        <w:t xml:space="preserve">Требования по срокам </w:t>
      </w:r>
      <w:bookmarkEnd w:id="1"/>
      <w:r>
        <w:rPr>
          <w:rFonts w:ascii="Times New Roman" w:hAnsi="Times New Roman"/>
          <w:sz w:val="24"/>
          <w:szCs w:val="24"/>
          <w:lang w:val="ru-RU"/>
        </w:rPr>
        <w:t>выполнения работ</w:t>
      </w:r>
    </w:p>
    <w:p>
      <w:pPr>
        <w:pStyle w:val="BodyText"/>
        <w:tabs>
          <w:tab w:val="clear" w:pos="708"/>
        </w:tabs>
        <w:ind w:hanging="0" w:left="1111"/>
        <w:rPr>
          <w:rFonts w:ascii="Times New Roman" w:hAnsi="Times New Roman"/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tbl>
      <w:tblPr>
        <w:tblW w:w="9776" w:type="dxa"/>
        <w:jc w:val="left"/>
        <w:tblInd w:w="-1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8"/>
        <w:gridCol w:w="5185"/>
        <w:gridCol w:w="3463"/>
      </w:tblGrid>
      <w:tr>
        <w:trPr>
          <w:tblHeader w:val="true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keepNext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Проведение ППО,</w:t>
            </w:r>
          </w:p>
          <w:p>
            <w:pPr>
              <w:pStyle w:val="Normal"/>
              <w:widowControl w:val="false"/>
              <w:rPr>
                <w:rFonts w:cs=""/>
                <w:i/>
                <w:i/>
                <w:iCs/>
                <w:kern w:val="2"/>
                <w:sz w:val="22"/>
                <w:lang w:eastAsia="en-US"/>
              </w:rPr>
            </w:pPr>
            <w:r>
              <w:rPr>
                <w:rFonts w:cs=""/>
                <w:i/>
                <w:iCs/>
                <w:kern w:val="2"/>
                <w:sz w:val="24"/>
                <w:szCs w:val="24"/>
                <w:lang w:eastAsia="en-US"/>
              </w:rPr>
              <w:t>Разработка и согласование отчета о предпроектном обследовании.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Разработка и согласование ТЗ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Разработка и согласование РД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Разработка и согласование сметной документации</w:t>
            </w:r>
          </w:p>
        </w:tc>
        <w:tc>
          <w:tcPr>
            <w:tcW w:w="34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11 месяцев с даты подписания договора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8192"/>
        </w:sectPr>
      </w:pPr>
    </w:p>
    <w:p>
      <w:pPr>
        <w:pStyle w:val="Heading2"/>
        <w:numPr>
          <w:ilvl w:val="0"/>
          <w:numId w:val="0"/>
        </w:numPr>
        <w:ind w:hanging="0" w:left="432" w:right="0"/>
        <w:rPr>
          <w:b w:val="false"/>
        </w:rPr>
      </w:pPr>
      <w:r>
        <w:rPr>
          <w:rFonts w:cs="Times New Roman" w:ascii="Times New Roman" w:hAnsi="Times New Roman"/>
          <w:sz w:val="24"/>
          <w:szCs w:val="24"/>
        </w:rPr>
        <w:t>2.2. Требования к качеству работ</w:t>
      </w:r>
    </w:p>
    <w:p>
      <w:pPr>
        <w:pStyle w:val="Style36"/>
        <w:jc w:val="left"/>
        <w:rPr>
          <w:iCs/>
        </w:rPr>
      </w:pPr>
      <w:r>
        <w:rPr>
          <w:b w:val="false"/>
        </w:rPr>
        <w:t xml:space="preserve">Таблица 5. Требования к </w:t>
      </w:r>
      <w:r>
        <w:rPr>
          <w:b w:val="false"/>
          <w:lang w:val="ru-RU"/>
        </w:rPr>
        <w:t>качеству работ</w:t>
      </w:r>
      <w:r>
        <w:rPr>
          <w:b w:val="false"/>
        </w:rPr>
        <w:t xml:space="preserve"> </w:t>
      </w:r>
    </w:p>
    <w:p>
      <w:pPr>
        <w:pStyle w:val="Normal"/>
        <w:rPr>
          <w:b/>
          <w:iCs/>
        </w:rPr>
      </w:pPr>
      <w:r>
        <w:rPr>
          <w:b/>
          <w:iCs/>
        </w:rPr>
      </w:r>
    </w:p>
    <w:tbl>
      <w:tblPr>
        <w:tblW w:w="1460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544"/>
        <w:gridCol w:w="9923"/>
      </w:tblGrid>
      <w:tr>
        <w:trPr>
          <w:trHeight w:val="276" w:hRule="atLeas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№ </w:t>
            </w:r>
            <w:r>
              <w:rPr>
                <w:b/>
                <w:bCs/>
                <w:lang w:eastAsia="ru-RU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 параметра</w:t>
            </w:r>
          </w:p>
        </w:tc>
        <w:tc>
          <w:tcPr>
            <w:tcW w:w="9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5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9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360" w:left="360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выполнению работ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napToGrid w:val="false"/>
              <w:spacing w:before="60" w:after="60"/>
              <w:ind w:hanging="0" w:left="177" w:right="0"/>
              <w:contextualSpacing/>
              <w:jc w:val="center"/>
              <w:rPr>
                <w:b/>
                <w:lang w:eastAsia="ru-RU"/>
              </w:rPr>
            </w:pPr>
            <w:r>
              <w:rPr/>
              <w:t>1.1.</w:t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Общие требования к выполнению работ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Организационно-технические мероприятия по допуску персонала Подрядчика для выполнения работ на территории Заказчика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Допуск персонала Подрядчика на территорию филиала ПАО «РусГидро» - «Камская ГЭС» должен осуществляться в соответствии с «Положением о пропускном и внутриобъектовом режимах» (Приложение №3 к настоящим ТТ).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Допуск персонала Подрядчика для выполнения работ по ППО должен осуществляться в соответствии с «Временным положением о допуске персонала строительно-монтажных организаций и командированного персонала к выполнению работ на объектах ПАО «РусГидро» утв. Приказом ОАО «РусГидро» № 736 от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13.11.2008г (приложение №4 к настоящим ТТ) с обязательным оформлением необходимых нарядов-допусков.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Подготовку рабочих мест и допуск к выполнению работ выполняет персонал Заказчика.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При выполнении работ необходимо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i/>
                <w:sz w:val="20"/>
                <w:szCs w:val="20"/>
                <w:lang w:eastAsia="ru-RU"/>
              </w:rPr>
              <w:t>Приказ Минтруда №903н Правила по охране труда при эксплуатации электроустановок (действующая редакция)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Политика Группы РусГидро в области охраны труда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к Протоколу Совета директоров ПАО «РусГидро» от 28.05.2021 (дата проведения 27.05.2021) № 329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Методика допуска персонала подрядных организаций к выполнению работ на объектах Общества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contextualSpacing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Допуск персонала подрядчика для выполнения работ должен осуществляться в соответствии с «Регламентом процесса «Допуск персонала подрядных организаций на объекты ПАО «РусГидро» (утв. приказом ПАО «РусГидро» от 04.02.2022 №82), предоставляется Подрядчику после заключения Договора.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Подготовку рабочих мест и допуск к выполнению работ выполняет персонал заказчика.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firstLine="142" w:left="-117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организации работ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проведению предпроектного обследования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Предпроектное обследование выполняется в отношении системы  ЛСО.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Объем проводимого Подрядчиком ППО и собираемых исходных данных должен быть исчерпывающим для дальнейшей разработки ТЗ и РД.</w:t>
            </w:r>
          </w:p>
          <w:p>
            <w:pPr>
              <w:pStyle w:val="ListParagraph"/>
              <w:widowControl w:val="false"/>
              <w:ind w:hanging="0" w:left="11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Работы по ППО производятся с обязательным выездом специалиста на территорию Филиала.</w:t>
            </w:r>
          </w:p>
          <w:p>
            <w:pPr>
              <w:pStyle w:val="ListParagraph"/>
              <w:widowControl w:val="false"/>
              <w:ind w:hanging="0" w:left="11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Цель ППО - детальное изучение объекта  и необходимые работы, связанные с поиском путей и оценкой возможности реализации требований Заказчика, включающее в себя:</w:t>
            </w:r>
          </w:p>
          <w:p>
            <w:pPr>
              <w:pStyle w:val="ListParagraph"/>
              <w:widowControl w:val="false"/>
              <w:numPr>
                <w:ilvl w:val="1"/>
                <w:numId w:val="8"/>
              </w:numPr>
              <w:ind w:firstLine="11" w:left="0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Сбор информации о существующем оборудовании;</w:t>
            </w:r>
          </w:p>
          <w:p>
            <w:pPr>
              <w:pStyle w:val="ListParagraph"/>
              <w:widowControl w:val="false"/>
              <w:numPr>
                <w:ilvl w:val="1"/>
                <w:numId w:val="8"/>
              </w:numPr>
              <w:ind w:firstLine="11" w:left="0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Сбор информации о функциях и задачах существующем ЛСО;</w:t>
            </w:r>
          </w:p>
          <w:p>
            <w:pPr>
              <w:pStyle w:val="ListParagraph"/>
              <w:widowControl w:val="false"/>
              <w:numPr>
                <w:ilvl w:val="1"/>
                <w:numId w:val="8"/>
              </w:numPr>
              <w:ind w:firstLine="1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Сбор информации о существующих точках подключения к источникам электропитания для организации СГЭ проектируемой системы:</w:t>
            </w:r>
          </w:p>
          <w:p>
            <w:pPr>
              <w:pStyle w:val="Normal"/>
              <w:widowControl w:val="false"/>
              <w:numPr>
                <w:ilvl w:val="1"/>
              </w:numPr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Сбор информации об объекте и копирование имеющейся у Заказчика проектной и эксплуатационной документации, схем, планов размещения оборудования и технологических помещений, заполнение опросных листов (в случае необходимости) и т.п., требуемых для разработки ТЗ, проектно-сметной и рабочей документации, входит в обязанности Подрядчика в рамках выполнения работ по предпроектному обследованию.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i/>
                <w:sz w:val="20"/>
                <w:szCs w:val="20"/>
                <w:lang w:eastAsia="ru-RU"/>
              </w:rPr>
              <w:t xml:space="preserve">Требования к разработке </w:t>
            </w:r>
            <w:r>
              <w:rPr>
                <w:i/>
                <w:iCs/>
                <w:sz w:val="22"/>
                <w:szCs w:val="22"/>
                <w:lang w:eastAsia="ru-RU"/>
              </w:rPr>
              <w:t>отчета ППО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По результатам обследования должен быть сформирован технический отчет.</w:t>
            </w:r>
          </w:p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В отчете, при необходимости, могут быть закреплены ключевые решения, определяющие концепцию модернизации ЛСО, а также применение оборудования ЛСО внесенного в Единый реестр российской радиоэлектронной продукции, и программного обеспечения, внесенного в Единый реестр российских программ для электронных вычислительных машин и баз данных.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разработке Технического задания.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457" w:leader="none"/>
              </w:tabs>
              <w:spacing w:before="0" w:after="120"/>
              <w:contextualSpacing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457" w:leader="none"/>
              </w:tabs>
              <w:spacing w:before="0" w:after="120"/>
              <w:ind w:left="15" w:right="0"/>
              <w:contextualSpacing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before="240" w:after="160"/>
              <w:ind w:hanging="0" w:left="0" w:right="0"/>
              <w:jc w:val="both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cs="Times New Roman" w:ascii="Times New Roman" w:hAnsi="Times New Roman"/>
                <w:bCs/>
                <w:i/>
                <w:iCs/>
                <w:lang w:eastAsia="ru-RU"/>
              </w:rPr>
              <w:t>Форма и разделы технического задания определяются ГОСТ 34.602-89 "Информационная технология. Комплекс стандартов на автоматизированные системы. Техническое задание на создание автоматизированной системы."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457" w:leader="none"/>
              </w:tabs>
              <w:spacing w:before="0" w:after="12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Техническое задание на модернизацию ЛСО должно быть сформировано на основе собранной информации в ходе ППО.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73" w:leader="none"/>
              </w:tabs>
              <w:spacing w:before="0" w:after="12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В ТЗ необходимо определить:</w:t>
            </w:r>
          </w:p>
          <w:p>
            <w:pPr>
              <w:pStyle w:val="Standard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457" w:leader="none"/>
              </w:tabs>
              <w:spacing w:before="0" w:after="120"/>
              <w:ind w:hanging="149" w:left="164" w:right="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объем работ по техническому перевооружению с учетом мероприятий итогового заключения комплексного обследования оборудования и мачтовых сооружений ЛСО (Приложение № 7);</w:t>
            </w:r>
          </w:p>
          <w:p>
            <w:pPr>
              <w:pStyle w:val="Standard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457" w:leader="none"/>
              </w:tabs>
              <w:spacing w:before="0" w:after="120"/>
              <w:ind w:hanging="149" w:left="164" w:right="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объем поставляемого оборудования и МТР</w:t>
            </w:r>
          </w:p>
          <w:p>
            <w:pPr>
              <w:pStyle w:val="Standard"/>
              <w:widowControl w:val="false"/>
              <w:numPr>
                <w:ilvl w:val="1"/>
              </w:numPr>
              <w:tabs>
                <w:tab w:val="clear" w:pos="708"/>
                <w:tab w:val="left" w:pos="157" w:leader="none"/>
              </w:tabs>
              <w:spacing w:before="0" w:after="120"/>
              <w:ind w:hanging="149" w:left="164" w:right="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ТЗ должно включать требования:</w:t>
            </w:r>
          </w:p>
          <w:p>
            <w:pPr>
              <w:pStyle w:val="Standard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157" w:leader="none"/>
              </w:tabs>
              <w:spacing w:before="0" w:after="120"/>
              <w:ind w:hanging="149" w:left="164" w:right="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к структуре, комплексу технических средств, их размещению, показателям надежности, средствам контроля и диагностики, электропитанию, ремонтопригодности, заземлению с учетом работы в ЭМП;</w:t>
            </w:r>
          </w:p>
          <w:p>
            <w:pPr>
              <w:pStyle w:val="Standard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157" w:leader="none"/>
              </w:tabs>
              <w:spacing w:before="0" w:after="120"/>
              <w:ind w:hanging="149" w:left="164" w:right="0"/>
              <w:contextualSpacing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к защите информации</w:t>
            </w:r>
          </w:p>
          <w:p>
            <w:pPr>
              <w:pStyle w:val="Standard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157" w:leader="none"/>
              </w:tabs>
              <w:spacing w:before="0" w:after="120"/>
              <w:ind w:hanging="164" w:left="164" w:right="0"/>
              <w:contextualSpacing/>
              <w:rPr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к составу и содержанию работ по подготовке и вводу в эксплуатацию;</w:t>
            </w:r>
          </w:p>
          <w:p>
            <w:pPr>
              <w:pStyle w:val="Normal"/>
              <w:widowControl w:val="false"/>
              <w:numPr>
                <w:ilvl w:val="1"/>
              </w:numPr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В ТЗ необходимо предусмотреть: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8"/>
                <w:tab w:val="left" w:pos="567" w:leader="none"/>
              </w:tabs>
              <w:ind w:hanging="0" w:left="0" w:right="-24"/>
              <w:jc w:val="both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организацию получения информации о состоянии оборудования узлов оповещения, о наличии электроснабжения узлов оповещения, о вскрытии шкафов с выводом информации (в виде «сухих контактов») для системы мониторинга оборудования связи.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8"/>
                <w:tab w:val="left" w:pos="567" w:leader="none"/>
              </w:tabs>
              <w:ind w:hanging="0" w:left="0" w:right="-24"/>
              <w:jc w:val="both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организацию контроля прохождения сигналов и информации, передаваемых по локальной системе оповещения.</w:t>
            </w:r>
          </w:p>
          <w:p>
            <w:pPr>
              <w:pStyle w:val="Normal"/>
              <w:numPr>
                <w:ilvl w:val="0"/>
                <w:numId w:val="9"/>
              </w:numPr>
              <w:tabs>
                <w:tab w:val="clear" w:pos="708"/>
                <w:tab w:val="left" w:pos="567" w:leader="none"/>
              </w:tabs>
              <w:ind w:hanging="0" w:left="0" w:right="-24"/>
              <w:jc w:val="both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предусмотреть возможность сопряжения локальной системы оповещения на техническом и программном уровнях с РАСЦО Пермского края через ЕДДС г.Пермь.</w:t>
            </w:r>
          </w:p>
          <w:p>
            <w:pPr>
              <w:pStyle w:val="Normal"/>
              <w:tabs>
                <w:tab w:val="clear" w:pos="708"/>
                <w:tab w:val="left" w:pos="567" w:leader="none"/>
              </w:tabs>
              <w:ind w:hanging="0" w:left="0" w:right="-24"/>
              <w:jc w:val="both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разработке РД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  <w:t>Разработка РД  должна выполнятся с учетом требований по импортозамещению и предлагаемых в настоящее время аппаратных и программных компонентов.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  <w:t>Программное обеспечение, закупаемое в целях реализации проекта, должно быть включено в Единый реестр российских программ для электронных вычислительных машин и баз данных https://reestr.digital.gov.ru/.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  <w:t>Оборудование, закупаемое в целях реализации ЛСО, должно быть включено   в реестр промышленной продукции, произведенной на территории Российской Федерации или произведенной на территории государства - члена Евразийского экономического союза, предусмотренный постановлением Правительства Российской Федерации от 30 апреля 2020 г. N 616, включено в единый реестр российской радиоэлектронной продукции, предусмотренный постановлением Правительства Российской Федерации от 10 июля 2019 г. N 878.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  <w:t>Минимальный объем закупаемого оборудования российского происхождения должен соответствовать постановлению Правительства Российской Федерации от 3 декабря 2020 г. N 2013. Для подтверждения выполнения требований постановления Правительства Российской Федерации от 3 декабря 2020 г. N 2013 необходимо к спецификации поставляемого промышленного, в том числе телекоммуникационного оборудования, прикладывать выписки из реестра российской промышленной продукции или реестра евразийской промышленной продукции, единого реестра российской радиоэлектронной продукции с указанием номеров реестровых записей соответствующих реестров и отчетный документ, показывающую долю товаров российского происхождения, определенную в процентном от-ношении к объему закупок товаров соответствующего вида.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При разработке проекта использовать все необходимые нормативные документы с последними изменениями и дополнениями, в пояснительной записке обязательно указать перечень нормативных документов, используемых при проектировании (правила ППБ, ПТЭ, ПТБ, ГОСТ, СНИП, ПУЭ и др.).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51" w:leader="none"/>
              </w:tabs>
              <w:jc w:val="both"/>
              <w:rPr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Запрещается устанавливать необоснованные требования к продукции, необходимой для реализации проекта, которые в дальнейшем (на этапе выбора поставщика этой продукции) могут привести к необоснованному ограничению конкуренции.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51" w:leader="none"/>
              </w:tabs>
              <w:jc w:val="both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В рамках выполнения работ по РД разработать предложения по этапам выполнения строительно-монтажных работ с учетом проведения работ без вывода из работы модернизируемой ЛСО.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572" w:leader="none"/>
              </w:tabs>
              <w:jc w:val="both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  <w:t>Составить комплект сметной документации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572" w:leader="none"/>
              </w:tabs>
              <w:jc w:val="both"/>
              <w:rPr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i/>
                <w:spacing w:val="4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firstLine="142" w:left="-117" w:right="0"/>
              <w:contextualSpacing/>
              <w:jc w:val="center"/>
              <w:rPr>
                <w:rFonts w:eastAsia="Times New Roman"/>
                <w:b/>
                <w:i/>
                <w:i/>
                <w:spacing w:val="4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i/>
                <w:spacing w:val="4"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персоналу подрядчика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Квалификация персонала подрядчика, привлекаемого к выполнению работ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До начала проведения работ предпроектного обследования в рамках исполнения договора, после его заключения, 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безопасности работ и охране труда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lang w:eastAsia="ru-RU"/>
              </w:rPr>
            </w:pPr>
            <w:r>
              <w:rPr>
                <w:lang w:eastAsia="ru-RU"/>
              </w:rPr>
              <w:t>1.4.1.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безопасности выполняемых работ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rPr/>
            </w:pPr>
            <w:r>
              <w:rPr>
                <w:i/>
                <w:sz w:val="20"/>
                <w:szCs w:val="20"/>
                <w:lang w:eastAsia="ru-RU"/>
              </w:rPr>
              <w:t xml:space="preserve">Подрядчик обязан </w:t>
            </w: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360" w:left="360" w:right="0"/>
              <w:contextualSpacing/>
              <w:jc w:val="center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Требования к результатам работ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432" w:left="792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Общие требования к результатам работ</w:t>
            </w:r>
          </w:p>
        </w:tc>
      </w:tr>
      <w:tr>
        <w:trPr>
          <w:trHeight w:val="987" w:hRule="atLeas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Требования к результату ППО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ind w:left="72" w:right="0"/>
              <w:jc w:val="both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Результаты ППО оформляются в виде документа: «Отчёт о ППО».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bCs/>
                <w:i/>
                <w:sz w:val="20"/>
                <w:szCs w:val="20"/>
                <w:lang w:eastAsia="ru-RU"/>
              </w:rPr>
              <w:t>Требования к результату разработки технического задания (ТЗ)</w:t>
            </w:r>
            <w:r>
              <w:rPr>
                <w:bCs/>
                <w:i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bCs/>
                <w:i/>
                <w:sz w:val="20"/>
                <w:szCs w:val="20"/>
                <w:lang w:eastAsia="ru-RU"/>
              </w:rPr>
              <w:t>на разработку РД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В процессе разработки ТЗ необходимо произвести анализ действующих на данный момент НТД и разработать ТЗ на модернизацию ЛСО с учетом этих данных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ТЗ должно быть согласовано с ГУ МЧС России по Пермскому краю, Государственным казенным учреждением Пермского края «Гражданская защита».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i/>
                <w:sz w:val="20"/>
                <w:szCs w:val="20"/>
                <w:lang w:eastAsia="ru-RU"/>
              </w:rPr>
              <w:t xml:space="preserve">Требования к результату </w:t>
            </w:r>
            <w:r>
              <w:rPr>
                <w:bCs/>
                <w:i/>
                <w:sz w:val="20"/>
                <w:szCs w:val="20"/>
                <w:lang w:eastAsia="ru-RU"/>
              </w:rPr>
              <w:t>разработки РД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</w:tabs>
              <w:ind w:left="72" w:right="0"/>
              <w:jc w:val="both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Документация, предоставляемая Заказчику на утверждение, в обязательном порядке должна содержать следующие разделы: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32" w:leader="none"/>
              </w:tabs>
              <w:ind w:hanging="0" w:left="0" w:right="0"/>
              <w:jc w:val="both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пояснительная записка с кратким изложением содержания проекта, данными о проведенных согласованиях с указанием о соответствии проекта действующим нормам и правилам;.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32" w:leader="none"/>
              </w:tabs>
              <w:ind w:hanging="0" w:left="72" w:right="0"/>
              <w:jc w:val="both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решения по комплексу технических средств;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32" w:leader="none"/>
              </w:tabs>
              <w:ind w:hanging="0" w:left="72" w:right="0"/>
              <w:jc w:val="both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краткая характеристика объекта модернизации. Анализ текущего состояния системы. Отражение всех недостатков системы, как в плане оборудования, так в плане программного обеспечения, возможного несоответствия текущим нормативным документам. Результаты предпроектного обследования.</w:t>
            </w:r>
          </w:p>
          <w:p>
            <w:pPr>
              <w:pStyle w:val="Normal"/>
              <w:widowControl w:val="false"/>
              <w:numPr>
                <w:ilvl w:val="0"/>
              </w:numPr>
              <w:tabs>
                <w:tab w:val="clear" w:pos="708"/>
                <w:tab w:val="left" w:pos="432" w:leader="none"/>
              </w:tabs>
              <w:ind w:left="72" w:right="0"/>
              <w:jc w:val="both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Описательная часть с техническими решениями по модернизации ЛСО, оформленные в виде схем, спецификаций, выполненные в полном соответствии с ТЗ.</w:t>
            </w:r>
          </w:p>
          <w:p>
            <w:pPr>
              <w:pStyle w:val="Normal"/>
              <w:widowControl w:val="false"/>
              <w:ind w:left="34" w:right="0"/>
              <w:jc w:val="both"/>
              <w:rPr>
                <w:rFonts w:eastAsia="TimesNewRomanPSMT;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В графической части должны быть предоставлены структурные схемы, спецификации, схемы компоновки</w:t>
            </w:r>
          </w:p>
          <w:p>
            <w:pPr>
              <w:pStyle w:val="Normal"/>
              <w:widowControl w:val="false"/>
              <w:ind w:left="34" w:right="0"/>
              <w:jc w:val="both"/>
              <w:rPr>
                <w:rFonts w:eastAsia="TimesNewRomanPSMT;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NewRomanPSMT;Times New Roman"/>
                <w:i/>
                <w:sz w:val="20"/>
                <w:szCs w:val="20"/>
                <w:lang w:eastAsia="ru-RU"/>
              </w:rPr>
              <w:t>РД выполняется в объеме, необходимом для описания полной совокупности принятых решений и достаточном для дальнейшего выполнения работ по модернизации ЛСО.</w:t>
            </w:r>
          </w:p>
          <w:p>
            <w:pPr>
              <w:pStyle w:val="Normal"/>
              <w:widowControl w:val="false"/>
              <w:rPr>
                <w:rFonts w:eastAsia="TimesNewRomanPSMT;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NewRomanPSMT;Times New Roman"/>
                <w:i/>
                <w:sz w:val="20"/>
                <w:szCs w:val="20"/>
                <w:lang w:eastAsia="ru-RU"/>
              </w:rPr>
              <w:t>В составе РД общие решения по:</w:t>
            </w:r>
          </w:p>
          <w:p>
            <w:pPr>
              <w:pStyle w:val="Normal"/>
              <w:widowControl w:val="false"/>
              <w:rPr>
                <w:rFonts w:eastAsia="TimesNewRomanPSMT;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NewRomanPSMT;Times New Roman"/>
                <w:i/>
                <w:sz w:val="20"/>
                <w:szCs w:val="20"/>
                <w:lang w:eastAsia="ru-RU"/>
              </w:rPr>
              <w:t>функционально-алгоритмической структуре системы, функциям персонала и организационной структуре, структуре технических средств, алгоритмам решений задач и применяемым языкам, организации и ведению информационной базы, системе классификации и кодирования информации, программному обеспечению,</w:t>
            </w:r>
          </w:p>
          <w:p>
            <w:pPr>
              <w:pStyle w:val="Normal"/>
              <w:widowControl w:val="false"/>
              <w:rPr>
                <w:rFonts w:eastAsia="TimesNewRomanPSMT;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NewRomanPSMT;Times New Roman"/>
                <w:i/>
                <w:sz w:val="20"/>
                <w:szCs w:val="20"/>
                <w:lang w:eastAsia="ru-RU"/>
              </w:rPr>
              <w:t>Комплект согласованной документации РД передается Заказчику комплектом на бумажном носителе и в электронном носителе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bCs/>
                <w:i/>
                <w:i/>
                <w:sz w:val="20"/>
                <w:szCs w:val="20"/>
                <w:lang w:eastAsia="ru-RU"/>
              </w:rPr>
            </w:pPr>
            <w:r>
              <w:rPr>
                <w:bCs/>
                <w:i/>
                <w:sz w:val="20"/>
                <w:szCs w:val="20"/>
                <w:lang w:eastAsia="ru-RU"/>
              </w:rPr>
              <w:t>Требования к результату разработки сметной документаций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24" w:leader="none"/>
                <w:tab w:val="left" w:pos="344" w:leader="none"/>
              </w:tabs>
              <w:jc w:val="both"/>
              <w:rPr>
                <w:bCs/>
                <w:i/>
                <w:i/>
                <w:color w:val="00000A"/>
                <w:sz w:val="20"/>
                <w:szCs w:val="20"/>
                <w:lang w:eastAsia="ru-RU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ru-RU"/>
              </w:rPr>
              <w:t>- Вся техническая документация разрабатывается в соответствии с национальными, отраслевыми и корпоративными (ПАО «РусГидро») нормативно-техническими документами.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24" w:leader="none"/>
                <w:tab w:val="left" w:pos="344" w:leader="none"/>
              </w:tabs>
              <w:jc w:val="both"/>
              <w:rPr>
                <w:bCs/>
                <w:i/>
                <w:i/>
                <w:color w:val="00000A"/>
                <w:sz w:val="20"/>
                <w:szCs w:val="20"/>
                <w:lang w:eastAsia="ru-RU"/>
              </w:rPr>
            </w:pPr>
            <w:r>
              <w:rPr>
                <w:bCs/>
                <w:i/>
                <w:color w:val="00000A"/>
                <w:sz w:val="20"/>
                <w:szCs w:val="20"/>
                <w:lang w:eastAsia="ru-RU"/>
              </w:rPr>
              <w:t>Комплект сметной документации должен содержать, локальные сметы на все виды работ с проектом ЛСО. Локальные сметы и локальные сметные расчеты должны содержать сведения о сметной стоимости работ, выполняемых при создании АС. и сметной стоимости объектов, сооружаемых при создании АС, в соответствии с требованиями СНиП 1.02.01 и других документов по определению стоимости АС и ее составных частей.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432" w:left="457" w:right="0"/>
              <w:contextualSpacing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Style w:val="Style14"/>
                <w:i w:val="false"/>
                <w:i w:val="false"/>
                <w:shd w:fill="auto" w:val="clear"/>
                <w:lang w:eastAsia="ru-RU"/>
              </w:rPr>
            </w:pPr>
            <w:r>
              <w:rPr>
                <w:b/>
                <w:lang w:eastAsia="ru-RU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инфраструктуре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spacing w:before="240" w:after="0"/>
              <w:ind w:hanging="0" w:left="0" w:right="0"/>
              <w:jc w:val="both"/>
              <w:rPr>
                <w:rFonts w:ascii="Times New Roman" w:hAnsi="Times New Roman" w:cs="Times New Roman"/>
                <w:i/>
                <w:i/>
                <w:lang w:eastAsia="ru-RU"/>
              </w:rPr>
            </w:pPr>
            <w:r>
              <w:rPr>
                <w:rFonts w:cs="Times New Roman" w:ascii="Times New Roman" w:hAnsi="Times New Roman"/>
                <w:i/>
                <w:lang w:eastAsia="ru-RU"/>
              </w:rPr>
              <w:t>Технические средства оповещения, должны быть сертифицированные в соответствии с техническим регламентом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или технические средства оповещения населения - при наличии документов об оценке соответствия обязательным требованиям, ранее установленным актами, входящими в право Евразийского экономического союза, или законодательством государства - члена Евразийского экономического союза, выданных или принятых до даты вступления в силу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 в соответствии с решением Коллегии Евразийской экономической комиссии от 1 февраля 2022 г. N 18 "О переходных положениях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050/2021)";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>
                <w:i/>
                <w:iCs/>
                <w:sz w:val="20"/>
                <w:szCs w:val="20"/>
                <w:lang w:eastAsia="ru-RU"/>
              </w:rPr>
              <w:t xml:space="preserve">Требования к сопряжению ЛСО с </w:t>
            </w:r>
            <w:r>
              <w:rPr>
                <w:i/>
                <w:iCs/>
                <w:color w:val="000000"/>
                <w:sz w:val="20"/>
                <w:szCs w:val="20"/>
                <w:lang w:eastAsia="ru-RU"/>
              </w:rPr>
              <w:t>МСО (РСО)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8" w:leader="none"/>
                <w:tab w:val="left" w:pos="1080" w:leader="none"/>
              </w:tabs>
              <w:jc w:val="both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ЛСО должна обеспечивать программно-техническое сопряжение с МСО (РСО), на основании технических условий, выдаваемых органом государственной власти субъекта Российской Федерации.   Сопряжение технических средств оповещения должно соответствовать ГОСТ Р 42.3.01. 4.8.4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программному обеспечению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142" w:leader="none"/>
                <w:tab w:val="left" w:pos="764" w:leader="none"/>
                <w:tab w:val="left" w:pos="1080" w:leader="none"/>
              </w:tabs>
              <w:jc w:val="both"/>
              <w:rPr/>
            </w:pPr>
            <w:r>
              <w:rPr>
                <w:rFonts w:eastAsia="Calibri"/>
                <w:i/>
                <w:sz w:val="20"/>
                <w:szCs w:val="20"/>
                <w:lang w:eastAsia="en-US"/>
              </w:rPr>
              <w:t>Программное обеспечение ЛСО должно быть включено в Единый реестр российских программ для электронных вычислительных машин и баз данных Минкомсвязи России (</w:t>
            </w:r>
            <w:hyperlink r:id="rId3">
              <w:r>
                <w:rPr>
                  <w:rStyle w:val="Hyperlink"/>
                  <w:rFonts w:eastAsia="Calibri"/>
                  <w:i/>
                  <w:sz w:val="20"/>
                  <w:szCs w:val="20"/>
                  <w:lang w:eastAsia="en-US"/>
                </w:rPr>
                <w:t>https://reestr.minsvyaz.ru/reestr/</w:t>
              </w:r>
            </w:hyperlink>
            <w:r>
              <w:rPr>
                <w:rFonts w:eastAsia="Calibri"/>
                <w:i/>
                <w:sz w:val="20"/>
                <w:szCs w:val="20"/>
                <w:lang w:eastAsia="en-US"/>
              </w:rPr>
              <w:t>).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9" w:leader="none"/>
              </w:tabs>
              <w:spacing w:before="45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ремонтопригодности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11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Должны быть реализованы требования к ремонтопригодности в соответствии с ГОСТ 23660-79</w:t>
            </w:r>
          </w:p>
          <w:p>
            <w:pPr>
              <w:pStyle w:val="ListParagraph"/>
              <w:widowControl w:val="false"/>
              <w:ind w:hanging="0" w:left="15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«Система технического обслуживания и ремонта техники. Обеспечение ремонтопригодности при разработке изделий».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сетям электроснабжения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Cs/>
                <w:i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При разработке решений по подключению к сетям электроснабжения обеспечить электропитание технических средств оповещения от сети гарантированного электропитания, в том числе от источников автономного питания (п.8 Приложения№1  к Приказу МЧС от 31.07.2020 N 578/365) Потребитель 1 категории.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защите информации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15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Состав мер защиты информации и их базовые наборы для соответствующих классов защищенности систем приведены в приказе ФСТЭК России от 14 марта 2014 г. N 31.</w:t>
            </w:r>
          </w:p>
          <w:p>
            <w:pPr>
              <w:pStyle w:val="ListParagraph"/>
              <w:widowControl w:val="false"/>
              <w:ind w:hanging="0" w:left="15" w:right="0"/>
              <w:rPr>
                <w:rFonts w:eastAsia="Times New Roman"/>
                <w:i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i/>
                <w:sz w:val="20"/>
                <w:szCs w:val="20"/>
                <w:lang w:eastAsia="ru-RU"/>
              </w:rPr>
              <w:t>Формирование требований к защите информации в системе оповещения населения осуществляется с учетом ГОСТ Р 51583 "Защита информации. Порядок создания автоматизированных систем в защищенном исполнении. Общие положения" (далее - ГОСТ Р 51583), ГОСТ Р 51624 "Защита информации. Автоматизированные системы в защищенном исполнении. Общие требования" (далее - ГОСТ Р 51624) и нормативных документов субъекта Российской Федерации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napToGrid w:val="false"/>
              <w:spacing w:before="60" w:after="60"/>
              <w:ind w:hanging="432" w:left="457" w:right="0"/>
              <w:contextualSpacing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оформлению документации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0"/>
                <w:szCs w:val="20"/>
                <w:lang w:eastAsia="ru-RU"/>
              </w:rPr>
              <w:t>Подрядчик обязан одновременно с передачей актов сдачи-приемки выполненных работ  передать заказчику разработанную проектно-сметную  документацию передать Заказчику полным комплектом в 3 (трех) экземплярах на бумажном носителе в не редактируемом формате с подписями, в редактируемом формате без подписей в формате приложений, в которых документация разработана и 1 (одном) экземпляре на  электронном носителе (в формате DWG-A</w:t>
            </w:r>
            <w:r>
              <w:rPr>
                <w:i/>
                <w:sz w:val="20"/>
                <w:szCs w:val="20"/>
                <w:lang w:val="en-US" w:eastAsia="ru-RU"/>
              </w:rPr>
              <w:t>u</w:t>
            </w:r>
            <w:r>
              <w:rPr>
                <w:i/>
                <w:sz w:val="20"/>
                <w:szCs w:val="20"/>
                <w:lang w:eastAsia="ru-RU"/>
              </w:rPr>
              <w:t>toCad,VSD-Visio, DOC-Word, XLS-Exel, Гранд-смета)).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360" w:left="360" w:right="0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40" w:after="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  <w:lang w:eastAsia="ru-RU"/>
              </w:rPr>
              <w:t>Соблюдение при выполнении работ норм и правил нормативно-технических документов: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Федеральный закон 29.12.2004 N 190-ФЗ «Градостроительный кодекс Российской Федерации» (в действующей редакции);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 xml:space="preserve"> </w:t>
            </w:r>
            <w:r>
              <w:rPr>
                <w:i/>
                <w:sz w:val="20"/>
                <w:szCs w:val="20"/>
                <w:lang w:eastAsia="ru-RU"/>
              </w:rPr>
              <w:t>Федеральный закон от 26.03.2003 N 35-ФЗ «Об электроэнергетике» (в действующей редакции);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Федеральный закон от 10.01.2002 N 7-ФЗ «Об охране окружающей среды» (в действующей редакции);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Федеральный закон от 07.07.2003 N 126-ФЗ «О связи» (в действующей редакции);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Правилами технической эксплуатации электрических станций и сетей Российской Федерации. (утв. приказом Минэнерго Российской Федерации от 04.10.2022 №1070);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Приказ ФСТЭК России от 25.12.2017 N 239 «Об утверждении Требований по обеспечению безопасности значимых объектов критической информационной инфраструктуры Российской Федерации» (в действующей редакции);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«Методическим рекомендациям по созданию и реконструкции систем оповещения населения» (утв. МЧС России 19.02.2021 №1)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Межгосударственный</w:t>
            </w:r>
            <w:r>
              <w:rPr>
                <w:i/>
                <w:iCs/>
                <w:sz w:val="20"/>
                <w:szCs w:val="20"/>
              </w:rPr>
              <w:t xml:space="preserve"> стандарт ГОСТ 21.101 – 97 «Система проектной документации для строительства. Основные требования к проектной и рабочей документации»,</w:t>
            </w:r>
            <w:r>
              <w:rPr>
                <w:i/>
                <w:sz w:val="20"/>
                <w:szCs w:val="20"/>
              </w:rPr>
              <w:t xml:space="preserve"> </w:t>
            </w:r>
            <w:hyperlink r:id="rId4">
              <w:r>
                <w:rPr>
                  <w:rStyle w:val="Hyperlink"/>
                  <w:i/>
                  <w:sz w:val="20"/>
                  <w:szCs w:val="20"/>
                </w:rPr>
                <w:t>http://cp11.megagroup.ru/d/648204/d/gost_21_101_97.pdf</w:t>
              </w:r>
            </w:hyperlink>
            <w:r>
              <w:rPr>
                <w:sz w:val="20"/>
                <w:szCs w:val="20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ГОСТ Р 21.101-2020 Национальный стандарт российской федерации. Система проектной документации для строительства. Основные требования к проектной и рабочей документации.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 xml:space="preserve">Межгосударственный стандарт </w:t>
            </w:r>
            <w:hyperlink r:id="rId5">
              <w:r>
                <w:rPr>
                  <w:rStyle w:val="Hyperlink"/>
                  <w:i/>
                  <w:sz w:val="20"/>
                  <w:szCs w:val="20"/>
                  <w:lang w:eastAsia="ru-RU"/>
                </w:rPr>
                <w:t>ГОСТ 21.101 – 97</w:t>
              </w:r>
            </w:hyperlink>
            <w:r>
              <w:rPr>
                <w:i/>
                <w:sz w:val="20"/>
                <w:szCs w:val="20"/>
                <w:lang w:eastAsia="ru-RU"/>
              </w:rPr>
              <w:t xml:space="preserve"> «Система проектной документации для строительства. 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4680" w:leader="none"/>
                <w:tab w:val="left" w:pos="-3240" w:leader="none"/>
                <w:tab w:val="left" w:pos="0" w:leader="none"/>
                <w:tab w:val="left" w:pos="742" w:leader="none"/>
                <w:tab w:val="left" w:pos="1440" w:leader="none"/>
              </w:tabs>
              <w:ind w:firstLine="291" w:left="0" w:right="0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eastAsia="ru-RU"/>
              </w:rPr>
              <w:t>Отраслевые НТД: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4680" w:leader="none"/>
                <w:tab w:val="left" w:pos="-3240" w:leader="none"/>
                <w:tab w:val="left" w:pos="0" w:leader="none"/>
                <w:tab w:val="left" w:pos="742" w:leader="none"/>
                <w:tab w:val="left" w:pos="1440" w:leader="none"/>
              </w:tabs>
              <w:ind w:firstLine="291" w:left="0" w:right="0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РД 153-34.2-35.520-99 – «Общие технические требования к программно-техническим комплексам для АСУ ТП гидроэлектростанций»,</w:t>
            </w:r>
            <w:r>
              <w:rPr/>
              <w:t xml:space="preserve"> </w:t>
            </w:r>
            <w:hyperlink r:id="rId6">
              <w:r>
                <w:rPr>
                  <w:rStyle w:val="Hyperlink"/>
                  <w:i/>
                  <w:sz w:val="20"/>
                  <w:szCs w:val="20"/>
                </w:rPr>
                <w:t>http://files.stroyinf.ru/Data2/1/4294817/4294817855.htm</w:t>
              </w:r>
            </w:hyperlink>
            <w:r>
              <w:rPr>
                <w:i/>
                <w:sz w:val="20"/>
                <w:szCs w:val="20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4680" w:leader="none"/>
                <w:tab w:val="left" w:pos="-3240" w:leader="none"/>
                <w:tab w:val="left" w:pos="0" w:leader="none"/>
                <w:tab w:val="left" w:pos="742" w:leader="none"/>
                <w:tab w:val="left" w:pos="1440" w:leader="none"/>
              </w:tabs>
              <w:ind w:firstLine="291" w:left="0" w:right="0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Стандарт организации ОАО РАО «ЕЭС России» СТО 17330282.27.140.009-2008 «Автоматизированные системы управления технологическими процессами ГЭС 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ГЭАС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i/>
                <w:iCs/>
                <w:sz w:val="20"/>
                <w:szCs w:val="20"/>
              </w:rPr>
              <w:t>Организация эксплуатации и технического обслуживания. Нормы и требования»,</w:t>
            </w:r>
            <w:r>
              <w:rPr>
                <w:sz w:val="20"/>
                <w:szCs w:val="20"/>
              </w:rPr>
              <w:t xml:space="preserve"> </w:t>
            </w:r>
            <w:hyperlink r:id="rId7">
              <w:r>
                <w:rPr>
                  <w:rStyle w:val="Hyperlink"/>
                  <w:i/>
                  <w:sz w:val="20"/>
                  <w:szCs w:val="20"/>
                </w:rPr>
                <w:t>http://meganorm.ru/Index2/1/4293830/4293830126.htm</w:t>
              </w:r>
            </w:hyperlink>
            <w:r>
              <w:rPr>
                <w:i/>
                <w:sz w:val="20"/>
                <w:szCs w:val="20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4680" w:leader="none"/>
                <w:tab w:val="left" w:pos="-3240" w:leader="none"/>
                <w:tab w:val="left" w:pos="0" w:leader="none"/>
                <w:tab w:val="left" w:pos="742" w:leader="none"/>
                <w:tab w:val="left" w:pos="1440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iCs/>
                <w:sz w:val="20"/>
                <w:szCs w:val="20"/>
              </w:rPr>
              <w:t>Стандарт организации ОАО РАО «ЕЭС России» СТО 17330282.27.140.010-2008 «Автоматизированные системы управления технологическими процессами ГЭС и ГАЭС. Условия создания. Нормы и требования»,</w:t>
            </w:r>
            <w:r>
              <w:rPr/>
              <w:t xml:space="preserve"> </w:t>
            </w:r>
            <w:hyperlink r:id="rId8">
              <w:r>
                <w:rPr>
                  <w:rStyle w:val="Hyperlink"/>
                  <w:i/>
                  <w:sz w:val="20"/>
                  <w:szCs w:val="20"/>
                </w:rPr>
                <w:t>http://meganorm.ru/Index2/1/4293830/4293830898.htm</w:t>
              </w:r>
            </w:hyperlink>
            <w:r>
              <w:rPr>
                <w:i/>
                <w:sz w:val="20"/>
                <w:szCs w:val="20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4860" w:leader="none"/>
                <w:tab w:val="left" w:pos="-3240" w:leader="none"/>
                <w:tab w:val="left" w:pos="0" w:leader="none"/>
                <w:tab w:val="left" w:pos="742" w:leader="none"/>
                <w:tab w:val="left" w:pos="1080" w:leader="none"/>
              </w:tabs>
              <w:ind w:firstLine="291" w:left="0" w:right="0"/>
              <w:rPr>
                <w:i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ГОСТ Р ГОСТ 34.602-2020 Межгосударственный стандарт. Информационные технологии. Комплекс стандартов на автоматизированные системы. Техническое задание на создание автоматизированной системы;</w:t>
            </w:r>
          </w:p>
          <w:p>
            <w:pPr>
              <w:pStyle w:val="52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spacing w:lineRule="auto" w:line="240"/>
              <w:ind w:firstLine="291" w:left="0" w:right="0"/>
              <w:rPr/>
            </w:pPr>
            <w:r>
              <w:rPr>
                <w:i/>
                <w:color w:val="000000"/>
                <w:sz w:val="20"/>
                <w:szCs w:val="20"/>
                <w:lang w:eastAsia="ru-RU" w:bidi="ar-SA"/>
              </w:rPr>
              <w:t>Нормативные документы (НД), определяющие требования к оформлению и содержанию рабочей документации:</w:t>
            </w:r>
          </w:p>
          <w:p>
            <w:pPr>
              <w:pStyle w:val="52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293" w:leader="none"/>
                <w:tab w:val="left" w:pos="742" w:leader="none"/>
              </w:tabs>
              <w:spacing w:lineRule="auto" w:line="240"/>
              <w:ind w:firstLine="291" w:left="0" w:right="0"/>
              <w:rPr>
                <w:i/>
                <w:i/>
                <w:color w:val="000000"/>
                <w:sz w:val="20"/>
                <w:szCs w:val="20"/>
                <w:lang w:eastAsia="ru-RU" w:bidi="ar-SA"/>
              </w:rPr>
            </w:pPr>
            <w:hyperlink r:id="rId9">
              <w:r>
                <w:rPr>
                  <w:rStyle w:val="Hyperlink"/>
                  <w:i/>
                  <w:color w:val="000000"/>
                  <w:sz w:val="20"/>
                  <w:szCs w:val="20"/>
                  <w:lang w:eastAsia="ru-RU" w:bidi="ar-SA"/>
                </w:rPr>
                <w:t>ПУЭ</w:t>
              </w:r>
            </w:hyperlink>
            <w:r>
              <w:rPr>
                <w:i/>
                <w:color w:val="000000"/>
                <w:sz w:val="20"/>
                <w:szCs w:val="20"/>
                <w:lang w:eastAsia="ru-RU" w:bidi="ar-SA"/>
              </w:rPr>
              <w:t xml:space="preserve"> (действующее издание);</w:t>
            </w:r>
          </w:p>
          <w:p>
            <w:pPr>
              <w:pStyle w:val="52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293" w:leader="none"/>
                <w:tab w:val="left" w:pos="742" w:leader="none"/>
              </w:tabs>
              <w:spacing w:lineRule="auto" w:line="240"/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color w:val="000000"/>
                <w:sz w:val="20"/>
                <w:szCs w:val="20"/>
                <w:lang w:eastAsia="ru-RU" w:bidi="ar-SA"/>
              </w:rPr>
              <w:t>ПТЭ (действующее издание);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08"/>
                <w:tab w:val="left" w:pos="-3240" w:leader="none"/>
                <w:tab w:val="left" w:pos="0" w:leader="none"/>
                <w:tab w:val="left" w:pos="742" w:leader="none"/>
              </w:tabs>
              <w:ind w:firstLine="291" w:left="0" w:right="0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Данный список НД не является полным и окончательным. При проектировании необходимо руководствоваться последними редакциями документов, необходимых и действующих на период разработки документации.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360" w:left="360" w:right="0"/>
              <w:contextualSpacing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ответственности и гарантиям подрядчика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Гарантийный срок на результат работ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Гарантийный срок на результат работ должен составлять 36 месяцев с даты подписания Акта сдачи-приемки выполненных работ.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napToGrid w:val="false"/>
              <w:spacing w:before="60" w:after="60"/>
              <w:ind w:hanging="360" w:left="360" w:right="0"/>
              <w:contextualSpacing/>
              <w:jc w:val="center"/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1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</w:tr>
      <w:tr>
        <w:trPr/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snapToGrid w:val="false"/>
              <w:spacing w:before="60" w:after="60"/>
              <w:ind w:hanging="1199" w:left="1355" w:right="0"/>
              <w:contextualSpacing/>
              <w:jc w:val="center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0"/>
                <w:szCs w:val="20"/>
                <w:lang w:eastAsia="ru-RU"/>
              </w:rPr>
            </w:pPr>
            <w:r>
              <w:rPr>
                <w:i/>
                <w:sz w:val="20"/>
                <w:szCs w:val="20"/>
                <w:lang w:eastAsia="ru-RU"/>
              </w:rPr>
              <w:t>В случае привлечения к выполнению работ субподрядных организаций подрядчик обязан представить заказчику на этапе заключения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type w:val="nextPage"/>
          <w:pgSz w:orient="landscape" w:w="16838" w:h="11906"/>
          <w:pgMar w:left="1134" w:right="851" w:gutter="0" w:header="0" w:top="680" w:footer="720" w:bottom="992"/>
          <w:pgNumType w:fmt="decimal"/>
          <w:formProt w:val="false"/>
          <w:titlePg/>
          <w:textDirection w:val="lrTb"/>
          <w:docGrid w:type="default" w:linePitch="381" w:charSpace="8192"/>
        </w:sectPr>
      </w:pPr>
    </w:p>
    <w:p>
      <w:pPr>
        <w:pStyle w:val="Normal"/>
        <w:tabs>
          <w:tab w:val="clear" w:pos="708"/>
          <w:tab w:val="left" w:pos="851" w:leader="none"/>
        </w:tabs>
        <w:ind w:right="-24"/>
        <w:jc w:val="both"/>
        <w:rPr>
          <w:rFonts w:eastAsia="Calibri"/>
          <w:b/>
          <w:lang w:eastAsia="x-none"/>
        </w:rPr>
      </w:pPr>
      <w:r>
        <w:rPr>
          <w:rFonts w:eastAsia="Calibri"/>
          <w:b/>
          <w:lang w:eastAsia="x-none"/>
        </w:rPr>
      </w:r>
    </w:p>
    <w:p>
      <w:pPr>
        <w:pStyle w:val="Heading1"/>
        <w:numPr>
          <w:ilvl w:val="0"/>
          <w:numId w:val="1"/>
        </w:numPr>
        <w:tabs>
          <w:tab w:val="left" w:pos="432" w:leader="none"/>
          <w:tab w:val="left" w:pos="567" w:leader="none"/>
        </w:tabs>
        <w:spacing w:before="0" w:after="0"/>
        <w:jc w:val="left"/>
        <w:rPr>
          <w:bCs/>
          <w:caps w:val="false"/>
          <w:smallCaps w:val="false"/>
          <w:sz w:val="24"/>
        </w:rPr>
      </w:pPr>
      <w:r>
        <w:rPr/>
      </w:r>
    </w:p>
    <w:p>
      <w:pPr>
        <w:pStyle w:val="Style33"/>
        <w:tabs>
          <w:tab w:val="clear" w:pos="708"/>
          <w:tab w:val="left" w:pos="567" w:leader="none"/>
        </w:tabs>
        <w:suppressAutoHyphens w:val="false"/>
        <w:spacing w:before="0" w:after="0"/>
        <w:ind w:hanging="0" w:left="720" w:right="0"/>
        <w:contextualSpacing/>
        <w:jc w:val="both"/>
        <w:rPr/>
      </w:pPr>
      <w:r>
        <w:rPr/>
      </w:r>
    </w:p>
    <w:p>
      <w:pPr>
        <w:pStyle w:val="Style33"/>
        <w:tabs>
          <w:tab w:val="clear" w:pos="708"/>
          <w:tab w:val="left" w:pos="567" w:leader="none"/>
        </w:tabs>
        <w:suppressAutoHyphens w:val="false"/>
        <w:spacing w:before="0" w:after="0"/>
        <w:ind w:hanging="0" w:left="720" w:right="0"/>
        <w:contextualSpacing/>
        <w:jc w:val="both"/>
        <w:rPr/>
      </w:pPr>
      <w:r>
        <w:rPr/>
      </w:r>
    </w:p>
    <w:p>
      <w:pPr>
        <w:pStyle w:val="Style33"/>
        <w:tabs>
          <w:tab w:val="clear" w:pos="708"/>
          <w:tab w:val="left" w:pos="567" w:leader="none"/>
        </w:tabs>
        <w:suppressAutoHyphens w:val="false"/>
        <w:spacing w:before="0" w:after="0"/>
        <w:ind w:hanging="0" w:left="720" w:right="0"/>
        <w:contextualSpacing/>
        <w:jc w:val="both"/>
        <w:rPr/>
      </w:pPr>
      <w:r>
        <w:rPr/>
      </w:r>
    </w:p>
    <w:p>
      <w:pPr>
        <w:pStyle w:val="Style33"/>
        <w:tabs>
          <w:tab w:val="clear" w:pos="708"/>
          <w:tab w:val="left" w:pos="567" w:leader="none"/>
        </w:tabs>
        <w:suppressAutoHyphens w:val="false"/>
        <w:spacing w:before="0" w:after="0"/>
        <w:ind w:hanging="0" w:left="720" w:right="0"/>
        <w:contextualSpacing/>
        <w:jc w:val="both"/>
        <w:rPr/>
      </w:pPr>
      <w:r>
        <w:rPr/>
      </w:r>
    </w:p>
    <w:p>
      <w:pPr>
        <w:pStyle w:val="Style33"/>
        <w:tabs>
          <w:tab w:val="clear" w:pos="708"/>
          <w:tab w:val="left" w:pos="567" w:leader="none"/>
        </w:tabs>
        <w:suppressAutoHyphens w:val="false"/>
        <w:spacing w:before="0" w:after="0"/>
        <w:ind w:hanging="0" w:left="720" w:right="0"/>
        <w:contextualSpacing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529" w:leader="none"/>
        </w:tabs>
        <w:jc w:val="both"/>
        <w:rPr/>
      </w:pPr>
      <w:r>
        <w:rPr/>
      </w:r>
    </w:p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w="11906" w:h="16838"/>
      <w:pgMar w:left="1134" w:right="992" w:gutter="0" w:header="680" w:top="851" w:footer="720" w:bottom="1134"/>
      <w:pgNumType w:fmt="decimal"/>
      <w:formProt w:val="false"/>
      <w:titlePg/>
      <w:textDirection w:val="lrTb"/>
      <w:docGrid w:type="default" w:linePitch="381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ewtonC">
    <w:altName w:val="Courier New"/>
    <w:charset w:val="01"/>
    <w:family w:val="roman"/>
    <w:pitch w:val="variable"/>
  </w:font>
  <w:font w:name="Verdana">
    <w:charset w:val="01"/>
    <w:family w:val="roman"/>
    <w:pitch w:val="variable"/>
  </w:font>
  <w:font w:name="NewsGoth BT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i w:val="false"/>
        <w:b/>
        <w:szCs w:val="24"/>
        <w:iCs w:val="false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 w:val="false"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355" w:hanging="504"/>
      </w:pPr>
      <w:rPr>
        <w:sz w:val="24"/>
        <w:i w:val="false"/>
        <w:b w:val="false"/>
        <w:szCs w:val="24"/>
        <w:iCs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2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Courier New" w:hAnsi="Courier New" w:cs="Courier New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40"/>
  <w:displayBackgroundShape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Noto Serif CJK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432" w:leader="none"/>
      </w:tabs>
      <w:spacing w:before="120" w:after="60"/>
      <w:jc w:val="center"/>
      <w:outlineLvl w:val="0"/>
    </w:pPr>
    <w:rPr>
      <w:rFonts w:eastAsia="Arial Unicode MS;Arial"/>
      <w:b/>
      <w:caps/>
      <w:kern w:val="2"/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Heading3">
    <w:name w:val="Heading 3"/>
    <w:basedOn w:val="16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;Times New Roman" w:hAnsi="Liberation Serif;Times New Roman" w:eastAsia="Arial Unicode MS;Arial" w:cs="Arial Unicode MS;Arial"/>
      <w:b/>
      <w:bCs/>
      <w:sz w:val="28"/>
      <w:szCs w:val="28"/>
    </w:rPr>
  </w:style>
  <w:style w:type="paragraph" w:styleId="Heading4">
    <w:name w:val="Heading 4"/>
    <w:basedOn w:val="Heading3"/>
    <w:next w:val="Normal"/>
    <w:qFormat/>
    <w:pPr>
      <w:numPr>
        <w:ilvl w:val="0"/>
        <w:numId w:val="3"/>
      </w:numPr>
      <w:outlineLvl w:val="3"/>
    </w:pPr>
    <w:rPr>
      <w:bCs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  <w:sz w:val="24"/>
      <w:szCs w:val="24"/>
    </w:rPr>
  </w:style>
  <w:style w:type="character" w:styleId="WW8Num4z0">
    <w:name w:val="WW8Num4z0"/>
    <w:qFormat/>
    <w:rPr>
      <w:rFonts w:ascii="Symbol" w:hAnsi="Symbol" w:cs="Times New Roman"/>
      <w:color w:val="000000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  <w:sz w:val="24"/>
      <w:szCs w:val="24"/>
    </w:rPr>
  </w:style>
  <w:style w:type="character" w:styleId="WW8Num8z0">
    <w:name w:val="WW8Num8z0"/>
    <w:qFormat/>
    <w:rPr>
      <w:b/>
      <w:bCs w:val="false"/>
      <w:i w:val="false"/>
      <w:iCs w:val="false"/>
      <w:sz w:val="24"/>
      <w:szCs w:val="24"/>
    </w:rPr>
  </w:style>
  <w:style w:type="character" w:styleId="WW8Num8z1">
    <w:name w:val="WW8Num8z1"/>
    <w:qFormat/>
    <w:rPr>
      <w:b w:val="false"/>
      <w:bCs/>
      <w:i w:val="false"/>
      <w:iCs w:val="false"/>
      <w:sz w:val="24"/>
      <w:szCs w:val="24"/>
    </w:rPr>
  </w:style>
  <w:style w:type="character" w:styleId="WW8Num8z2">
    <w:name w:val="WW8Num8z2"/>
    <w:qFormat/>
    <w:rPr>
      <w:b w:val="false"/>
      <w:bCs w:val="false"/>
      <w:i w:val="false"/>
      <w:iCs w:val="false"/>
      <w:sz w:val="24"/>
      <w:szCs w:val="24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9z1">
    <w:name w:val="WW8Num9z1"/>
    <w:qFormat/>
    <w:rPr>
      <w:rFonts w:ascii="Symbol" w:hAnsi="Symbol" w:cs="Symbol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9z4">
    <w:name w:val="WW8Num9z4"/>
    <w:qFormat/>
    <w:rPr>
      <w:rFonts w:ascii="Courier New" w:hAnsi="Courier New" w:cs="Courier New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4">
    <w:name w:val="WW8Num10z4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Courier New" w:hAnsi="Courier New" w:cs="Courier New"/>
      <w:sz w:val="24"/>
    </w:rPr>
  </w:style>
  <w:style w:type="character" w:styleId="WW8Num13z0">
    <w:name w:val="WW8Num13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position w:val="0"/>
      <w:sz w:val="28"/>
      <w:sz w:val="28"/>
      <w:szCs w:val="28"/>
      <w:u w:val="none"/>
      <w:vertAlign w:val="baseline"/>
      <w:em w:val="none"/>
    </w:rPr>
  </w:style>
  <w:style w:type="character" w:styleId="WW8Num13z1">
    <w:name w:val="WW8Num13z1"/>
    <w:qFormat/>
    <w:rPr>
      <w:b/>
      <w:bCs/>
      <w:i w:val="false"/>
      <w:iCs/>
      <w:sz w:val="24"/>
      <w:szCs w:val="24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7z0">
    <w:name w:val="WW8Num7z0"/>
    <w:qFormat/>
    <w:rPr>
      <w:b w:val="false"/>
    </w:rPr>
  </w:style>
  <w:style w:type="character" w:styleId="WW8Num7z1">
    <w:name w:val="WW8Num7z1"/>
    <w:qFormat/>
    <w:rPr/>
  </w:style>
  <w:style w:type="character" w:styleId="WW8Num10z1">
    <w:name w:val="WW8Num10z1"/>
    <w:qFormat/>
    <w:rPr>
      <w:b w:val="false"/>
      <w:bCs/>
      <w:sz w:val="24"/>
      <w:szCs w:val="24"/>
    </w:rPr>
  </w:style>
  <w:style w:type="character" w:styleId="WW8Num12z1">
    <w:name w:val="WW8Num12z1"/>
    <w:qFormat/>
    <w:rPr>
      <w:rFonts w:ascii="Symbol" w:hAnsi="Symbol" w:cs="Symbol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>
      <w:rFonts w:ascii="Courier New" w:hAnsi="Courier New" w:cs="Courier New"/>
    </w:rPr>
  </w:style>
  <w:style w:type="character" w:styleId="WW8Num13z4">
    <w:name w:val="WW8Num13z4"/>
    <w:qFormat/>
    <w:rPr>
      <w:rFonts w:ascii="Courier New" w:hAnsi="Courier New" w:cs="Courier New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Courier New" w:hAnsi="Courier New" w:cs="Courier New"/>
      <w:sz w:val="24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Courier New" w:hAnsi="Courier New" w:cs="Courier New"/>
      <w:sz w:val="24"/>
    </w:rPr>
  </w:style>
  <w:style w:type="character" w:styleId="WW8Num15z1">
    <w:name w:val="WW8Num15z1"/>
    <w:qFormat/>
    <w:rPr>
      <w:b w:val="false"/>
      <w:bCs/>
      <w:sz w:val="24"/>
      <w:szCs w:val="24"/>
    </w:rPr>
  </w:style>
  <w:style w:type="character" w:styleId="WW8Num17z1">
    <w:name w:val="WW8Num17z1"/>
    <w:qFormat/>
    <w:rPr>
      <w:rFonts w:ascii="Symbol" w:hAnsi="Symbol" w:cs="Symbol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4">
    <w:name w:val="WW8Num17z4"/>
    <w:qFormat/>
    <w:rPr>
      <w:rFonts w:ascii="Courier New" w:hAnsi="Courier New" w:cs="Courier New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4">
    <w:name w:val="WW8Num18z4"/>
    <w:qFormat/>
    <w:rPr>
      <w:rFonts w:ascii="Courier New" w:hAnsi="Courier New" w:cs="Courier New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1">
    <w:name w:val="WW8Num21z1"/>
    <w:qFormat/>
    <w:rPr>
      <w:b w:val="false"/>
    </w:rPr>
  </w:style>
  <w:style w:type="character" w:styleId="WW8Num21z2">
    <w:name w:val="WW8Num21z2"/>
    <w:qFormat/>
    <w:rPr>
      <w:rFonts w:ascii="Symbol" w:hAnsi="Symbol" w:cs="Symbol"/>
      <w:b w:val="false"/>
    </w:rPr>
  </w:style>
  <w:style w:type="character" w:styleId="WW8Num21z3">
    <w:name w:val="WW8Num21z3"/>
    <w:qFormat/>
    <w:rPr>
      <w:color w:val="auto"/>
      <w:sz w:val="28"/>
      <w:szCs w:val="28"/>
    </w:rPr>
  </w:style>
  <w:style w:type="character" w:styleId="WW8Num22z0">
    <w:name w:val="WW8Num22z0"/>
    <w:qFormat/>
    <w:rPr>
      <w:rFonts w:ascii="Courier New" w:hAnsi="Courier New" w:cs="Courier New"/>
      <w:sz w:val="24"/>
    </w:rPr>
  </w:style>
  <w:style w:type="character" w:styleId="WW8Num18z1">
    <w:name w:val="WW8Num18z1"/>
    <w:qFormat/>
    <w:rPr>
      <w:rFonts w:ascii="Symbol" w:hAnsi="Symbol" w:cs="Symbol"/>
    </w:rPr>
  </w:style>
  <w:style w:type="character" w:styleId="WW8Num19z4">
    <w:name w:val="WW8Num19z4"/>
    <w:qFormat/>
    <w:rPr>
      <w:rFonts w:ascii="Courier New" w:hAnsi="Courier New" w:cs="Courier New"/>
    </w:rPr>
  </w:style>
  <w:style w:type="character" w:styleId="WW8Num20z4">
    <w:name w:val="WW8Num20z4"/>
    <w:qFormat/>
    <w:rPr>
      <w:rFonts w:ascii="Courier New" w:hAnsi="Courier New" w:cs="Courier New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1">
    <w:name w:val="WW8Num24z1"/>
    <w:qFormat/>
    <w:rPr>
      <w:b w:val="false"/>
    </w:rPr>
  </w:style>
  <w:style w:type="character" w:styleId="WW8Num24z2">
    <w:name w:val="WW8Num24z2"/>
    <w:qFormat/>
    <w:rPr>
      <w:rFonts w:ascii="Symbol" w:hAnsi="Symbol" w:cs="Symbol"/>
      <w:b w:val="false"/>
    </w:rPr>
  </w:style>
  <w:style w:type="character" w:styleId="WW8Num24z3">
    <w:name w:val="WW8Num24z3"/>
    <w:qFormat/>
    <w:rPr>
      <w:color w:val="auto"/>
      <w:sz w:val="28"/>
      <w:szCs w:val="28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rFonts w:ascii="Courier New" w:hAnsi="Courier New" w:cs="Courier New"/>
      <w:sz w:val="24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4">
    <w:name w:val="Основной шрифт абзаца4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3">
    <w:name w:val="Основной шрифт абзаца3"/>
    <w:qFormat/>
    <w:rPr/>
  </w:style>
  <w:style w:type="character" w:styleId="WW8Num24z0">
    <w:name w:val="WW8Num24z0"/>
    <w:qFormat/>
    <w:rPr>
      <w:rFonts w:ascii="Symbol" w:hAnsi="Symbol" w:cs="OpenSymbol;Arial Unicode MS"/>
    </w:rPr>
  </w:style>
  <w:style w:type="character" w:styleId="WW8Num27z0">
    <w:name w:val="WW8Num27z0"/>
    <w:qFormat/>
    <w:rPr>
      <w:rFonts w:ascii="Symbol" w:hAnsi="Symbol" w:cs="OpenSymbol;Arial Unicode MS"/>
    </w:rPr>
  </w:style>
  <w:style w:type="character" w:styleId="WW8Num28z0">
    <w:name w:val="WW8Num28z0"/>
    <w:qFormat/>
    <w:rPr>
      <w:rFonts w:ascii="Symbol" w:hAnsi="Symbol" w:cs="OpenSymbol;Arial Unicode MS"/>
    </w:rPr>
  </w:style>
  <w:style w:type="character" w:styleId="WW8Num29z0">
    <w:name w:val="WW8Num29z0"/>
    <w:qFormat/>
    <w:rPr>
      <w:rFonts w:ascii="Symbol" w:hAnsi="Symbol" w:cs="OpenSymbol;Arial Unicode MS"/>
    </w:rPr>
  </w:style>
  <w:style w:type="character" w:styleId="WW8Num30z0">
    <w:name w:val="WW8Num30z0"/>
    <w:qFormat/>
    <w:rPr>
      <w:rFonts w:ascii="Symbol" w:hAnsi="Symbol" w:cs="OpenSymbol;Arial Unicode MS"/>
    </w:rPr>
  </w:style>
  <w:style w:type="character" w:styleId="WW8Num31z0">
    <w:name w:val="WW8Num31z0"/>
    <w:qFormat/>
    <w:rPr>
      <w:rFonts w:ascii="Symbol" w:hAnsi="Symbol" w:cs="OpenSymbol;Arial Unicode MS"/>
    </w:rPr>
  </w:style>
  <w:style w:type="character" w:styleId="WW8Num32z0">
    <w:name w:val="WW8Num32z0"/>
    <w:qFormat/>
    <w:rPr>
      <w:rFonts w:ascii="Symbol" w:hAnsi="Symbol" w:cs="OpenSymbol;Arial Unicode MS"/>
    </w:rPr>
  </w:style>
  <w:style w:type="character" w:styleId="WW8Num33z0">
    <w:name w:val="WW8Num33z0"/>
    <w:qFormat/>
    <w:rPr>
      <w:rFonts w:ascii="Symbol" w:hAnsi="Symbol" w:cs="OpenSymbol;Arial Unicode MS"/>
    </w:rPr>
  </w:style>
  <w:style w:type="character" w:styleId="WW8Num34z0">
    <w:name w:val="WW8Num34z0"/>
    <w:qFormat/>
    <w:rPr>
      <w:rFonts w:ascii="Symbol" w:hAnsi="Symbol" w:cs="OpenSymbol;Arial Unicode MS"/>
    </w:rPr>
  </w:style>
  <w:style w:type="character" w:styleId="WW8Num35z0">
    <w:name w:val="WW8Num35z0"/>
    <w:qFormat/>
    <w:rPr>
      <w:rFonts w:ascii="Symbol" w:hAnsi="Symbol" w:cs="OpenSymbol;Arial Unicode MS"/>
    </w:rPr>
  </w:style>
  <w:style w:type="character" w:styleId="WW8Num36z0">
    <w:name w:val="WW8Num36z0"/>
    <w:qFormat/>
    <w:rPr>
      <w:rFonts w:ascii="Symbol" w:hAnsi="Symbol" w:cs="OpenSymbol;Arial Unicode MS"/>
    </w:rPr>
  </w:style>
  <w:style w:type="character" w:styleId="WW8Num37z0">
    <w:name w:val="WW8Num37z0"/>
    <w:qFormat/>
    <w:rPr>
      <w:rFonts w:ascii="Symbol" w:hAnsi="Symbol" w:cs="OpenSymbol;Arial Unicode MS"/>
    </w:rPr>
  </w:style>
  <w:style w:type="character" w:styleId="WW8Num38z0">
    <w:name w:val="WW8Num38z0"/>
    <w:qFormat/>
    <w:rPr>
      <w:rFonts w:ascii="Symbol" w:hAnsi="Symbol" w:cs="OpenSymbol;Arial Unicode MS"/>
    </w:rPr>
  </w:style>
  <w:style w:type="character" w:styleId="WW8Num39z0">
    <w:name w:val="WW8Num39z0"/>
    <w:qFormat/>
    <w:rPr>
      <w:rFonts w:ascii="Symbol" w:hAnsi="Symbol" w:cs="OpenSymbol;Arial Unicode MS"/>
    </w:rPr>
  </w:style>
  <w:style w:type="character" w:styleId="WW8Num40z0">
    <w:name w:val="WW8Num40z0"/>
    <w:qFormat/>
    <w:rPr>
      <w:rFonts w:ascii="Symbol" w:hAnsi="Symbol" w:cs="OpenSymbol;Arial Unicode MS"/>
    </w:rPr>
  </w:style>
  <w:style w:type="character" w:styleId="WW8Num41z0">
    <w:name w:val="WW8Num41z0"/>
    <w:qFormat/>
    <w:rPr>
      <w:rFonts w:ascii="Symbol" w:hAnsi="Symbol" w:cs="OpenSymbol;Arial Unicode MS"/>
    </w:rPr>
  </w:style>
  <w:style w:type="character" w:styleId="WW8Num42z0">
    <w:name w:val="WW8Num42z0"/>
    <w:qFormat/>
    <w:rPr>
      <w:rFonts w:ascii="Symbol" w:hAnsi="Symbol" w:cs="OpenSymbol;Arial Unicode MS"/>
    </w:rPr>
  </w:style>
  <w:style w:type="character" w:styleId="WW8Num43z0">
    <w:name w:val="WW8Num43z0"/>
    <w:qFormat/>
    <w:rPr>
      <w:rFonts w:ascii="Symbol" w:hAnsi="Symbol" w:cs="OpenSymbol;Arial Unicode MS"/>
    </w:rPr>
  </w:style>
  <w:style w:type="character" w:styleId="WW8Num44z0">
    <w:name w:val="WW8Num44z0"/>
    <w:qFormat/>
    <w:rPr>
      <w:rFonts w:ascii="Symbol" w:hAnsi="Symbol" w:cs="OpenSymbol;Arial Unicode MS"/>
    </w:rPr>
  </w:style>
  <w:style w:type="character" w:styleId="WW8Num45z0">
    <w:name w:val="WW8Num45z0"/>
    <w:qFormat/>
    <w:rPr>
      <w:rFonts w:ascii="Symbol" w:hAnsi="Symbol" w:cs="OpenSymbol;Arial Unicode MS"/>
    </w:rPr>
  </w:style>
  <w:style w:type="character" w:styleId="WW8Num46z0">
    <w:name w:val="WW8Num46z0"/>
    <w:qFormat/>
    <w:rPr>
      <w:rFonts w:ascii="Symbol" w:hAnsi="Symbol" w:cs="OpenSymbol;Arial Unicode MS"/>
    </w:rPr>
  </w:style>
  <w:style w:type="character" w:styleId="WW8Num47z0">
    <w:name w:val="WW8Num47z0"/>
    <w:qFormat/>
    <w:rPr>
      <w:rFonts w:ascii="Symbol" w:hAnsi="Symbol" w:cs="OpenSymbol;Arial Unicode MS"/>
    </w:rPr>
  </w:style>
  <w:style w:type="character" w:styleId="WW8Num48z0">
    <w:name w:val="WW8Num48z0"/>
    <w:qFormat/>
    <w:rPr>
      <w:rFonts w:ascii="Symbol" w:hAnsi="Symbol" w:cs="OpenSymbol;Arial Unicode MS"/>
    </w:rPr>
  </w:style>
  <w:style w:type="character" w:styleId="WW8Num49z0">
    <w:name w:val="WW8Num49z0"/>
    <w:qFormat/>
    <w:rPr>
      <w:rFonts w:ascii="Symbol" w:hAnsi="Symbol" w:cs="OpenSymbol;Arial Unicode MS"/>
    </w:rPr>
  </w:style>
  <w:style w:type="character" w:styleId="WW8Num50z0">
    <w:name w:val="WW8Num50z0"/>
    <w:qFormat/>
    <w:rPr>
      <w:rFonts w:ascii="Symbol" w:hAnsi="Symbol" w:cs="OpenSymbol;Arial Unicode MS"/>
    </w:rPr>
  </w:style>
  <w:style w:type="character" w:styleId="WW8Num51z0">
    <w:name w:val="WW8Num51z0"/>
    <w:qFormat/>
    <w:rPr>
      <w:rFonts w:ascii="Symbol" w:hAnsi="Symbol" w:cs="OpenSymbol;Arial Unicode MS"/>
    </w:rPr>
  </w:style>
  <w:style w:type="character" w:styleId="WW8Num52z0">
    <w:name w:val="WW8Num52z0"/>
    <w:qFormat/>
    <w:rPr>
      <w:rFonts w:ascii="Symbol" w:hAnsi="Symbol" w:cs="OpenSymbol;Arial Unicode MS"/>
    </w:rPr>
  </w:style>
  <w:style w:type="character" w:styleId="WW8Num53z0">
    <w:name w:val="WW8Num53z0"/>
    <w:qFormat/>
    <w:rPr>
      <w:rFonts w:ascii="Symbol" w:hAnsi="Symbol" w:cs="OpenSymbol;Arial Unicode MS"/>
    </w:rPr>
  </w:style>
  <w:style w:type="character" w:styleId="WW8Num54z0">
    <w:name w:val="WW8Num54z0"/>
    <w:qFormat/>
    <w:rPr>
      <w:rFonts w:ascii="Symbol" w:hAnsi="Symbol" w:cs="OpenSymbol;Arial Unicode MS"/>
    </w:rPr>
  </w:style>
  <w:style w:type="character" w:styleId="WW8Num55z0">
    <w:name w:val="WW8Num55z0"/>
    <w:qFormat/>
    <w:rPr>
      <w:rFonts w:ascii="Symbol" w:hAnsi="Symbol" w:cs="OpenSymbol;Arial Unicode MS"/>
    </w:rPr>
  </w:style>
  <w:style w:type="character" w:styleId="WW8Num56z0">
    <w:name w:val="WW8Num56z0"/>
    <w:qFormat/>
    <w:rPr>
      <w:rFonts w:ascii="Symbol" w:hAnsi="Symbol" w:cs="OpenSymbol;Arial Unicode MS"/>
    </w:rPr>
  </w:style>
  <w:style w:type="character" w:styleId="WW8Num57z0">
    <w:name w:val="WW8Num57z0"/>
    <w:qFormat/>
    <w:rPr>
      <w:rFonts w:ascii="Symbol" w:hAnsi="Symbol" w:cs="OpenSymbol;Arial Unicode MS"/>
    </w:rPr>
  </w:style>
  <w:style w:type="character" w:styleId="WW8Num58z0">
    <w:name w:val="WW8Num58z0"/>
    <w:qFormat/>
    <w:rPr>
      <w:rFonts w:ascii="Symbol" w:hAnsi="Symbol" w:cs="OpenSymbol;Arial Unicode MS"/>
    </w:rPr>
  </w:style>
  <w:style w:type="character" w:styleId="WW8Num59z0">
    <w:name w:val="WW8Num59z0"/>
    <w:qFormat/>
    <w:rPr>
      <w:rFonts w:ascii="Symbol" w:hAnsi="Symbol" w:cs="OpenSymbol;Arial Unicode MS"/>
    </w:rPr>
  </w:style>
  <w:style w:type="character" w:styleId="WW8Num60z0">
    <w:name w:val="WW8Num60z0"/>
    <w:qFormat/>
    <w:rPr>
      <w:rFonts w:ascii="Symbol" w:hAnsi="Symbol" w:cs="OpenSymbol;Arial Unicode MS"/>
    </w:rPr>
  </w:style>
  <w:style w:type="character" w:styleId="WW8Num61z0">
    <w:name w:val="WW8Num61z0"/>
    <w:qFormat/>
    <w:rPr>
      <w:rFonts w:ascii="Symbol" w:hAnsi="Symbol" w:cs="OpenSymbol;Arial Unicode MS"/>
    </w:rPr>
  </w:style>
  <w:style w:type="character" w:styleId="WW8Num62z0">
    <w:name w:val="WW8Num62z0"/>
    <w:qFormat/>
    <w:rPr>
      <w:rFonts w:ascii="Symbol" w:hAnsi="Symbol" w:cs="OpenSymbol;Arial Unicode MS"/>
    </w:rPr>
  </w:style>
  <w:style w:type="character" w:styleId="WW8Num63z0">
    <w:name w:val="WW8Num63z0"/>
    <w:qFormat/>
    <w:rPr>
      <w:rFonts w:ascii="Symbol" w:hAnsi="Symbol" w:cs="OpenSymbol;Arial Unicode MS"/>
    </w:rPr>
  </w:style>
  <w:style w:type="character" w:styleId="WW8Num64z0">
    <w:name w:val="WW8Num64z0"/>
    <w:qFormat/>
    <w:rPr>
      <w:rFonts w:ascii="Symbol" w:hAnsi="Symbol" w:cs="OpenSymbol;Arial Unicode MS"/>
    </w:rPr>
  </w:style>
  <w:style w:type="character" w:styleId="WW8Num65z0">
    <w:name w:val="WW8Num65z0"/>
    <w:qFormat/>
    <w:rPr>
      <w:rFonts w:ascii="Symbol" w:hAnsi="Symbol" w:cs="OpenSymbol;Arial Unicode MS"/>
    </w:rPr>
  </w:style>
  <w:style w:type="character" w:styleId="WW8Num66z0">
    <w:name w:val="WW8Num66z0"/>
    <w:qFormat/>
    <w:rPr>
      <w:rFonts w:ascii="Symbol" w:hAnsi="Symbol" w:cs="OpenSymbol;Arial Unicode MS"/>
    </w:rPr>
  </w:style>
  <w:style w:type="character" w:styleId="WW8Num67z0">
    <w:name w:val="WW8Num67z0"/>
    <w:qFormat/>
    <w:rPr>
      <w:rFonts w:ascii="Symbol" w:hAnsi="Symbol" w:cs="OpenSymbol;Arial Unicode MS"/>
    </w:rPr>
  </w:style>
  <w:style w:type="character" w:styleId="WW8Num68z0">
    <w:name w:val="WW8Num68z0"/>
    <w:qFormat/>
    <w:rPr>
      <w:rFonts w:ascii="Symbol" w:hAnsi="Symbol" w:cs="OpenSymbol;Arial Unicode MS"/>
    </w:rPr>
  </w:style>
  <w:style w:type="character" w:styleId="WW8Num69z0">
    <w:name w:val="WW8Num69z0"/>
    <w:qFormat/>
    <w:rPr>
      <w:rFonts w:ascii="Symbol" w:hAnsi="Symbol" w:cs="OpenSymbol;Arial Unicode MS"/>
    </w:rPr>
  </w:style>
  <w:style w:type="character" w:styleId="WW8Num70z0">
    <w:name w:val="WW8Num70z0"/>
    <w:qFormat/>
    <w:rPr>
      <w:rFonts w:ascii="Symbol" w:hAnsi="Symbol" w:cs="OpenSymbol;Arial Unicode MS"/>
    </w:rPr>
  </w:style>
  <w:style w:type="character" w:styleId="WW8Num71z0">
    <w:name w:val="WW8Num71z0"/>
    <w:qFormat/>
    <w:rPr>
      <w:rFonts w:ascii="Symbol" w:hAnsi="Symbol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>
      <w:b w:val="false"/>
      <w:i w:val="false"/>
    </w:rPr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6z1">
    <w:name w:val="WW8Num6z1"/>
    <w:qFormat/>
    <w:rPr/>
  </w:style>
  <w:style w:type="character" w:styleId="WW8Num13z3">
    <w:name w:val="WW8Num13z3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5z3">
    <w:name w:val="WW8Num15z3"/>
    <w:qFormat/>
    <w:rPr>
      <w:rFonts w:ascii="Symbol" w:hAnsi="Symbol" w:cs="Symbol"/>
    </w:rPr>
  </w:style>
  <w:style w:type="character" w:styleId="WW8Num18z3">
    <w:name w:val="WW8Num18z3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3">
    <w:name w:val="WW8Num19z3"/>
    <w:qFormat/>
    <w:rPr>
      <w:rFonts w:ascii="Symbol" w:hAnsi="Symbol" w:cs="Symbol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2z3">
    <w:name w:val="WW8Num22z3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8z1">
    <w:name w:val="WW8Num28z1"/>
    <w:qFormat/>
    <w:rPr>
      <w:rFonts w:ascii="Wingdings" w:hAnsi="Wingdings" w:cs="Wingdings"/>
    </w:rPr>
  </w:style>
  <w:style w:type="character" w:styleId="WW8Num28z2">
    <w:name w:val="WW8Num28z2"/>
    <w:qFormat/>
    <w:rPr/>
  </w:style>
  <w:style w:type="character" w:styleId="WW8Num28z3">
    <w:name w:val="WW8Num28z3"/>
    <w:qFormat/>
    <w:rPr/>
  </w:style>
  <w:style w:type="character" w:styleId="WW8Num28z4">
    <w:name w:val="WW8Num28z4"/>
    <w:qFormat/>
    <w:rPr/>
  </w:style>
  <w:style w:type="character" w:styleId="WW8Num28z5">
    <w:name w:val="WW8Num28z5"/>
    <w:qFormat/>
    <w:rPr/>
  </w:style>
  <w:style w:type="character" w:styleId="WW8Num28z6">
    <w:name w:val="WW8Num28z6"/>
    <w:qFormat/>
    <w:rPr/>
  </w:style>
  <w:style w:type="character" w:styleId="WW8Num28z7">
    <w:name w:val="WW8Num28z7"/>
    <w:qFormat/>
    <w:rPr/>
  </w:style>
  <w:style w:type="character" w:styleId="WW8Num28z8">
    <w:name w:val="WW8Num28z8"/>
    <w:qFormat/>
    <w:rPr/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Times New Roman" w:hAnsi="Times New Roman" w:cs="Times New Roman"/>
    </w:rPr>
  </w:style>
  <w:style w:type="character" w:styleId="WW8Num29z5">
    <w:name w:val="WW8Num29z5"/>
    <w:qFormat/>
    <w:rPr>
      <w:rFonts w:ascii="Wingdings" w:hAnsi="Wingdings" w:cs="Wingdings"/>
    </w:rPr>
  </w:style>
  <w:style w:type="character" w:styleId="WW8Num30z1">
    <w:name w:val="WW8Num30z1"/>
    <w:qFormat/>
    <w:rPr/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Times New Roman" w:hAnsi="Times New Roman" w:eastAsia="Times New Roman" w:cs="Times New Roman"/>
    </w:rPr>
  </w:style>
  <w:style w:type="character" w:styleId="WW8Num33z3">
    <w:name w:val="WW8Num33z3"/>
    <w:qFormat/>
    <w:rPr>
      <w:rFonts w:ascii="Symbol" w:hAnsi="Symbol" w:cs="Symbol"/>
    </w:rPr>
  </w:style>
  <w:style w:type="character" w:styleId="WW8Num33z5">
    <w:name w:val="WW8Num33z5"/>
    <w:qFormat/>
    <w:rPr>
      <w:rFonts w:ascii="Wingdings" w:hAnsi="Wingdings" w:cs="Wingdings"/>
    </w:rPr>
  </w:style>
  <w:style w:type="character" w:styleId="WW8Num34z1">
    <w:name w:val="WW8Num34z1"/>
    <w:qFormat/>
    <w:rPr>
      <w:rFonts w:ascii="Courier New" w:hAnsi="Courier New" w:cs="Courier New"/>
    </w:rPr>
  </w:style>
  <w:style w:type="character" w:styleId="WW8Num34z2">
    <w:name w:val="WW8Num34z2"/>
    <w:qFormat/>
    <w:rPr>
      <w:rFonts w:ascii="Wingdings" w:hAnsi="Wingdings" w:cs="Wingdings"/>
    </w:rPr>
  </w:style>
  <w:style w:type="character" w:styleId="WW8Num35z1">
    <w:name w:val="WW8Num35z1"/>
    <w:qFormat/>
    <w:rPr/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2">
    <w:name w:val="WW8Num37z2"/>
    <w:qFormat/>
    <w:rPr>
      <w:rFonts w:ascii="Tahoma" w:hAnsi="Tahoma" w:cs="Tahoma"/>
    </w:rPr>
  </w:style>
  <w:style w:type="character" w:styleId="WW8Num37z5">
    <w:name w:val="WW8Num37z5"/>
    <w:qFormat/>
    <w:rPr>
      <w:rFonts w:ascii="Wingdings" w:hAnsi="Wingdings" w:cs="Wingdings"/>
    </w:rPr>
  </w:style>
  <w:style w:type="character" w:styleId="WW8Num38z1">
    <w:name w:val="WW8Num38z1"/>
    <w:qFormat/>
    <w:rPr>
      <w:rFonts w:ascii="Courier New" w:hAnsi="Courier New" w:cs="Courier New"/>
    </w:rPr>
  </w:style>
  <w:style w:type="character" w:styleId="WW8Num38z2">
    <w:name w:val="WW8Num38z2"/>
    <w:qFormat/>
    <w:rPr>
      <w:rFonts w:ascii="Wingdings" w:hAnsi="Wingdings" w:cs="Wingdings"/>
    </w:rPr>
  </w:style>
  <w:style w:type="character" w:styleId="WW8Num40z1">
    <w:name w:val="WW8Num40z1"/>
    <w:qFormat/>
    <w:rPr/>
  </w:style>
  <w:style w:type="character" w:styleId="WW8Num40z2">
    <w:name w:val="WW8Num40z2"/>
    <w:qFormat/>
    <w:rPr/>
  </w:style>
  <w:style w:type="character" w:styleId="WW8Num40z3">
    <w:name w:val="WW8Num40z3"/>
    <w:qFormat/>
    <w:rPr/>
  </w:style>
  <w:style w:type="character" w:styleId="WW8Num40z4">
    <w:name w:val="WW8Num40z4"/>
    <w:qFormat/>
    <w:rPr/>
  </w:style>
  <w:style w:type="character" w:styleId="WW8Num40z5">
    <w:name w:val="WW8Num40z5"/>
    <w:qFormat/>
    <w:rPr/>
  </w:style>
  <w:style w:type="character" w:styleId="WW8Num40z6">
    <w:name w:val="WW8Num40z6"/>
    <w:qFormat/>
    <w:rPr/>
  </w:style>
  <w:style w:type="character" w:styleId="WW8Num40z7">
    <w:name w:val="WW8Num40z7"/>
    <w:qFormat/>
    <w:rPr/>
  </w:style>
  <w:style w:type="character" w:styleId="WW8Num40z8">
    <w:name w:val="WW8Num40z8"/>
    <w:qFormat/>
    <w:rPr/>
  </w:style>
  <w:style w:type="character" w:styleId="WW8Num41z1">
    <w:name w:val="WW8Num41z1"/>
    <w:qFormat/>
    <w:rPr>
      <w:rFonts w:ascii="Courier New" w:hAnsi="Courier New" w:cs="Courier New"/>
    </w:rPr>
  </w:style>
  <w:style w:type="character" w:styleId="WW8Num41z2">
    <w:name w:val="WW8Num41z2"/>
    <w:qFormat/>
    <w:rPr>
      <w:rFonts w:ascii="Wingdings" w:hAnsi="Wingdings" w:cs="Wingdings"/>
    </w:rPr>
  </w:style>
  <w:style w:type="character" w:styleId="WW8NumSt10z0">
    <w:name w:val="WW8NumSt10z0"/>
    <w:qFormat/>
    <w:rPr>
      <w:rFonts w:ascii="Times New Roman" w:hAnsi="Times New Roman" w:cs="Times New Roman"/>
    </w:rPr>
  </w:style>
  <w:style w:type="character" w:styleId="2">
    <w:name w:val="Основной шрифт абзаца2"/>
    <w:qFormat/>
    <w:rPr/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5z4">
    <w:name w:val="WW8Num25z4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7z3">
    <w:name w:val="WW8Num27z3"/>
    <w:qFormat/>
    <w:rPr>
      <w:rFonts w:ascii="Symbol" w:hAnsi="Symbol" w:cs="Symbol"/>
    </w:rPr>
  </w:style>
  <w:style w:type="character" w:styleId="WW8Num27z4">
    <w:name w:val="WW8Num27z4"/>
    <w:qFormat/>
    <w:rPr>
      <w:rFonts w:ascii="Courier New" w:hAnsi="Courier New" w:cs="Courier New"/>
    </w:rPr>
  </w:style>
  <w:style w:type="character" w:styleId="1">
    <w:name w:val="Основной шрифт абзаца1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1"/>
    <w:rPr/>
  </w:style>
  <w:style w:type="character" w:styleId="Style5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Strong">
    <w:name w:val="Strong"/>
    <w:qFormat/>
    <w:rPr>
      <w:b/>
      <w:bCs/>
    </w:rPr>
  </w:style>
  <w:style w:type="character" w:styleId="Style6">
    <w:name w:val="Текст сноски Знак"/>
    <w:qFormat/>
    <w:rPr>
      <w:rFonts w:eastAsia="Calibri"/>
    </w:rPr>
  </w:style>
  <w:style w:type="character" w:styleId="Style7">
    <w:name w:val="Символ сноски"/>
    <w:qFormat/>
    <w:rPr>
      <w:vertAlign w:val="superscript"/>
    </w:rPr>
  </w:style>
  <w:style w:type="character" w:styleId="21">
    <w:name w:val="Заголовок №2_"/>
    <w:qFormat/>
    <w:rPr>
      <w:b/>
      <w:bCs/>
      <w:sz w:val="23"/>
      <w:szCs w:val="23"/>
      <w:shd w:fill="FFFFFF" w:val="clear"/>
    </w:rPr>
  </w:style>
  <w:style w:type="character" w:styleId="FontStyle72">
    <w:name w:val="Font Style72"/>
    <w:qFormat/>
    <w:rPr>
      <w:rFonts w:ascii="Times New Roman" w:hAnsi="Times New Roman" w:cs="Times New Roman"/>
      <w:sz w:val="20"/>
      <w:szCs w:val="20"/>
    </w:rPr>
  </w:style>
  <w:style w:type="character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styleId="31">
    <w:name w:val="Основной текст 3 Знак"/>
    <w:qFormat/>
    <w:rPr>
      <w:sz w:val="16"/>
      <w:szCs w:val="16"/>
    </w:rPr>
  </w:style>
  <w:style w:type="character" w:styleId="2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11">
    <w:name w:val="Знак примечания1"/>
    <w:qFormat/>
    <w:rPr>
      <w:sz w:val="16"/>
      <w:szCs w:val="16"/>
    </w:rPr>
  </w:style>
  <w:style w:type="character" w:styleId="Style8">
    <w:name w:val="Текст примечания Знак"/>
    <w:qFormat/>
    <w:rPr>
      <w:color w:val="000000"/>
    </w:rPr>
  </w:style>
  <w:style w:type="character" w:styleId="Style9">
    <w:name w:val="Тема примечания Знак"/>
    <w:qFormat/>
    <w:rPr>
      <w:b/>
      <w:bCs/>
      <w:color w:val="000000"/>
    </w:rPr>
  </w:style>
  <w:style w:type="character" w:styleId="FollowedHyperlink">
    <w:name w:val="FollowedHyperlink"/>
    <w:rPr>
      <w:color w:val="954F72"/>
      <w:u w:val="single"/>
    </w:rPr>
  </w:style>
  <w:style w:type="character" w:styleId="12">
    <w:name w:val="Стиль1 Знак"/>
    <w:qFormat/>
    <w:rPr>
      <w:rFonts w:eastAsia="ArialMT;Times New Roman"/>
      <w:kern w:val="2"/>
      <w:sz w:val="24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Название Знак"/>
    <w:qFormat/>
    <w:rPr>
      <w:sz w:val="28"/>
      <w:szCs w:val="24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Style12">
    <w:name w:val="Абзац списка Знак"/>
    <w:qFormat/>
    <w:rPr>
      <w:sz w:val="24"/>
      <w:szCs w:val="24"/>
    </w:rPr>
  </w:style>
  <w:style w:type="character" w:styleId="Style13">
    <w:name w:val="Основной текст Знак"/>
    <w:qFormat/>
    <w:rPr>
      <w:sz w:val="24"/>
      <w:szCs w:val="24"/>
    </w:rPr>
  </w:style>
  <w:style w:type="character" w:styleId="23">
    <w:name w:val="Знак примечания2"/>
    <w:qFormat/>
    <w:rPr>
      <w:sz w:val="16"/>
      <w:szCs w:val="16"/>
    </w:rPr>
  </w:style>
  <w:style w:type="character" w:styleId="13">
    <w:name w:val="Текст примечания Знак1"/>
    <w:qFormat/>
    <w:rPr>
      <w:lang w:eastAsia="zh-CN"/>
    </w:rPr>
  </w:style>
  <w:style w:type="character" w:styleId="FootnoteReference1">
    <w:name w:val="Footnote Reference1"/>
    <w:qFormat/>
    <w:rPr>
      <w:vertAlign w:val="superscript"/>
    </w:rPr>
  </w:style>
  <w:style w:type="character" w:styleId="Style14">
    <w:name w:val="комментарий"/>
    <w:qFormat/>
    <w:rPr>
      <w:b/>
      <w:i/>
      <w:shd w:fill="FFFF99" w:val="clear"/>
    </w:rPr>
  </w:style>
  <w:style w:type="character" w:styleId="FootnoteReference2">
    <w:name w:val="Footnote Reference2"/>
    <w:qFormat/>
    <w:rPr>
      <w:vertAlign w:val="superscript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FootnoteReference3">
    <w:name w:val="Footnote Reference3"/>
    <w:qFormat/>
    <w:rPr>
      <w:vertAlign w:val="superscript"/>
    </w:rPr>
  </w:style>
  <w:style w:type="character" w:styleId="EndnoteReference1">
    <w:name w:val="Endnote Reference1"/>
    <w:qFormat/>
    <w:rPr>
      <w:vertAlign w:val="superscript"/>
    </w:rPr>
  </w:style>
  <w:style w:type="character" w:styleId="FootnoteReference4">
    <w:name w:val="Footnote Reference4"/>
    <w:qFormat/>
    <w:rPr>
      <w:vertAlign w:val="superscript"/>
    </w:rPr>
  </w:style>
  <w:style w:type="character" w:styleId="EndnoteReference2">
    <w:name w:val="Endnote Reference2"/>
    <w:qFormat/>
    <w:rPr>
      <w:vertAlign w:val="superscript"/>
    </w:rPr>
  </w:style>
  <w:style w:type="character" w:styleId="14">
    <w:name w:val="Знак сноски1"/>
    <w:qFormat/>
    <w:rPr>
      <w:vertAlign w:val="superscript"/>
    </w:rPr>
  </w:style>
  <w:style w:type="character" w:styleId="15">
    <w:name w:val="Знак концевой сноски1"/>
    <w:qFormat/>
    <w:rPr>
      <w:vertAlign w:val="superscript"/>
    </w:rPr>
  </w:style>
  <w:style w:type="character" w:styleId="24">
    <w:name w:val="Знак сноски2"/>
    <w:qFormat/>
    <w:rPr>
      <w:vertAlign w:val="superscript"/>
    </w:rPr>
  </w:style>
  <w:style w:type="character" w:styleId="25">
    <w:name w:val="Знак концевой сноски2"/>
    <w:qFormat/>
    <w:rPr>
      <w:vertAlign w:val="superscript"/>
    </w:rPr>
  </w:style>
  <w:style w:type="character" w:styleId="33">
    <w:name w:val="Знак примечания3"/>
    <w:qFormat/>
    <w:rPr>
      <w:rFonts w:ascii="Symbol" w:hAnsi="Symbol" w:cs="Symbol"/>
      <w:sz w:val="16"/>
      <w:szCs w:val="16"/>
    </w:rPr>
  </w:style>
  <w:style w:type="character" w:styleId="26">
    <w:name w:val="Текст примечания Знак2"/>
    <w:qFormat/>
    <w:rPr>
      <w:rFonts w:ascii="Symbol" w:hAnsi="Symbol" w:cs="Symbol"/>
      <w:lang w:eastAsia="zh-CN"/>
    </w:rPr>
  </w:style>
  <w:style w:type="character" w:styleId="Style16">
    <w:name w:val="Знак сноски"/>
    <w:qFormat/>
    <w:rPr>
      <w:vertAlign w:val="superscript"/>
    </w:rPr>
  </w:style>
  <w:style w:type="character" w:styleId="Style17">
    <w:name w:val="Знак концевой сноски"/>
    <w:qFormat/>
    <w:rPr>
      <w:vertAlign w:val="superscript"/>
    </w:rPr>
  </w:style>
  <w:style w:type="character" w:styleId="Style18">
    <w:name w:val="Ссылка указателя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16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5">
    <w:name w:val="Заголовок5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;Arial" w:cs="Arial Unicode MS;Arial"/>
      <w:sz w:val="28"/>
      <w:szCs w:val="28"/>
    </w:rPr>
  </w:style>
  <w:style w:type="paragraph" w:styleId="Style21">
    <w:name w:val="Название объекта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6">
    <w:name w:val="Указатель6"/>
    <w:basedOn w:val="Normal"/>
    <w:qFormat/>
    <w:pPr>
      <w:suppressLineNumbers/>
    </w:pPr>
    <w:rPr/>
  </w:style>
  <w:style w:type="paragraph" w:styleId="41">
    <w:name w:val="Заголовок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;Arial" w:cs="Arial Unicode MS;Arial"/>
      <w:sz w:val="28"/>
      <w:szCs w:val="28"/>
    </w:rPr>
  </w:style>
  <w:style w:type="paragraph" w:styleId="42">
    <w:name w:val="Название объекта4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51">
    <w:name w:val="Указатель5"/>
    <w:basedOn w:val="Normal"/>
    <w:qFormat/>
    <w:pPr>
      <w:suppressLineNumbers/>
    </w:pPr>
    <w:rPr/>
  </w:style>
  <w:style w:type="paragraph" w:styleId="34">
    <w:name w:val="Заголовок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;Arial" w:cs="Arial Unicode MS;Arial"/>
      <w:sz w:val="28"/>
      <w:szCs w:val="28"/>
    </w:rPr>
  </w:style>
  <w:style w:type="paragraph" w:styleId="35">
    <w:name w:val="Название объекта3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43">
    <w:name w:val="Указатель4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7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Arial Unicode MS;Arial" w:cs="Arial Unicode MS;Arial"/>
      <w:sz w:val="28"/>
      <w:szCs w:val="28"/>
    </w:rPr>
  </w:style>
  <w:style w:type="paragraph" w:styleId="28">
    <w:name w:val="Название объекта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36">
    <w:name w:val="Указатель3"/>
    <w:basedOn w:val="Normal"/>
    <w:qFormat/>
    <w:pPr>
      <w:suppressLineNumbers/>
    </w:pPr>
    <w:rPr/>
  </w:style>
  <w:style w:type="paragraph" w:styleId="17">
    <w:name w:val="Название объекта1"/>
    <w:basedOn w:val="Normal"/>
    <w:next w:val="Subtitle"/>
    <w:qFormat/>
    <w:pPr>
      <w:jc w:val="center"/>
    </w:pPr>
    <w:rPr>
      <w:sz w:val="28"/>
    </w:rPr>
  </w:style>
  <w:style w:type="paragraph" w:styleId="29">
    <w:name w:val="Указатель2"/>
    <w:basedOn w:val="Normal"/>
    <w:qFormat/>
    <w:pPr>
      <w:suppressLineNumbers/>
    </w:pPr>
    <w:rPr/>
  </w:style>
  <w:style w:type="paragraph" w:styleId="18">
    <w:name w:val="Название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19">
    <w:name w:val="Указатель1"/>
    <w:basedOn w:val="Normal"/>
    <w:qFormat/>
    <w:pPr>
      <w:suppressLineNumbers/>
    </w:pPr>
    <w:rPr>
      <w:rFonts w:cs="Tahoma"/>
    </w:rPr>
  </w:style>
  <w:style w:type="paragraph" w:styleId="BodyTextIndent">
    <w:name w:val="Body Text Indent"/>
    <w:basedOn w:val="Normal"/>
    <w:pPr>
      <w:spacing w:before="120" w:after="0"/>
      <w:ind w:hanging="0" w:left="708" w:right="0"/>
      <w:jc w:val="both"/>
    </w:pPr>
    <w:rPr/>
  </w:style>
  <w:style w:type="paragraph" w:styleId="211">
    <w:name w:val="Основной текст с отступом 21"/>
    <w:basedOn w:val="Normal"/>
    <w:qFormat/>
    <w:pPr>
      <w:spacing w:before="120" w:after="0"/>
      <w:ind w:hanging="0" w:left="360" w:right="0"/>
      <w:jc w:val="both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ubtitle">
    <w:name w:val="Subtitle"/>
    <w:basedOn w:val="16"/>
    <w:next w:val="BodyText"/>
    <w:qFormat/>
    <w:pPr>
      <w:jc w:val="center"/>
    </w:pPr>
    <w:rPr>
      <w:i/>
      <w:iCs/>
    </w:rPr>
  </w:style>
  <w:style w:type="paragraph" w:styleId="Style23">
    <w:name w:val="Знак Знак Знак Знак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/>
    </w:rPr>
  </w:style>
  <w:style w:type="paragraph" w:styleId="Noparagraphstyle">
    <w:name w:val="[No paragraph style]"/>
    <w:qFormat/>
    <w:pPr>
      <w:widowControl/>
      <w:suppressAutoHyphens w:val="true"/>
      <w:bidi w:val="0"/>
      <w:spacing w:lineRule="auto" w:line="288" w:before="0" w:after="0"/>
      <w:jc w:val="left"/>
    </w:pPr>
    <w:rPr>
      <w:rFonts w:ascii="NewtonC;Courier New" w:hAnsi="NewtonC;Courier New" w:eastAsia="Arial" w:cs="NewtonC;Courier New"/>
      <w:color w:val="000000"/>
      <w:kern w:val="0"/>
      <w:sz w:val="24"/>
      <w:szCs w:val="24"/>
      <w:lang w:val="ru-RU" w:eastAsia="zh-CN" w:bidi="ar-SA"/>
    </w:rPr>
  </w:style>
  <w:style w:type="paragraph" w:styleId="Style24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Style25">
    <w:name w:val="Обычный (веб)"/>
    <w:basedOn w:val="Normal"/>
    <w:qFormat/>
    <w:pPr>
      <w:spacing w:before="280" w:after="280"/>
    </w:pPr>
    <w:rPr/>
  </w:style>
  <w:style w:type="paragraph" w:styleId="Style26">
    <w:name w:val="Подпункт"/>
    <w:basedOn w:val="Normal"/>
    <w:qFormat/>
    <w:pPr>
      <w:tabs>
        <w:tab w:val="clear" w:pos="708"/>
        <w:tab w:val="left" w:pos="2268" w:leader="none"/>
      </w:tabs>
      <w:snapToGrid w:val="false"/>
      <w:spacing w:lineRule="auto" w:line="360"/>
      <w:ind w:hanging="1134" w:left="1134" w:right="0"/>
      <w:jc w:val="both"/>
    </w:pPr>
    <w:rPr>
      <w:sz w:val="28"/>
      <w:szCs w:val="20"/>
    </w:rPr>
  </w:style>
  <w:style w:type="paragraph" w:styleId="Style27">
    <w:name w:val="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110">
    <w:name w:val="Схема документа1"/>
    <w:basedOn w:val="Normal"/>
    <w:qFormat/>
    <w:pPr>
      <w:shd w:val="clear" w:fill="000080"/>
    </w:pPr>
    <w:rPr>
      <w:rFonts w:ascii="Tahoma" w:hAnsi="Tahoma" w:cs="Tahoma"/>
      <w:sz w:val="20"/>
      <w:szCs w:val="20"/>
    </w:rPr>
  </w:style>
  <w:style w:type="paragraph" w:styleId="Style28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9">
    <w:name w:val=" 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0"/>
      <w:lang w:val="en-US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left="0" w:right="19772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b/>
      <w:color w:val="auto"/>
      <w:kern w:val="0"/>
      <w:sz w:val="16"/>
      <w:szCs w:val="20"/>
      <w:lang w:val="ru-RU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ind w:firstLine="720" w:left="0" w:right="0"/>
      <w:jc w:val="both"/>
    </w:pPr>
    <w:rPr>
      <w:rFonts w:ascii="Times New Roman" w:hAnsi="Times New Roman" w:eastAsia="Arial" w:cs="Times New Roman"/>
      <w:color w:val="auto"/>
      <w:kern w:val="0"/>
      <w:sz w:val="28"/>
      <w:szCs w:val="20"/>
      <w:lang w:val="ru-RU" w:eastAsia="zh-CN" w:bidi="ar-SA"/>
    </w:rPr>
  </w:style>
  <w:style w:type="paragraph" w:styleId="212">
    <w:name w:val="Основной текст 21"/>
    <w:basedOn w:val="Normal"/>
    <w:qFormat/>
    <w:pPr>
      <w:spacing w:lineRule="auto" w:line="480" w:before="0" w:after="120"/>
    </w:pPr>
    <w:rPr/>
  </w:style>
  <w:style w:type="paragraph" w:styleId="Style30">
    <w:name w:val="Содержимое таблицы"/>
    <w:basedOn w:val="Normal"/>
    <w:qFormat/>
    <w:pPr>
      <w:suppressLineNumbers/>
    </w:pPr>
    <w:rPr/>
  </w:style>
  <w:style w:type="paragraph" w:styleId="Style31">
    <w:name w:val="Заголовок таблицы"/>
    <w:basedOn w:val="Style30"/>
    <w:qFormat/>
    <w:pPr>
      <w:jc w:val="center"/>
    </w:pPr>
    <w:rPr>
      <w:b/>
      <w:bCs/>
    </w:rPr>
  </w:style>
  <w:style w:type="paragraph" w:styleId="Style32">
    <w:name w:val="Содержимое врезки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708"/>
        <w:tab w:val="center" w:pos="4818" w:leader="none"/>
        <w:tab w:val="right" w:pos="9637" w:leader="none"/>
      </w:tabs>
    </w:pPr>
    <w:rPr/>
  </w:style>
  <w:style w:type="paragraph" w:styleId="111">
    <w:name w:val=" Знак Знак Знак Знак Знак Знак Знак Знак Знак Знак Знак Знак Знак Знак1 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213">
    <w:name w:val="Маркированный список 21"/>
    <w:basedOn w:val="Normal"/>
    <w:qFormat/>
    <w:pPr>
      <w:numPr>
        <w:ilvl w:val="0"/>
        <w:numId w:val="2"/>
      </w:numPr>
    </w:pPr>
    <w:rPr/>
  </w:style>
  <w:style w:type="paragraph" w:styleId="112">
    <w:name w:val=" Знак Знак1 Знак"/>
    <w:basedOn w:val="Normal"/>
    <w:qFormat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221">
    <w:name w:val="Основной текст 22"/>
    <w:basedOn w:val="Normal"/>
    <w:qFormat/>
    <w:pPr>
      <w:spacing w:lineRule="auto" w:line="480" w:before="0" w:after="120"/>
    </w:pPr>
    <w:rPr/>
  </w:style>
  <w:style w:type="paragraph" w:styleId="FootnoteText">
    <w:name w:val="Footnote Text"/>
    <w:basedOn w:val="Normal"/>
    <w:pPr>
      <w:suppressAutoHyphens w:val="false"/>
    </w:pPr>
    <w:rPr>
      <w:rFonts w:eastAsia="Calibri"/>
      <w:sz w:val="20"/>
      <w:szCs w:val="20"/>
    </w:rPr>
  </w:style>
  <w:style w:type="paragraph" w:styleId="Style33">
    <w:name w:val="Абзац списка"/>
    <w:basedOn w:val="Normal"/>
    <w:qFormat/>
    <w:pPr>
      <w:ind w:hanging="0" w:left="708" w:right="0"/>
    </w:pPr>
    <w:rPr/>
  </w:style>
  <w:style w:type="paragraph" w:styleId="210">
    <w:name w:val="Заголовок №2"/>
    <w:basedOn w:val="Normal"/>
    <w:qFormat/>
    <w:pPr>
      <w:shd w:val="clear" w:fill="FFFFFF"/>
      <w:suppressAutoHyphens w:val="false"/>
      <w:spacing w:lineRule="atLeast" w:line="240" w:before="360" w:after="180"/>
      <w:ind w:hanging="1300" w:left="0" w:right="0"/>
      <w:jc w:val="both"/>
    </w:pPr>
    <w:rPr>
      <w:b/>
      <w:bCs/>
      <w:sz w:val="23"/>
      <w:szCs w:val="23"/>
    </w:rPr>
  </w:style>
  <w:style w:type="paragraph" w:styleId="Style54">
    <w:name w:val="Style54"/>
    <w:basedOn w:val="Normal"/>
    <w:qFormat/>
    <w:pPr>
      <w:widowControl w:val="false"/>
      <w:suppressAutoHyphens w:val="false"/>
      <w:spacing w:lineRule="exact" w:line="274"/>
      <w:ind w:firstLine="734" w:left="0" w:right="0"/>
      <w:jc w:val="both"/>
    </w:pPr>
    <w:rPr/>
  </w:style>
  <w:style w:type="paragraph" w:styleId="113">
    <w:name w:val="Маркированный список1"/>
    <w:basedOn w:val="Normal"/>
    <w:qFormat/>
    <w:pPr>
      <w:numPr>
        <w:ilvl w:val="0"/>
        <w:numId w:val="4"/>
      </w:numPr>
      <w:suppressAutoHyphens w:val="false"/>
      <w:spacing w:before="0" w:after="0"/>
      <w:contextualSpacing/>
    </w:pPr>
    <w:rPr>
      <w:color w:val="000000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</w:rPr>
  </w:style>
  <w:style w:type="paragraph" w:styleId="37">
    <w:name w:val="Стиль Основной текст 3 + Междустр.интервал:  одинарный"/>
    <w:basedOn w:val="311"/>
    <w:qFormat/>
    <w:pPr>
      <w:suppressAutoHyphens w:val="false"/>
      <w:spacing w:before="0" w:after="0"/>
      <w:jc w:val="center"/>
    </w:pPr>
    <w:rPr>
      <w:iCs/>
      <w:sz w:val="24"/>
      <w:szCs w:val="24"/>
    </w:rPr>
  </w:style>
  <w:style w:type="paragraph" w:styleId="Style111">
    <w:name w:val="Style11"/>
    <w:basedOn w:val="Normal"/>
    <w:qFormat/>
    <w:pPr>
      <w:widowControl w:val="false"/>
      <w:suppressAutoHyphens w:val="false"/>
      <w:spacing w:lineRule="exact" w:line="323"/>
      <w:ind w:firstLine="557" w:left="0" w:right="0"/>
      <w:jc w:val="both"/>
    </w:pPr>
    <w:rPr/>
  </w:style>
  <w:style w:type="paragraph" w:styleId="Style261">
    <w:name w:val="Style26"/>
    <w:basedOn w:val="Normal"/>
    <w:qFormat/>
    <w:pPr>
      <w:widowControl w:val="false"/>
      <w:suppressAutoHyphens w:val="false"/>
      <w:spacing w:lineRule="exact" w:line="324"/>
      <w:ind w:hanging="355" w:left="0" w:right="0"/>
      <w:jc w:val="both"/>
    </w:pPr>
    <w:rPr/>
  </w:style>
  <w:style w:type="paragraph" w:styleId="Style91">
    <w:name w:val="Style9"/>
    <w:basedOn w:val="Normal"/>
    <w:qFormat/>
    <w:pPr>
      <w:widowControl w:val="false"/>
      <w:suppressAutoHyphens w:val="false"/>
      <w:jc w:val="both"/>
    </w:pPr>
    <w:rPr/>
  </w:style>
  <w:style w:type="paragraph" w:styleId="IndexHeading">
    <w:name w:val="Index Heading"/>
    <w:basedOn w:val="16"/>
    <w:pPr>
      <w:suppressLineNumbers/>
      <w:ind w:hanging="0" w:left="0" w:right="0"/>
    </w:pPr>
    <w:rPr>
      <w:b/>
      <w:bCs/>
      <w:sz w:val="32"/>
      <w:szCs w:val="32"/>
    </w:rPr>
  </w:style>
  <w:style w:type="paragraph" w:styleId="114">
    <w:name w:val="Заголовок таблицы ссылок1"/>
    <w:basedOn w:val="Heading1"/>
    <w:next w:val="Normal"/>
    <w:qFormat/>
    <w:pPr>
      <w:keepLines/>
      <w:numPr>
        <w:ilvl w:val="0"/>
        <w:numId w:val="0"/>
      </w:numPr>
      <w:tabs>
        <w:tab w:val="clear" w:pos="432"/>
      </w:tabs>
      <w:suppressAutoHyphens w:val="false"/>
      <w:spacing w:lineRule="auto" w:line="276" w:before="480" w:after="0"/>
      <w:ind w:hanging="0" w:left="0" w:right="0"/>
      <w:jc w:val="left"/>
      <w:outlineLvl w:val="9"/>
    </w:pPr>
    <w:rPr>
      <w:rFonts w:ascii="Cambria" w:hAnsi="Cambria" w:eastAsia="Times New Roman" w:cs="Times New Roman"/>
      <w:bCs/>
      <w:caps w:val="false"/>
      <w:smallCaps w:val="false"/>
      <w:color w:val="365F91"/>
      <w:kern w:val="2"/>
      <w:szCs w:val="28"/>
    </w:rPr>
  </w:style>
  <w:style w:type="paragraph" w:styleId="TOC1">
    <w:name w:val="TOC 1"/>
    <w:basedOn w:val="Normal"/>
    <w:next w:val="Normal"/>
    <w:pPr>
      <w:tabs>
        <w:tab w:val="clear" w:pos="708"/>
        <w:tab w:val="left" w:pos="440" w:leader="none"/>
        <w:tab w:val="right" w:pos="9923" w:leader="dot"/>
      </w:tabs>
    </w:pPr>
    <w:rPr/>
  </w:style>
  <w:style w:type="paragraph" w:styleId="TOC2">
    <w:name w:val="TOC 2"/>
    <w:basedOn w:val="Normal"/>
    <w:next w:val="Normal"/>
    <w:pPr>
      <w:ind w:hanging="0" w:left="240" w:right="0"/>
    </w:pPr>
    <w:rPr/>
  </w:style>
  <w:style w:type="paragraph" w:styleId="115">
    <w:name w:val="Текст примечания1"/>
    <w:basedOn w:val="Normal"/>
    <w:qFormat/>
    <w:pPr>
      <w:suppressAutoHyphens w:val="false"/>
    </w:pPr>
    <w:rPr>
      <w:color w:val="000000"/>
      <w:sz w:val="20"/>
      <w:szCs w:val="20"/>
    </w:rPr>
  </w:style>
  <w:style w:type="paragraph" w:styleId="Style34">
    <w:name w:val="Тема примечания"/>
    <w:basedOn w:val="115"/>
    <w:next w:val="115"/>
    <w:qFormat/>
    <w:pPr>
      <w:suppressAutoHyphens w:val="true"/>
    </w:pPr>
    <w:rPr>
      <w:b/>
      <w:bCs/>
      <w:color w:val="000000"/>
    </w:rPr>
  </w:style>
  <w:style w:type="paragraph" w:styleId="116">
    <w:name w:val="Стиль1"/>
    <w:basedOn w:val="Normal"/>
    <w:qFormat/>
    <w:pPr>
      <w:suppressAutoHyphens w:val="false"/>
      <w:ind w:firstLine="851" w:left="0" w:right="0"/>
      <w:jc w:val="both"/>
    </w:pPr>
    <w:rPr>
      <w:rFonts w:eastAsia="ArialMT;Times New Roman"/>
      <w:kern w:val="2"/>
      <w:szCs w:val="20"/>
    </w:rPr>
  </w:style>
  <w:style w:type="paragraph" w:styleId="312">
    <w:name w:val="Основной текст с отступом 31"/>
    <w:basedOn w:val="Normal"/>
    <w:qFormat/>
    <w:pPr>
      <w:suppressAutoHyphens w:val="false"/>
      <w:spacing w:before="0" w:after="120"/>
      <w:ind w:hanging="0" w:left="283" w:right="0"/>
    </w:pPr>
    <w:rPr>
      <w:sz w:val="16"/>
      <w:szCs w:val="16"/>
    </w:rPr>
  </w:style>
  <w:style w:type="paragraph" w:styleId="Kapitelberschrift">
    <w:name w:val="Kapitelüberschrift"/>
    <w:basedOn w:val="Normal"/>
    <w:qFormat/>
    <w:pPr>
      <w:suppressAutoHyphens w:val="false"/>
      <w:spacing w:lineRule="atLeast" w:line="270" w:before="120" w:after="200"/>
    </w:pPr>
    <w:rPr>
      <w:rFonts w:ascii="NewsGoth BT;Arial" w:hAnsi="NewsGoth BT;Arial" w:cs="NewsGoth BT;Arial"/>
      <w:b/>
      <w:sz w:val="22"/>
      <w:szCs w:val="20"/>
      <w:lang w:val="de-DE"/>
    </w:rPr>
  </w:style>
  <w:style w:type="paragraph" w:styleId="Style35">
    <w:name w:val="Рецензия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14">
    <w:name w:val="Текст примечания2"/>
    <w:basedOn w:val="Normal"/>
    <w:qFormat/>
    <w:pPr/>
    <w:rPr>
      <w:sz w:val="20"/>
      <w:szCs w:val="20"/>
    </w:rPr>
  </w:style>
  <w:style w:type="paragraph" w:styleId="Style36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Style37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Times New Roman" w:cs="Calibri"/>
      <w:color w:val="auto"/>
      <w:kern w:val="2"/>
      <w:sz w:val="24"/>
      <w:szCs w:val="24"/>
      <w:lang w:val="ru-RU" w:eastAsia="zh-CN" w:bidi="ar-SA"/>
    </w:rPr>
  </w:style>
  <w:style w:type="paragraph" w:styleId="52">
    <w:name w:val="Основной текст5"/>
    <w:basedOn w:val="Normal"/>
    <w:qFormat/>
    <w:pPr>
      <w:widowControl w:val="false"/>
      <w:shd w:val="clear" w:fill="FFFFFF"/>
      <w:suppressAutoHyphens w:val="true"/>
      <w:spacing w:lineRule="exact" w:line="278"/>
    </w:pPr>
    <w:rPr>
      <w:color w:val="00000A"/>
      <w:lang w:bidi="he-IL"/>
    </w:rPr>
  </w:style>
  <w:style w:type="paragraph" w:styleId="38">
    <w:name w:val="Текст примечания3"/>
    <w:basedOn w:val="Normal"/>
    <w:qFormat/>
    <w:pPr/>
    <w:rPr>
      <w:sz w:val="20"/>
      <w:szCs w:val="20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yperlink" Target="https://reestr.minsvyaz.ru/reestr/" TargetMode="External"/><Relationship Id="rId4" Type="http://schemas.openxmlformats.org/officeDocument/2006/relationships/hyperlink" Target="http://cp11.megagroup.ru/d/648204/d/gost_21_101_97.pdf" TargetMode="External"/><Relationship Id="rId5" Type="http://schemas.openxmlformats.org/officeDocument/2006/relationships/hyperlink" Target="kodeks://link/d?nd=1200000429" TargetMode="External"/><Relationship Id="rId6" Type="http://schemas.openxmlformats.org/officeDocument/2006/relationships/hyperlink" Target="http://files.stroyinf.ru/Data2/1/4294817/4294817855.htm" TargetMode="External"/><Relationship Id="rId7" Type="http://schemas.openxmlformats.org/officeDocument/2006/relationships/hyperlink" Target="http://meganorm.ru/Index2/1/4293830/4293830126.htm" TargetMode="External"/><Relationship Id="rId8" Type="http://schemas.openxmlformats.org/officeDocument/2006/relationships/hyperlink" Target="http://meganorm.ru/Index2/1/4293830/4293830898.htm" TargetMode="External"/><Relationship Id="rId9" Type="http://schemas.openxmlformats.org/officeDocument/2006/relationships/hyperlink" Target="kodeks://link/d?nd=1200003114" TargetMode="Externa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4.xml"/><Relationship Id="rId15" Type="http://schemas.openxmlformats.org/officeDocument/2006/relationships/header" Target="header5.xml"/><Relationship Id="rId16" Type="http://schemas.openxmlformats.org/officeDocument/2006/relationships/footer" Target="footer3.xml"/><Relationship Id="rId17" Type="http://schemas.openxmlformats.org/officeDocument/2006/relationships/footer" Target="footer4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519</TotalTime>
  <Application>AlterOffice/2026.2.0.0$Linux_X86_64 LibreOffice_project/bc4ef1adf80b36c7a6365f8ed6cbf29021361edd</Application>
  <AppVersion>15.0000</AppVersion>
  <Pages>13</Pages>
  <Words>3080</Words>
  <Characters>21768</Characters>
  <CharactersWithSpaces>24499</CharactersWithSpaces>
  <Paragraphs>345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2024-05-23T15:11:00Z</dcterms:created>
  <dc:creator>kocheevnn</dc:creator>
  <dc:description/>
  <dc:language>ru-RU</dc:language>
  <cp:lastModifiedBy>bezmaternyheb@corp.gidroogk.com</cp:lastModifiedBy>
  <cp:lastPrinted>2023-07-12T11:15:00Z</cp:lastPrinted>
  <dcterms:modified xsi:type="dcterms:W3CDTF">2026-10-13T16:00:36Z</dcterms:modified>
  <cp:revision>26</cp:revision>
  <dc:subject/>
  <dc:title>УТВЕРЖДАЮ: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