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header14.xml" ContentType="application/vnd.openxmlformats-officedocument.wordprocessingml.header+xml"/>
  <Override PartName="/word/embeddings/oleObject1.xlsx" ContentType="application/vnd.openxmlformats-officedocument.spreadsheetml.sheet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header12.xml" ContentType="application/vnd.openxmlformats-officedocument.wordprocessingml.header+xml"/>
  <Override PartName="/word/settings.xml" ContentType="application/vnd.openxmlformats-officedocument.wordprocessingml.settings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15.xml" ContentType="application/vnd.openxmlformats-officedocument.wordprocessingml.footer+xml"/>
  <Override PartName="/word/numbering.xml" ContentType="application/vnd.openxmlformats-officedocument.wordprocessingml.numbering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media/image1.jpeg" ContentType="image/jpeg"/>
  <Override PartName="/word/media/image2.wmf" ContentType="image/x-wmf"/>
  <Override PartName="/word/header15.xml" ContentType="application/vnd.openxmlformats-officedocument.wordprocessingml.header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16.xml" ContentType="application/vnd.openxmlformats-officedocument.wordprocessingml.header+xml"/>
  <Override PartName="/word/footer12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.xml" ContentType="application/vnd.openxmlformats-officedocument.wordprocessingml.header+xml"/>
  <Override PartName="/word/_rels/footnotes.xml.rels" ContentType="application/vnd.openxmlformats-package.relationships+xml"/>
  <Override PartName="/word/_rels/document.xml.rels" ContentType="application/vnd.openxmlformats-package.relationships+xml"/>
  <Override PartName="/word/footer8.xml" ContentType="application/vnd.openxmlformats-officedocument.wordprocessingml.footer+xml"/>
  <Override PartName="/word/footer16.xml" ContentType="application/vnd.openxmlformats-officedocument.wordprocessingml.footer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5.xml" ContentType="application/vnd.openxmlformats-officedocument.wordprocessingml.footer+xml"/>
  <Override PartName="/word/footer14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header8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  <w:lang w:val="en-US"/>
            </w:rPr>
          </w:pPr>
          <w:r>
            <w:rPr>
              <w:sz w:val="26"/>
              <w:szCs w:val="26"/>
              <w:lang w:val="en-US"/>
            </w:rPr>
          </w:r>
          <w:bookmarkStart w:id="0" w:name="_GoBack"/>
          <w:bookmarkStart w:id="1" w:name="_GoBack"/>
          <w:bookmarkEnd w:id="1"/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keepNext w:val="true"/>
            <w:keepLines/>
            <w:spacing w:lineRule="auto" w:line="276"/>
            <w:jc w:val="center"/>
            <w:rPr>
              <w:rFonts w:ascii="Times New Roman" w:hAnsi="Times New Roman"/>
            </w:rPr>
          </w:pPr>
          <w:r>
            <w:rPr>
              <w:rFonts w:eastAsia="Calibri"/>
              <w:b/>
              <w:sz w:val="26"/>
              <w:szCs w:val="26"/>
            </w:rPr>
            <w:t>Технические требования</w:t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</w:p>
        <w:p>
          <w:pPr>
            <w:pStyle w:val="Normal"/>
            <w:jc w:val="center"/>
            <w:rPr>
              <w:rFonts w:ascii="Times New Roman" w:hAnsi="Times New Roman"/>
              <w:sz w:val="28"/>
              <w:szCs w:val="28"/>
            </w:rPr>
          </w:pPr>
          <w:r>
            <w:rPr>
              <w:rFonts w:eastAsia="Calibri"/>
              <w:b/>
              <w:sz w:val="28"/>
              <w:szCs w:val="28"/>
            </w:rPr>
            <w:t xml:space="preserve">«ОКДП2 58.29.50.000 </w:t>
          </w:r>
          <w:r>
            <w:rPr>
              <w:b/>
              <w:sz w:val="28"/>
              <w:szCs w:val="28"/>
            </w:rPr>
            <w:t xml:space="preserve">Модернизация ПАК КЦОПЛ в части внедрения Системы защиты неструктурированных данных </w:t>
          </w:r>
          <w:r>
            <w:rPr>
              <w:rFonts w:eastAsia="Calibri"/>
              <w:b/>
              <w:sz w:val="28"/>
              <w:szCs w:val="28"/>
            </w:rPr>
            <w:t>в рамках выполнения инвестиционного проекта P_T-1010-276»</w:t>
          </w:r>
        </w:p>
        <w:p>
          <w:pPr>
            <w:pStyle w:val="Normal"/>
            <w:keepNext w:val="true"/>
            <w:keepLines/>
            <w:spacing w:lineRule="auto" w:line="276"/>
            <w:jc w:val="center"/>
            <w:rPr>
              <w:rFonts w:ascii="Times New Roman" w:hAnsi="Times New Roman"/>
            </w:rPr>
          </w:pPr>
          <w:r>
            <w:rPr>
              <w:b/>
              <w:sz w:val="26"/>
              <w:szCs w:val="26"/>
            </w:rPr>
            <w:t>Лот № (ИТ)</w:t>
          </w:r>
        </w:p>
        <w:p>
          <w:pPr>
            <w:pStyle w:val="Normal"/>
            <w:spacing w:lineRule="auto" w:line="276"/>
            <w:rPr>
              <w:rFonts w:ascii="Times New Roman" w:hAnsi="Times New Roman"/>
              <w:sz w:val="26"/>
              <w:szCs w:val="26"/>
            </w:rPr>
          </w:pPr>
          <w:r>
            <w:rPr>
              <w:sz w:val="26"/>
              <w:szCs w:val="26"/>
            </w:rPr>
          </w:r>
          <w:r>
            <w:br w:type="page"/>
          </w:r>
        </w:p>
        <w:p>
          <w:pPr>
            <w:pStyle w:val="Normal"/>
            <w:spacing w:lineRule="auto" w:line="276"/>
            <w:ind w:right="113"/>
            <w:jc w:val="center"/>
            <w:rPr>
              <w:rFonts w:ascii="Times New Roman" w:hAnsi="Times New Roman"/>
            </w:rPr>
          </w:pPr>
          <w:r>
            <w:rPr>
              <w:b/>
            </w:rPr>
            <w:t>СОДЕРЖАНИЕ</w:t>
          </w:r>
        </w:p>
        <w:p>
          <w:pPr>
            <w:pStyle w:val="TOC1"/>
            <w:rPr/>
          </w:pPr>
          <w:r>
            <w:fldChar w:fldCharType="begin"/>
          </w:r>
          <w:r>
            <w:rPr>
              <w:webHidden/>
              <w:rStyle w:val="Style20"/>
              <w:vanish w:val="false"/>
            </w:rPr>
            <w:instrText xml:space="preserve"> TOC \z \o "1-4" \u \h</w:instrText>
          </w:r>
          <w:r>
            <w:rPr>
              <w:webHidden/>
              <w:rStyle w:val="Style20"/>
              <w:vanish w:val="false"/>
            </w:rPr>
            <w:fldChar w:fldCharType="separate"/>
          </w:r>
          <w:hyperlink w:anchor="_Toc240373574">
            <w:r>
              <w:rPr>
                <w:webHidden/>
                <w:rStyle w:val="Style20"/>
                <w:vanish w:val="false"/>
              </w:rPr>
              <w:t>1.</w:t>
            </w:r>
            <w:r>
              <w:rPr>
                <w:rStyle w:val="Style20"/>
                <w:rFonts w:eastAsia="" w:cs="" w:cstheme="minorBidi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20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240373575">
            <w:r>
              <w:rPr>
                <w:webHidden/>
                <w:rStyle w:val="Style20"/>
                <w:iCs/>
                <w:vanish w:val="false"/>
              </w:rPr>
              <w:t>1.1.</w:t>
            </w:r>
            <w:r>
              <w:rPr>
                <w:rStyle w:val="Style20"/>
                <w:rFonts w:eastAsia="" w:cs="" w:cstheme="minorBidi" w:eastAsiaTheme="minorEastAsia"/>
                <w:spacing w:val="0"/>
                <w:sz w:val="22"/>
                <w:szCs w:val="22"/>
              </w:rPr>
              <w:tab/>
            </w:r>
            <w:r>
              <w:rPr>
                <w:rStyle w:val="Style20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240373576">
            <w:r>
              <w:rPr>
                <w:webHidden/>
                <w:rStyle w:val="Style20"/>
                <w:iCs/>
                <w:vanish w:val="false"/>
              </w:rPr>
              <w:t>1.2.</w:t>
            </w:r>
            <w:r>
              <w:rPr>
                <w:rStyle w:val="Style20"/>
                <w:rFonts w:eastAsia="" w:cs="" w:cstheme="minorBidi" w:eastAsiaTheme="minorEastAsia"/>
                <w:spacing w:val="0"/>
                <w:sz w:val="22"/>
                <w:szCs w:val="22"/>
              </w:rPr>
              <w:tab/>
            </w:r>
            <w:r>
              <w:rPr>
                <w:rStyle w:val="Style20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240373577">
            <w:r>
              <w:rPr>
                <w:webHidden/>
                <w:rStyle w:val="Style20"/>
                <w:iCs/>
                <w:vanish w:val="false"/>
              </w:rPr>
              <w:t>1.3.</w:t>
            </w:r>
            <w:r>
              <w:rPr>
                <w:rStyle w:val="Style20"/>
                <w:rFonts w:eastAsia="" w:cs="" w:cstheme="minorBidi" w:eastAsiaTheme="minorEastAsia"/>
                <w:spacing w:val="0"/>
                <w:sz w:val="22"/>
                <w:szCs w:val="22"/>
              </w:rPr>
              <w:tab/>
            </w:r>
            <w:r>
              <w:rPr>
                <w:rStyle w:val="Style20"/>
              </w:rPr>
              <w:t>Цель и задачи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_Toc240373577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240373578">
            <w:r>
              <w:rPr>
                <w:webHidden/>
                <w:rStyle w:val="Style20"/>
                <w:iCs/>
                <w:vanish w:val="false"/>
              </w:rPr>
              <w:t>1.4.</w:t>
            </w:r>
            <w:r>
              <w:rPr>
                <w:rStyle w:val="Style20"/>
                <w:rFonts w:eastAsia="" w:cs="" w:cstheme="minorBidi" w:eastAsiaTheme="minorEastAsia"/>
                <w:spacing w:val="0"/>
                <w:sz w:val="22"/>
                <w:szCs w:val="22"/>
              </w:rPr>
              <w:tab/>
            </w:r>
            <w:r>
              <w:rPr>
                <w:rStyle w:val="Style20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240373579">
            <w:r>
              <w:rPr>
                <w:webHidden/>
                <w:rStyle w:val="Style20"/>
                <w:iCs/>
                <w:vanish w:val="false"/>
              </w:rPr>
              <w:t>1.5.</w:t>
            </w:r>
            <w:r>
              <w:rPr>
                <w:rStyle w:val="Style20"/>
                <w:rFonts w:eastAsia="" w:cs="" w:cstheme="minorBidi" w:eastAsiaTheme="minorEastAsia"/>
                <w:spacing w:val="0"/>
                <w:sz w:val="22"/>
                <w:szCs w:val="22"/>
              </w:rPr>
              <w:tab/>
            </w:r>
            <w:r>
              <w:rPr>
                <w:rStyle w:val="Style20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240373580">
            <w:r>
              <w:rPr>
                <w:webHidden/>
                <w:rStyle w:val="Style20"/>
                <w:vanish w:val="false"/>
              </w:rPr>
              <w:t>2.</w:t>
            </w:r>
            <w:r>
              <w:rPr>
                <w:rStyle w:val="Style20"/>
                <w:rFonts w:eastAsia="" w:cs="" w:cstheme="minorBidi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20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_Toc240373580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240373581">
            <w:r>
              <w:rPr>
                <w:webHidden/>
                <w:rStyle w:val="Style20"/>
                <w:iCs/>
                <w:vanish w:val="false"/>
              </w:rPr>
              <w:t>2.1.</w:t>
            </w:r>
            <w:r>
              <w:rPr>
                <w:rStyle w:val="Style20"/>
                <w:rFonts w:eastAsia="" w:cs="" w:cstheme="minorBidi" w:eastAsiaTheme="minorEastAsia"/>
                <w:spacing w:val="0"/>
                <w:sz w:val="22"/>
                <w:szCs w:val="22"/>
              </w:rPr>
              <w:tab/>
            </w:r>
            <w:r>
              <w:rPr>
                <w:rStyle w:val="Style20"/>
              </w:rPr>
              <w:t>Требования по объемам и срокам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/>
          </w:pPr>
          <w:hyperlink w:anchor="_Toc240373582">
            <w:r>
              <w:rPr>
                <w:webHidden/>
                <w:rStyle w:val="Style20"/>
                <w:vanish w:val="false"/>
              </w:rPr>
              <w:t>2.1.1.</w:t>
            </w:r>
            <w:r>
              <w:rPr>
                <w:rStyle w:val="Style20"/>
                <w:rFonts w:eastAsia="" w:cs="" w:cstheme="minorBidi" w:eastAsiaTheme="minorEastAsia"/>
                <w:sz w:val="22"/>
                <w:szCs w:val="22"/>
              </w:rPr>
              <w:tab/>
            </w:r>
            <w:r>
              <w:rPr>
                <w:rStyle w:val="Style20"/>
              </w:rPr>
              <w:t>Требования к видам и объемам поставок МТР, выполняемых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240373583">
            <w:r>
              <w:rPr>
                <w:webHidden/>
                <w:rStyle w:val="Style20"/>
                <w:iCs/>
                <w:vanish w:val="false"/>
              </w:rPr>
              <w:t>2.2.</w:t>
            </w:r>
            <w:r>
              <w:rPr>
                <w:rStyle w:val="Style20"/>
                <w:rFonts w:eastAsia="" w:cs="" w:cstheme="minorBidi" w:eastAsiaTheme="minorEastAsia"/>
                <w:spacing w:val="0"/>
                <w:sz w:val="22"/>
                <w:szCs w:val="22"/>
              </w:rPr>
              <w:tab/>
            </w:r>
            <w:r>
              <w:rPr>
                <w:rStyle w:val="Style20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240373584">
            <w:r>
              <w:rPr>
                <w:webHidden/>
                <w:rStyle w:val="Style20"/>
                <w:vanish w:val="false"/>
              </w:rPr>
              <w:t>3.</w:t>
            </w:r>
            <w:r>
              <w:rPr>
                <w:rStyle w:val="Style20"/>
                <w:rFonts w:eastAsia="" w:cs="" w:cstheme="minorBidi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20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240373585">
            <w:r>
              <w:rPr>
                <w:webHidden/>
                <w:rStyle w:val="Style20"/>
                <w:vanish w:val="false"/>
              </w:rPr>
              <w:t>4.</w:t>
            </w:r>
            <w:r>
              <w:rPr>
                <w:rStyle w:val="Style20"/>
                <w:rFonts w:eastAsia="" w:cs="" w:cstheme="minorBidi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20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240373586">
            <w:r>
              <w:rPr>
                <w:webHidden/>
                <w:rStyle w:val="Style20"/>
                <w:vanish w:val="false"/>
              </w:rPr>
              <w:t>5.</w:t>
            </w:r>
            <w:r>
              <w:rPr>
                <w:rStyle w:val="Style20"/>
                <w:rFonts w:eastAsia="" w:cs="" w:cstheme="minorBidi" w:eastAsiaTheme="minorEastAsia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20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0"/>
                <w:vanish w:val="false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24037358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_Toc240373587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20"/>
                <w:vanish w:val="false"/>
              </w:rPr>
              <w:t>Приложение № 1 к ТТ</w:t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24037358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_Toc240373588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20"/>
                <w:vanish w:val="false"/>
              </w:rPr>
              <w:t>Приложение № 2 к ТТ. Требования к функционалу Системы</w:t>
              <w:tab/>
              <w:t>41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Times New Roman" w:hAnsi="Times New Roman"/>
            </w:rPr>
          </w:pPr>
          <w:r>
            <w:rPr/>
          </w:r>
          <w:r>
            <w:rPr/>
            <w:fldChar w:fldCharType="end"/>
          </w:r>
        </w:p>
      </w:sdtContent>
    </w:sdt>
    <w:p>
      <w:pPr>
        <w:pStyle w:val="Style47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4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rPr>
          <w:rFonts w:ascii="Times New Roman" w:hAnsi="Times New Roman"/>
        </w:rPr>
      </w:pPr>
      <w:bookmarkStart w:id="2" w:name="_Toc51339692"/>
      <w:bookmarkStart w:id="3" w:name="_Toc184013314"/>
      <w:bookmarkStart w:id="4" w:name="_Toc240373574"/>
      <w:bookmarkStart w:id="5" w:name="_Toc240301839"/>
      <w:r>
        <w:rPr/>
        <w:t>Общие сведения</w:t>
      </w:r>
      <w:bookmarkEnd w:id="2"/>
      <w:bookmarkEnd w:id="3"/>
      <w:bookmarkEnd w:id="4"/>
      <w:bookmarkEnd w:id="5"/>
    </w:p>
    <w:p>
      <w:pPr>
        <w:pStyle w:val="Heading4"/>
        <w:numPr>
          <w:ilvl w:val="1"/>
          <w:numId w:val="3"/>
        </w:numPr>
        <w:ind w:hanging="0" w:left="0"/>
        <w:rPr>
          <w:rFonts w:ascii="Times New Roman" w:hAnsi="Times New Roman"/>
        </w:rPr>
      </w:pPr>
      <w:bookmarkStart w:id="6" w:name="_Toc240301840"/>
      <w:bookmarkStart w:id="7" w:name="_Toc46743505"/>
      <w:bookmarkStart w:id="8" w:name="_Toc240373575"/>
      <w:bookmarkStart w:id="9" w:name="_Toc184013315"/>
      <w:r>
        <w:rPr/>
        <w:t>Обозначения и сокращения</w:t>
      </w:r>
      <w:bookmarkEnd w:id="6"/>
      <w:bookmarkEnd w:id="7"/>
      <w:bookmarkEnd w:id="8"/>
      <w:bookmarkEnd w:id="9"/>
    </w:p>
    <w:tbl>
      <w:tblPr>
        <w:tblStyle w:val="afffff6"/>
        <w:tblW w:w="963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536"/>
        <w:gridCol w:w="7102"/>
      </w:tblGrid>
      <w:tr>
        <w:trPr>
          <w:trHeight w:val="144" w:hRule="atLeast"/>
        </w:trPr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ИА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Исполнительный аппарат ПАО «РусГидро»</w:t>
            </w:r>
          </w:p>
        </w:tc>
      </w:tr>
      <w:tr>
        <w:trPr/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ИИТ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Инфраструктура ИТ – совокупность взаимосвязанных компонентов, участвующих в реализации процессов деятельности ПАО «РусГидро»</w:t>
            </w:r>
          </w:p>
        </w:tc>
      </w:tr>
      <w:tr>
        <w:trPr/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ИТ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/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Информационные технологии</w:t>
            </w:r>
            <w:r>
              <w:rPr>
                <w:rStyle w:val="FootnoteReference"/>
                <w:rFonts w:eastAsia="Calibri"/>
                <w:kern w:val="0"/>
                <w:lang w:val="ru-RU" w:bidi="ar-SA"/>
              </w:rPr>
              <w:footnoteReference w:id="2"/>
            </w:r>
            <w:r>
              <w:rPr>
                <w:rStyle w:val="Style"/>
                <w:rFonts w:eastAsia="Calibri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eastAsia="x-none" w:bidi="ar-SA"/>
              </w:rPr>
              <w:t>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>
        <w:trPr/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Компоненты ИИТ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Технические и программные компоненты в составе ИИТ</w:t>
            </w:r>
          </w:p>
        </w:tc>
      </w:tr>
      <w:tr>
        <w:trPr/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КСПД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Корпоративная сеть передачи данных </w:t>
            </w:r>
            <w:r>
              <w:rPr>
                <w:kern w:val="0"/>
                <w:sz w:val="24"/>
                <w:szCs w:val="24"/>
                <w:lang w:val="ru-RU" w:eastAsia="x-none" w:bidi="ar-SA"/>
              </w:rPr>
              <w:t>(непосредственно не участвует в реализации технологических процессов, предназначенных для выработки, передачи, сбыта электрической и тепловой энергии, а также оперативно-диспетчерского управления в изолированных энергосистемах)</w:t>
            </w:r>
          </w:p>
        </w:tc>
      </w:tr>
      <w:tr>
        <w:trPr/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ЛНД(а)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Локально-нормативные документы (акты)</w:t>
            </w:r>
          </w:p>
        </w:tc>
      </w:tr>
      <w:tr>
        <w:trPr/>
        <w:tc>
          <w:tcPr>
            <w:tcW w:w="253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Неструктурированные данные</w:t>
            </w:r>
          </w:p>
        </w:tc>
        <w:tc>
          <w:tcPr>
            <w:tcW w:w="710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Информация, которая не соответствует заранее определённой модели данных и не организована предсказуемым образом</w:t>
            </w:r>
          </w:p>
        </w:tc>
      </w:tr>
      <w:tr>
        <w:trPr/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Общество</w:t>
            </w:r>
            <w:r>
              <w:rPr>
                <w:rStyle w:val="FootnoteReference"/>
                <w:rFonts w:eastAsia="Calibri"/>
                <w:kern w:val="0"/>
                <w:lang w:val="ru-RU" w:bidi="ar-SA"/>
              </w:rPr>
              <w:footnoteReference w:id="3"/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Публичное акционерное общество «Федеральная гидрогенерирующая компания – РусГидро» (сокращенное наименование: ПАО «РусГидро»)</w:t>
            </w:r>
          </w:p>
        </w:tc>
      </w:tr>
      <w:tr>
        <w:trPr>
          <w:trHeight w:val="70" w:hRule="atLeast"/>
        </w:trPr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ОС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Операционная система</w:t>
            </w:r>
          </w:p>
        </w:tc>
      </w:tr>
      <w:tr>
        <w:trPr>
          <w:trHeight w:val="108" w:hRule="atLeast"/>
        </w:trPr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ПАК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Программно-аппаратный комплекс</w:t>
            </w:r>
          </w:p>
        </w:tc>
      </w:tr>
      <w:tr>
        <w:trPr>
          <w:trHeight w:val="108" w:hRule="atLeast"/>
        </w:trPr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ПМИ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Программа и методика испытаний</w:t>
            </w:r>
          </w:p>
        </w:tc>
      </w:tr>
      <w:tr>
        <w:trPr>
          <w:trHeight w:val="70" w:hRule="atLeast"/>
        </w:trPr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ПО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Программное обеспечение</w:t>
            </w:r>
          </w:p>
        </w:tc>
      </w:tr>
      <w:tr>
        <w:trPr>
          <w:trHeight w:val="70" w:hRule="atLeast"/>
        </w:trPr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ПНР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Пусконаладочные работы</w:t>
            </w:r>
          </w:p>
        </w:tc>
      </w:tr>
      <w:tr>
        <w:trPr>
          <w:trHeight w:val="70" w:hRule="atLeast"/>
        </w:trPr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ППР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План производства работ</w:t>
            </w:r>
          </w:p>
        </w:tc>
      </w:tr>
      <w:tr>
        <w:trPr>
          <w:trHeight w:val="108" w:hRule="atLeast"/>
        </w:trPr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ПСИ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Приемо-сдаточные испытания</w:t>
            </w:r>
          </w:p>
        </w:tc>
      </w:tr>
      <w:tr>
        <w:trPr>
          <w:trHeight w:val="138" w:hRule="atLeast"/>
        </w:trPr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СМР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Строительно-монтажные работы</w:t>
            </w:r>
          </w:p>
        </w:tc>
      </w:tr>
      <w:tr>
        <w:trPr>
          <w:trHeight w:val="70" w:hRule="atLeast"/>
        </w:trPr>
        <w:tc>
          <w:tcPr>
            <w:tcW w:w="253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eastAsia="x-none" w:bidi="ar-SA"/>
              </w:rPr>
              <w:t>ЦОД</w:t>
            </w:r>
          </w:p>
        </w:tc>
        <w:tc>
          <w:tcPr>
            <w:tcW w:w="71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Центр обработки данных</w:t>
            </w:r>
          </w:p>
        </w:tc>
      </w:tr>
    </w:tbl>
    <w:p>
      <w:pPr>
        <w:pStyle w:val="Normal"/>
        <w:keepNext w:val="true"/>
        <w:keepLines/>
        <w:spacing w:lineRule="auto" w:line="276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firstLine="709" w:left="0"/>
        <w:rPr>
          <w:rFonts w:ascii="Times New Roman" w:hAnsi="Times New Roman"/>
        </w:rPr>
      </w:pPr>
      <w:bookmarkStart w:id="10" w:name="_Toc240373576"/>
      <w:bookmarkStart w:id="11" w:name="_Toc184013316"/>
      <w:bookmarkStart w:id="12" w:name="_Toc240301841"/>
      <w:r>
        <w:rPr/>
        <w:t>Наименование закупаемой продукции</w:t>
      </w:r>
      <w:bookmarkEnd w:id="10"/>
      <w:bookmarkEnd w:id="11"/>
      <w:bookmarkEnd w:id="12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ind w:firstLine="709"/>
        <w:jc w:val="both"/>
        <w:rPr>
          <w:rFonts w:ascii="Times New Roman" w:hAnsi="Times New Roman"/>
        </w:rPr>
      </w:pPr>
      <w:bookmarkStart w:id="13" w:name="_Toc46743507"/>
      <w:r>
        <w:rPr>
          <w:sz w:val="24"/>
          <w:szCs w:val="24"/>
        </w:rPr>
        <w:t>ОКДП2 58.29.50.000 Модернизация ПАК КЦОПЛ в части внедрения Системы защиты неструктурированных данных в рамках выполнения инвестиционного проекта P_T-1010-276</w:t>
      </w:r>
      <w:r>
        <w:rPr>
          <w:rStyle w:val="FootnoteReference"/>
          <w:rFonts w:eastAsia="Calibri"/>
          <w:sz w:val="24"/>
          <w:szCs w:val="24"/>
        </w:rPr>
        <w:footnoteReference w:id="4"/>
      </w:r>
      <w:r>
        <w:rPr>
          <w:sz w:val="24"/>
          <w:szCs w:val="24"/>
        </w:rPr>
        <w:t>.</w:t>
      </w:r>
    </w:p>
    <w:p>
      <w:pPr>
        <w:pStyle w:val="Heading4"/>
        <w:numPr>
          <w:ilvl w:val="1"/>
          <w:numId w:val="3"/>
        </w:numPr>
        <w:ind w:hanging="567" w:left="567"/>
        <w:rPr>
          <w:rFonts w:ascii="Times New Roman" w:hAnsi="Times New Roman"/>
        </w:rPr>
      </w:pPr>
      <w:bookmarkStart w:id="14" w:name="_Toc184013317"/>
      <w:bookmarkStart w:id="15" w:name="_Toc240301842"/>
      <w:bookmarkStart w:id="16" w:name="_Toc240373577"/>
      <w:r>
        <w:rPr/>
        <w:t xml:space="preserve">Цель </w:t>
      </w:r>
      <w:r>
        <w:rPr>
          <w:lang w:val="ru-RU"/>
        </w:rPr>
        <w:t xml:space="preserve">и задачи </w:t>
      </w:r>
      <w:r>
        <w:rPr/>
        <w:t>использования закупаемой продукции</w:t>
      </w:r>
      <w:bookmarkEnd w:id="13"/>
      <w:bookmarkEnd w:id="14"/>
      <w:bookmarkEnd w:id="15"/>
      <w:bookmarkEnd w:id="16"/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276"/>
        <w:ind w:firstLine="709"/>
        <w:jc w:val="both"/>
        <w:rPr>
          <w:rFonts w:ascii="Times New Roman" w:hAnsi="Times New Roman"/>
        </w:rPr>
      </w:pPr>
      <w:r>
        <w:rPr>
          <w:sz w:val="24"/>
          <w:szCs w:val="24"/>
        </w:rPr>
        <w:t>Целью работ является повышение информационной безопасности с помощью внедрения системы защиты неструктурированных данных для защиты от утечек конфиденциальной информации в ПАО «РусГидро» (далее — Система).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lineRule="auto" w:line="276"/>
        <w:ind w:firstLine="709"/>
        <w:jc w:val="both"/>
        <w:rPr>
          <w:rFonts w:ascii="Times New Roman" w:hAnsi="Times New Roman"/>
        </w:rPr>
      </w:pPr>
      <w:r>
        <w:rPr>
          <w:sz w:val="24"/>
          <w:szCs w:val="24"/>
        </w:rPr>
        <w:t>Задачи, решаемые в процессе выполнения работ: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76"/>
        <w:ind w:firstLine="709"/>
        <w:jc w:val="both"/>
        <w:rPr>
          <w:rFonts w:ascii="Times New Roman" w:hAnsi="Times New Roman"/>
        </w:rPr>
      </w:pPr>
      <w:r>
        <w:rPr>
          <w:sz w:val="24"/>
          <w:szCs w:val="24"/>
        </w:rPr>
        <w:t>–</w:t>
      </w:r>
      <w:r>
        <w:rPr>
          <w:sz w:val="24"/>
          <w:szCs w:val="24"/>
        </w:rPr>
        <w:tab/>
        <w:t>Разработка технорабочего проекта;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76"/>
        <w:ind w:firstLine="709"/>
        <w:jc w:val="both"/>
        <w:rPr>
          <w:rFonts w:ascii="Times New Roman" w:hAnsi="Times New Roman"/>
        </w:rPr>
      </w:pPr>
      <w:r>
        <w:rPr>
          <w:sz w:val="24"/>
          <w:szCs w:val="24"/>
        </w:rPr>
        <w:t>–</w:t>
      </w:r>
      <w:r>
        <w:rPr>
          <w:sz w:val="24"/>
          <w:szCs w:val="24"/>
        </w:rPr>
        <w:tab/>
        <w:t>Передача прав использования ПО, необходимых для функционирования всех включенных модулей;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pacing w:lineRule="auto" w:line="276"/>
        <w:ind w:firstLine="709"/>
        <w:jc w:val="both"/>
        <w:rPr>
          <w:rFonts w:ascii="Times New Roman" w:hAnsi="Times New Roman"/>
        </w:rPr>
      </w:pPr>
      <w:r>
        <w:rPr>
          <w:sz w:val="24"/>
          <w:szCs w:val="24"/>
        </w:rPr>
        <w:t>–</w:t>
      </w:r>
      <w:r>
        <w:rPr>
          <w:sz w:val="24"/>
          <w:szCs w:val="24"/>
        </w:rPr>
        <w:tab/>
        <w:t>Реализация технорабочего проекта по созданию Системы и проведение предварительных испытаний;</w:t>
      </w:r>
    </w:p>
    <w:p>
      <w:pPr>
        <w:pStyle w:val="Lst1"/>
        <w:widowControl w:val="false"/>
        <w:numPr>
          <w:ilvl w:val="0"/>
          <w:numId w:val="12"/>
        </w:numPr>
        <w:tabs>
          <w:tab w:val="clear" w:pos="851"/>
          <w:tab w:val="left" w:pos="284" w:leader="none"/>
        </w:tabs>
        <w:spacing w:lineRule="auto" w:line="276" w:before="0" w:after="0"/>
        <w:ind w:firstLine="737" w:left="0"/>
        <w:contextualSpacing w:val="false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Ввод Системы в опытную и в промышленную эксплуатации.</w:t>
      </w:r>
    </w:p>
    <w:p>
      <w:pPr>
        <w:pStyle w:val="Heading4"/>
        <w:numPr>
          <w:ilvl w:val="1"/>
          <w:numId w:val="3"/>
        </w:numPr>
        <w:ind w:firstLine="709" w:left="0"/>
        <w:rPr>
          <w:rFonts w:ascii="Times New Roman" w:hAnsi="Times New Roman"/>
        </w:rPr>
      </w:pPr>
      <w:bookmarkStart w:id="17" w:name="_Toc240301843"/>
      <w:bookmarkStart w:id="18" w:name="_Toc240373578"/>
      <w:bookmarkStart w:id="19" w:name="_Toc46743508"/>
      <w:bookmarkStart w:id="20" w:name="_Toc184013318"/>
      <w:r>
        <w:rPr/>
        <w:t>Существующее положение</w:t>
      </w:r>
      <w:bookmarkEnd w:id="17"/>
      <w:bookmarkEnd w:id="18"/>
      <w:bookmarkEnd w:id="19"/>
      <w:bookmarkEnd w:id="20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ind w:firstLine="709"/>
        <w:jc w:val="both"/>
        <w:rPr>
          <w:rFonts w:ascii="Times New Roman" w:hAnsi="Times New Roman"/>
        </w:rPr>
      </w:pPr>
      <w:r>
        <w:rPr>
          <w:sz w:val="24"/>
          <w:szCs w:val="24"/>
        </w:rPr>
        <w:t>В настоящее время в файловых хранилищах ПАО «РусГидро» накоплено большое количество неструктурированных данных, содержащих конфиденциальную информацию, коммерческую тайну, персональные данные работников и подрядчиков Общества, при этом данные сведения не были включены в перечень особо защищаемых сведений. Недостатки в организации доступа к этим данным позволяют осуществить нерегламентированный доступ к информации ограниченного распространения.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ind w:firstLine="709"/>
        <w:jc w:val="both"/>
        <w:rPr>
          <w:rFonts w:ascii="Times New Roman" w:hAnsi="Times New Roman"/>
        </w:rPr>
      </w:pPr>
      <w:r>
        <w:rPr>
          <w:sz w:val="24"/>
          <w:szCs w:val="24"/>
        </w:rPr>
        <w:t>Внедряемая система способствует оперативному проведению анализа рисков, определению избыточных прав пользователей и выявлению нерегламентированного доступа к информации ограниченного распространения. Внедрение данных процессов позволит осуществлять целостный контроль за соблюдением нормативных требований в области ИБ и эффективно управлять информационными активами Общества.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ind w:firstLine="709"/>
        <w:jc w:val="both"/>
        <w:rPr>
          <w:rFonts w:ascii="Times New Roman" w:hAnsi="Times New Roman"/>
        </w:rPr>
      </w:pPr>
      <w:r>
        <w:rPr>
          <w:sz w:val="24"/>
          <w:szCs w:val="24"/>
        </w:rPr>
        <w:t>Внедряемая система должна быть масштабируемой, для дальнейшей возможности  подключения дополнительных хранилищ с неструктурированными данными.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Tn1"/>
        <w:spacing w:lineRule="auto" w:line="276" w:before="0" w:after="0"/>
        <w:rPr>
          <w:rFonts w:ascii="Times New Roman" w:hAnsi="Times New Roman"/>
        </w:rPr>
      </w:pPr>
      <w:bookmarkStart w:id="21" w:name="_Toc133502475"/>
      <w:bookmarkStart w:id="22" w:name="_Toc130406163"/>
      <w:r>
        <w:rPr>
          <w:rFonts w:cs="Times New Roman" w:ascii="Times New Roman" w:hAnsi="Times New Roman"/>
        </w:rPr>
        <w:t>Таблица 1. Перечень объектов Заказчика</w:t>
      </w:r>
      <w:bookmarkEnd w:id="21"/>
      <w:bookmarkEnd w:id="22"/>
    </w:p>
    <w:tbl>
      <w:tblPr>
        <w:tblW w:w="9967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8"/>
        <w:gridCol w:w="2974"/>
        <w:gridCol w:w="3260"/>
        <w:gridCol w:w="3164"/>
      </w:tblGrid>
      <w:tr>
        <w:trPr>
          <w:tblHeader w:val="true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 xml:space="preserve">Расположение объекта </w:t>
            </w:r>
            <w:r>
              <w:rPr>
                <w:b/>
                <w:iCs/>
                <w:sz w:val="24"/>
                <w:szCs w:val="24"/>
              </w:rPr>
              <w:t>(место поставки МТР, производства работ,)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Наименование основного средства (в отношении которого выполняются работы)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lineRule="auto" w:line="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left"/>
              <w:rPr>
                <w:rFonts w:ascii="Times New Roman" w:hAnsi="Times New Roman"/>
              </w:rPr>
            </w:pPr>
            <w:r>
              <w:rPr>
                <w:iCs/>
                <w:sz w:val="24"/>
                <w:szCs w:val="24"/>
              </w:rPr>
              <w:t>Исполнительный аппарат ПАО «РусГидро», Центр обработки данных М9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-1"/>
              <w:widowControl/>
              <w:suppressAutoHyphens w:val="tru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rFonts w:eastAsia="Times New Roman" w:cs=""/>
                <w:iCs/>
                <w:kern w:val="2"/>
                <w:sz w:val="24"/>
                <w:szCs w:val="24"/>
                <w:lang w:val="ru-RU" w:eastAsia="en-US" w:bidi="ar-SA"/>
              </w:rPr>
              <w:t>ЦОД М9, арендуемое помещение у ПАО «Ростелеком»: 117485, г. Москва.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 xml:space="preserve">Программно-аппаратный комплекс Корпоративного центра обнаружения, предупреждения и ликвидации последствий компьютерных атак </w:t>
            </w:r>
            <w:r>
              <w:rPr>
                <w:iCs/>
                <w:sz w:val="24"/>
                <w:szCs w:val="24"/>
              </w:rPr>
              <w:t>ПАО «РусГидро» (инв. 10104010000000850000)</w:t>
            </w:r>
          </w:p>
        </w:tc>
      </w:tr>
    </w:tbl>
    <w:p>
      <w:pPr>
        <w:pStyle w:val="Heading4"/>
        <w:numPr>
          <w:ilvl w:val="1"/>
          <w:numId w:val="3"/>
        </w:numPr>
        <w:spacing w:lineRule="auto" w:line="240" w:before="0" w:after="0"/>
        <w:ind w:firstLine="709" w:left="0"/>
        <w:jc w:val="both"/>
        <w:rPr>
          <w:rFonts w:ascii="Times New Roman" w:hAnsi="Times New Roman"/>
        </w:rPr>
      </w:pPr>
      <w:bookmarkStart w:id="23" w:name="_Toc184013319"/>
      <w:bookmarkStart w:id="24" w:name="_Toc240301844"/>
      <w:bookmarkStart w:id="25" w:name="_Toc240373579"/>
      <w:bookmarkStart w:id="26" w:name="_Hlk49857604"/>
      <w:bookmarkStart w:id="27" w:name="_Toc46743509"/>
      <w:r>
        <w:rPr/>
        <w:t xml:space="preserve">Информация в отношении исполнения договора, </w:t>
      </w:r>
      <w:bookmarkStart w:id="28" w:name="_Hlk46492347"/>
      <w:r>
        <w:rPr/>
        <w:t xml:space="preserve">которая должна быть учтена при подготовке заявки </w:t>
      </w:r>
      <w:bookmarkEnd w:id="28"/>
      <w:r>
        <w:rPr/>
        <w:t>(в том числе перечень ресурсов, услуг и документов, предоставляемых заказчиком на этапе исполнения договора)</w:t>
      </w:r>
      <w:bookmarkEnd w:id="23"/>
      <w:bookmarkEnd w:id="24"/>
      <w:bookmarkEnd w:id="25"/>
      <w:bookmarkEnd w:id="26"/>
      <w:bookmarkEnd w:id="27"/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sz w:val="24"/>
          <w:szCs w:val="24"/>
        </w:rPr>
        <w:t>Заказчик в ответ на запрос Подрядчика</w:t>
      </w:r>
      <w:r>
        <w:rPr>
          <w:rFonts w:eastAsia="Calibri"/>
          <w:bCs/>
          <w:sz w:val="24"/>
          <w:szCs w:val="24"/>
          <w:lang w:eastAsia="x-none"/>
        </w:rPr>
        <w:t xml:space="preserve"> предоставляет ему следующие исходные данные (при необходимости):</w:t>
      </w:r>
    </w:p>
    <w:p>
      <w:pPr>
        <w:pStyle w:val="ListParagraph"/>
        <w:numPr>
          <w:ilvl w:val="0"/>
          <w:numId w:val="8"/>
        </w:numPr>
        <w:spacing w:before="0" w:after="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Перечень оборудования </w:t>
      </w:r>
      <w:r>
        <w:rPr>
          <w:rFonts w:cs="Times New Roman" w:ascii="Times New Roman" w:hAnsi="Times New Roman"/>
          <w:lang w:eastAsia="x-none"/>
        </w:rPr>
        <w:t>Системы</w:t>
      </w:r>
      <w:r>
        <w:rPr>
          <w:rFonts w:cs="Times New Roman" w:ascii="Times New Roman" w:hAnsi="Times New Roman"/>
        </w:rPr>
        <w:t>, входящей в состав ЦОД и планируемой к использованию;</w:t>
      </w:r>
    </w:p>
    <w:p>
      <w:pPr>
        <w:pStyle w:val="ListParagraph"/>
        <w:numPr>
          <w:ilvl w:val="0"/>
          <w:numId w:val="8"/>
        </w:numPr>
        <w:spacing w:before="0" w:after="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План IP-адресации ЦОД в части необходимой для функционирования Системы.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eastAsia="Calibri"/>
          <w:bCs/>
          <w:sz w:val="24"/>
          <w:szCs w:val="24"/>
          <w:lang w:eastAsia="x-none"/>
        </w:rPr>
        <w:t>Заказчик обеспечивает:</w:t>
      </w:r>
    </w:p>
    <w:p>
      <w:pPr>
        <w:pStyle w:val="ListParagraph"/>
        <w:numPr>
          <w:ilvl w:val="0"/>
          <w:numId w:val="13"/>
        </w:numPr>
        <w:spacing w:before="0" w:after="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Cs/>
          <w:lang w:eastAsia="x-none"/>
        </w:rPr>
        <w:t>Первоначальную настройку (при необходимости) сетевого и серверного оборудования, на котором планируется разворачивание Системы, выделение необходимых учетных записей для осуществления интеграции.</w:t>
      </w:r>
    </w:p>
    <w:p>
      <w:pPr>
        <w:pStyle w:val="ListParagraph"/>
        <w:numPr>
          <w:ilvl w:val="0"/>
          <w:numId w:val="13"/>
        </w:numPr>
        <w:spacing w:before="0" w:after="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Cs/>
          <w:lang w:eastAsia="x-none"/>
        </w:rPr>
        <w:t xml:space="preserve">Рабочее место для сотрудников Подрядчика </w:t>
      </w:r>
      <w:r>
        <w:rPr>
          <w:rFonts w:cs="Times New Roman" w:ascii="Times New Roman" w:hAnsi="Times New Roman"/>
        </w:rPr>
        <w:t xml:space="preserve">в ЦОД </w:t>
      </w:r>
      <w:r>
        <w:rPr>
          <w:rFonts w:cs="Times New Roman" w:ascii="Times New Roman" w:hAnsi="Times New Roman"/>
          <w:bCs/>
          <w:lang w:eastAsia="x-none"/>
        </w:rPr>
        <w:t>с возможностью подключения к КСПД ПАО «РусГидро» на период проведения пусконаладочных работ.</w:t>
      </w:r>
    </w:p>
    <w:p>
      <w:pPr>
        <w:pStyle w:val="Heading1"/>
        <w:numPr>
          <w:ilvl w:val="0"/>
          <w:numId w:val="3"/>
        </w:numPr>
        <w:spacing w:lineRule="auto" w:line="240" w:before="0" w:after="0"/>
        <w:ind w:firstLine="709" w:left="0"/>
        <w:jc w:val="both"/>
        <w:rPr>
          <w:rFonts w:ascii="Times New Roman" w:hAnsi="Times New Roman"/>
        </w:rPr>
      </w:pPr>
      <w:bookmarkStart w:id="29" w:name="_Toc240373580"/>
      <w:bookmarkStart w:id="30" w:name="_Toc184013320"/>
      <w:bookmarkStart w:id="31" w:name="_Toc51339693"/>
      <w:bookmarkStart w:id="32" w:name="_Toc240301845"/>
      <w:bookmarkStart w:id="33" w:name="_Toc46743510"/>
      <w:bookmarkStart w:id="34" w:name="_Toc50125126"/>
      <w:bookmarkEnd w:id="33"/>
      <w:bookmarkEnd w:id="34"/>
      <w:r>
        <w:rPr>
          <w:sz w:val="24"/>
          <w:szCs w:val="24"/>
        </w:rPr>
        <w:t>Требования к продукции</w:t>
      </w:r>
      <w:bookmarkEnd w:id="29"/>
      <w:bookmarkEnd w:id="30"/>
      <w:bookmarkEnd w:id="31"/>
      <w:bookmarkEnd w:id="32"/>
    </w:p>
    <w:p>
      <w:pPr>
        <w:pStyle w:val="Heading4"/>
        <w:numPr>
          <w:ilvl w:val="1"/>
          <w:numId w:val="3"/>
        </w:numPr>
        <w:spacing w:lineRule="auto" w:line="240" w:before="0" w:after="0"/>
        <w:ind w:firstLine="709" w:left="0"/>
        <w:rPr>
          <w:rFonts w:ascii="Times New Roman" w:hAnsi="Times New Roman"/>
        </w:rPr>
      </w:pPr>
      <w:bookmarkStart w:id="35" w:name="_Toc184013321"/>
      <w:bookmarkStart w:id="36" w:name="_Toc240373581"/>
      <w:bookmarkStart w:id="37" w:name="_Toc240301846"/>
      <w:r>
        <w:rPr/>
        <w:t xml:space="preserve">Требования </w:t>
      </w:r>
      <w:r>
        <w:rPr>
          <w:lang w:val="ru-RU"/>
        </w:rPr>
        <w:t>по</w:t>
      </w:r>
      <w:r>
        <w:rPr/>
        <w:t xml:space="preserve"> объемам и срокам</w:t>
      </w:r>
      <w:bookmarkEnd w:id="35"/>
      <w:bookmarkEnd w:id="36"/>
      <w:bookmarkEnd w:id="37"/>
    </w:p>
    <w:p>
      <w:pPr>
        <w:pStyle w:val="Heading3"/>
        <w:numPr>
          <w:ilvl w:val="2"/>
          <w:numId w:val="3"/>
        </w:numPr>
        <w:spacing w:lineRule="auto" w:line="240" w:before="0" w:after="0"/>
        <w:ind w:firstLine="709" w:left="0"/>
        <w:rPr>
          <w:rFonts w:ascii="Times New Roman" w:hAnsi="Times New Roman"/>
        </w:rPr>
      </w:pPr>
      <w:bookmarkStart w:id="38" w:name="_Toc184013322"/>
      <w:bookmarkStart w:id="39" w:name="_Toc240373582"/>
      <w:bookmarkStart w:id="40" w:name="_Toc240301847"/>
      <w:r>
        <w:rPr/>
        <w:t xml:space="preserve">Требования к видам и объемам поставок МТР, </w:t>
      </w:r>
      <w:r>
        <w:rPr>
          <w:lang w:val="ru-RU"/>
        </w:rPr>
        <w:t xml:space="preserve">выполняемых </w:t>
      </w:r>
      <w:r>
        <w:rPr/>
        <w:t>работ</w:t>
      </w:r>
      <w:bookmarkEnd w:id="38"/>
      <w:bookmarkEnd w:id="39"/>
      <w:bookmarkEnd w:id="40"/>
    </w:p>
    <w:p>
      <w:pPr>
        <w:pStyle w:val="Tn1"/>
        <w:spacing w:before="0" w:after="0"/>
        <w:rPr>
          <w:rFonts w:ascii="Times New Roman" w:hAnsi="Times New Roman"/>
        </w:rPr>
      </w:pPr>
      <w:bookmarkStart w:id="41" w:name="_Toc133502480"/>
      <w:bookmarkStart w:id="42" w:name="_Toc130406168"/>
      <w:bookmarkStart w:id="43" w:name="_Toc51339695"/>
      <w:r>
        <w:rPr>
          <w:rFonts w:cs="Times New Roman" w:ascii="Times New Roman" w:hAnsi="Times New Roman"/>
          <w:szCs w:val="24"/>
        </w:rPr>
        <w:t xml:space="preserve">Таблица 2.1 Перечень и объем </w:t>
      </w:r>
      <w:bookmarkEnd w:id="43"/>
      <w:r>
        <w:rPr>
          <w:rFonts w:cs="Times New Roman" w:ascii="Times New Roman" w:hAnsi="Times New Roman"/>
          <w:szCs w:val="24"/>
        </w:rPr>
        <w:t>выполняемых работ</w:t>
      </w:r>
      <w:bookmarkEnd w:id="41"/>
      <w:bookmarkEnd w:id="42"/>
    </w:p>
    <w:tbl>
      <w:tblPr>
        <w:tblW w:w="10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9"/>
        <w:gridCol w:w="5954"/>
        <w:gridCol w:w="1782"/>
        <w:gridCol w:w="1760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технорабочего проекта по созданию Системы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комплект документации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Реализация технорабочего проекта по созданию Системы и проведение предварительных испытаний</w:t>
            </w:r>
          </w:p>
        </w:tc>
        <w:tc>
          <w:tcPr>
            <w:tcW w:w="17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комплект документации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Ввод Системы в опытную и в промышленную эксплуатации</w:t>
            </w:r>
          </w:p>
        </w:tc>
        <w:tc>
          <w:tcPr>
            <w:tcW w:w="17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комплект документации</w:t>
            </w:r>
          </w:p>
        </w:tc>
        <w:tc>
          <w:tcPr>
            <w:tcW w:w="1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Tn1"/>
        <w:spacing w:before="0" w:after="0"/>
        <w:rPr>
          <w:rFonts w:ascii="Times New Roman" w:hAnsi="Times New Roman" w:cs="Times New Roman"/>
          <w:szCs w:val="24"/>
          <w:lang w:val="x-none"/>
        </w:rPr>
      </w:pPr>
      <w:r>
        <w:rPr>
          <w:rFonts w:cs="Times New Roman" w:ascii="Times New Roman" w:hAnsi="Times New Roman"/>
          <w:szCs w:val="24"/>
          <w:lang w:val="x-none"/>
        </w:rPr>
      </w:r>
      <w:bookmarkStart w:id="44" w:name="_Toc133502481"/>
      <w:bookmarkStart w:id="45" w:name="_Toc51955658"/>
      <w:bookmarkStart w:id="46" w:name="_Toc130406169"/>
      <w:bookmarkStart w:id="47" w:name="_Toc133502481"/>
      <w:bookmarkStart w:id="48" w:name="_Toc51955658"/>
      <w:bookmarkStart w:id="49" w:name="_Toc130406169"/>
      <w:bookmarkEnd w:id="47"/>
      <w:bookmarkEnd w:id="48"/>
      <w:bookmarkEnd w:id="49"/>
    </w:p>
    <w:p>
      <w:pPr>
        <w:pStyle w:val="Tn1"/>
        <w:spacing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Cs w:val="24"/>
          <w:lang w:eastAsia="ru-RU"/>
        </w:rPr>
        <w:t>Таблица 2.2. Перечень и объем закупаемых МТР</w:t>
      </w:r>
    </w:p>
    <w:tbl>
      <w:tblPr>
        <w:tblW w:w="1020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1"/>
        <w:gridCol w:w="5971"/>
        <w:gridCol w:w="1783"/>
        <w:gridCol w:w="1754"/>
      </w:tblGrid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-2"/>
              <w:widowControl w:val="false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-2"/>
              <w:widowControl w:val="false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МТР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-2"/>
              <w:widowControl w:val="false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-2"/>
              <w:widowControl w:val="false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en-US"/>
              </w:rPr>
              <w:t>4</w:t>
            </w:r>
          </w:p>
        </w:tc>
      </w:tr>
      <w:tr>
        <w:trPr>
          <w:trHeight w:val="154" w:hRule="atLeast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11"/>
              <w:widowControl w:val="false"/>
              <w:tabs>
                <w:tab w:val="clear" w:pos="0"/>
              </w:tabs>
              <w:ind w:hanging="0" w:left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</w:rPr>
              <w:t>1.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13"/>
              <w:widowControl w:val="false"/>
              <w:numPr>
                <w:ilvl w:val="0"/>
                <w:numId w:val="0"/>
              </w:numPr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Передача прав использования ПО (бессрочная лицензия), либо эквивалент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1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Конкретный объем закупаемых МТР будет определен по результатам разработки технорабочего проекта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numPr>
          <w:ilvl w:val="2"/>
          <w:numId w:val="3"/>
        </w:numPr>
        <w:tabs>
          <w:tab w:val="clear" w:pos="708"/>
          <w:tab w:val="left" w:pos="360" w:leader="none"/>
        </w:tabs>
        <w:ind w:firstLine="709" w:left="0"/>
        <w:rPr>
          <w:rFonts w:ascii="Times New Roman" w:hAnsi="Times New Roman"/>
        </w:rPr>
      </w:pPr>
      <w:bookmarkStart w:id="50" w:name="_Toc130406170"/>
      <w:r>
        <w:rPr>
          <w:b/>
          <w:sz w:val="24"/>
          <w:szCs w:val="24"/>
          <w:lang w:val="x-none"/>
        </w:rPr>
        <w:t xml:space="preserve">Требования к срокам </w:t>
      </w:r>
      <w:r>
        <w:rPr>
          <w:b/>
          <w:sz w:val="24"/>
          <w:szCs w:val="24"/>
        </w:rPr>
        <w:t>в</w:t>
      </w:r>
      <w:r>
        <w:rPr>
          <w:b/>
          <w:sz w:val="24"/>
          <w:szCs w:val="24"/>
          <w:lang w:val="x-none"/>
        </w:rPr>
        <w:t>ыполнени</w:t>
      </w:r>
      <w:r>
        <w:rPr>
          <w:b/>
          <w:sz w:val="24"/>
          <w:szCs w:val="24"/>
        </w:rPr>
        <w:t xml:space="preserve">я </w:t>
      </w:r>
      <w:r>
        <w:rPr>
          <w:b/>
          <w:sz w:val="24"/>
          <w:szCs w:val="24"/>
          <w:lang w:val="x-none"/>
        </w:rPr>
        <w:t>работ</w:t>
      </w:r>
      <w:r>
        <w:rPr>
          <w:b/>
          <w:sz w:val="24"/>
          <w:szCs w:val="24"/>
        </w:rPr>
        <w:t xml:space="preserve"> и поставки МТР</w:t>
      </w:r>
      <w:bookmarkEnd w:id="50"/>
    </w:p>
    <w:p>
      <w:pPr>
        <w:pStyle w:val="Tn1"/>
        <w:spacing w:before="0" w:after="0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 xml:space="preserve">Таблица 3.1 Требования по срокам выполнения работ / оказания услуг </w:t>
      </w:r>
    </w:p>
    <w:tbl>
      <w:tblPr>
        <w:tblW w:w="991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5"/>
        <w:gridCol w:w="4143"/>
        <w:gridCol w:w="2693"/>
        <w:gridCol w:w="2403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Наименование работ / услуг (вид / этап (работ/ услуг)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471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Разработка технорабочего проекта по созданию Системы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Х</w:t>
            </w:r>
            <w:r>
              <w:rPr>
                <w:rStyle w:val="FootnoteReference"/>
                <w:rFonts w:eastAsia="Calibri"/>
                <w:sz w:val="24"/>
                <w:szCs w:val="24"/>
              </w:rPr>
              <w:footnoteReference w:id="5"/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Х+3 мес.</w:t>
            </w:r>
          </w:p>
        </w:tc>
      </w:tr>
      <w:tr>
        <w:trPr>
          <w:trHeight w:val="1446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sz w:val="24"/>
                <w:szCs w:val="24"/>
                <w:lang w:eastAsia="x-none"/>
              </w:rPr>
              <w:t xml:space="preserve">Реализация технорабочего проекта по созданию Системы и </w:t>
            </w:r>
            <w:r>
              <w:rPr>
                <w:sz w:val="24"/>
                <w:szCs w:val="24"/>
              </w:rPr>
              <w:t>проведение предварительных испытаний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Х+</w:t>
            </w:r>
            <w:r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Х+6 мес.</w:t>
            </w:r>
          </w:p>
        </w:tc>
      </w:tr>
      <w:tr>
        <w:trPr>
          <w:trHeight w:val="1446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sz w:val="24"/>
                <w:szCs w:val="24"/>
                <w:lang w:eastAsia="x-none"/>
              </w:rPr>
              <w:t>Ввод Системы в опытную и в промышленную эксплуатации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Х+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мес.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Х+7 мес.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Caption1111111"/>
        <w:keepNext w:val="true"/>
        <w:jc w:val="right"/>
        <w:rPr>
          <w:rFonts w:ascii="Times New Roman" w:hAnsi="Times New Roman"/>
        </w:rPr>
      </w:pPr>
      <w:r>
        <w:rPr>
          <w:b w:val="false"/>
          <w:color w:val="auto"/>
          <w:sz w:val="24"/>
          <w:szCs w:val="24"/>
        </w:rPr>
        <w:t>Таблица 3.2 Требования по срокам поставки лицензий</w:t>
      </w:r>
    </w:p>
    <w:tbl>
      <w:tblPr>
        <w:tblW w:w="991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5"/>
        <w:gridCol w:w="4143"/>
        <w:gridCol w:w="2693"/>
        <w:gridCol w:w="2403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Наименование работ / услуг (вид / этап (работ/ услуг)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Требования к началу срока поставки лицензий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поставки лицензий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rFonts w:ascii="Times New Roman" w:hAnsi="Times New Roman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Передача прав использования ПО (бессрочная лицензия), либо эквивалент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 xml:space="preserve">Х </w:t>
            </w:r>
            <w:r>
              <w:rPr>
                <w:sz w:val="24"/>
                <w:szCs w:val="24"/>
              </w:rPr>
              <w:t>+ 3</w:t>
            </w:r>
            <w:r>
              <w:rPr>
                <w:sz w:val="24"/>
                <w:szCs w:val="24"/>
              </w:rPr>
              <w:t xml:space="preserve"> мес.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Х+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мес.</w:t>
            </w:r>
          </w:p>
        </w:tc>
      </w:tr>
    </w:tbl>
    <w:p>
      <w:pPr>
        <w:sectPr>
          <w:headerReference w:type="default" r:id="rId2"/>
          <w:headerReference w:type="first" r:id="rId3"/>
          <w:footerReference w:type="default" r:id="rId4"/>
          <w:footerReference w:type="first" r:id="rId5"/>
          <w:footnotePr>
            <w:numFmt w:val="decimal"/>
            <w:numRestart w:val="eachPage"/>
          </w:footnotePr>
          <w:type w:val="nextPage"/>
          <w:pgSz w:w="11906" w:h="16838"/>
          <w:pgMar w:left="1134" w:right="851" w:gutter="0" w:header="567" w:top="851" w:footer="567" w:bottom="1134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spacing w:before="0" w:after="0"/>
        <w:ind w:firstLine="709" w:left="0"/>
        <w:rPr>
          <w:rFonts w:ascii="Times New Roman" w:hAnsi="Times New Roman"/>
        </w:rPr>
      </w:pPr>
      <w:bookmarkStart w:id="51" w:name="_Toc184013323"/>
      <w:bookmarkStart w:id="52" w:name="_Toc240301848"/>
      <w:bookmarkStart w:id="53" w:name="_Toc240373583"/>
      <w:bookmarkStart w:id="54" w:name="_Toc130406169_Копия_1"/>
      <w:bookmarkStart w:id="55" w:name="_Toc46743510_Копия_1"/>
      <w:bookmarkStart w:id="56" w:name="_Toc133502481_Копия_1"/>
      <w:bookmarkStart w:id="57" w:name="_Toc50125126_Копия_1"/>
      <w:bookmarkStart w:id="58" w:name="_Toc51955658_Копия_1"/>
      <w:bookmarkEnd w:id="54"/>
      <w:bookmarkEnd w:id="55"/>
      <w:bookmarkEnd w:id="56"/>
      <w:bookmarkEnd w:id="57"/>
      <w:bookmarkEnd w:id="58"/>
      <w:r>
        <w:rPr/>
        <w:t>Требования к качеству продукции</w:t>
      </w:r>
      <w:bookmarkEnd w:id="51"/>
      <w:bookmarkEnd w:id="52"/>
      <w:bookmarkEnd w:id="53"/>
    </w:p>
    <w:p>
      <w:pPr>
        <w:pStyle w:val="Tn1"/>
        <w:spacing w:lineRule="auto" w:line="276"/>
        <w:rPr>
          <w:rFonts w:ascii="Times New Roman" w:hAnsi="Times New Roman"/>
        </w:rPr>
      </w:pPr>
      <w:bookmarkStart w:id="59" w:name="_Toc133502486"/>
      <w:bookmarkStart w:id="60" w:name="_Toc130406174"/>
      <w:bookmarkStart w:id="61" w:name="_Toc50125131"/>
      <w:bookmarkStart w:id="62" w:name="_Toc51339698"/>
      <w:r>
        <w:rPr>
          <w:rFonts w:cs="Times New Roman" w:ascii="Times New Roman" w:hAnsi="Times New Roman"/>
        </w:rPr>
        <w:t xml:space="preserve">Таблица 4. Требования к </w:t>
      </w:r>
      <w:bookmarkEnd w:id="61"/>
      <w:bookmarkEnd w:id="62"/>
      <w:r>
        <w:rPr>
          <w:rFonts w:cs="Times New Roman" w:ascii="Times New Roman" w:hAnsi="Times New Roman"/>
        </w:rPr>
        <w:t>качеству продукции</w:t>
      </w:r>
      <w:bookmarkEnd w:id="59"/>
      <w:bookmarkEnd w:id="60"/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napToGrid w:val="false"/>
        <w:spacing w:lineRule="auto" w:line="276" w:before="0" w:after="120"/>
        <w:jc w:val="both"/>
        <w:rPr>
          <w:rFonts w:ascii="Times New Roman" w:hAnsi="Times New Roman"/>
        </w:rPr>
      </w:pPr>
      <w:r>
        <w:rPr>
          <w:b/>
          <w:bCs/>
          <w:sz w:val="24"/>
          <w:szCs w:val="24"/>
        </w:rPr>
        <w:t xml:space="preserve">Наименование продукции (МТР, работ, этапа работ): </w:t>
      </w:r>
      <w:r>
        <w:rPr>
          <w:bCs/>
          <w:sz w:val="24"/>
          <w:szCs w:val="24"/>
        </w:rPr>
        <w:t>все позиции Таблиц 2.1 и 2.2.</w:t>
      </w:r>
      <w:r>
        <w:br w:type="page"/>
      </w:r>
    </w:p>
    <w:tbl>
      <w:tblPr>
        <w:tblStyle w:val="afffff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54"/>
        <w:gridCol w:w="2842"/>
        <w:gridCol w:w="38"/>
        <w:gridCol w:w="4187"/>
        <w:gridCol w:w="2039"/>
        <w:gridCol w:w="2225"/>
        <w:gridCol w:w="2040"/>
      </w:tblGrid>
      <w:tr>
        <w:trPr/>
        <w:tc>
          <w:tcPr>
            <w:tcW w:w="1754" w:type="dxa"/>
            <w:vMerge w:val="restart"/>
            <w:tcBorders/>
            <w:vAlign w:val="center"/>
          </w:tcPr>
          <w:p>
            <w:pPr>
              <w:pStyle w:val="Normal"/>
              <w:pageBreakBefore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8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параметра</w:t>
            </w:r>
          </w:p>
        </w:tc>
        <w:tc>
          <w:tcPr>
            <w:tcW w:w="4225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Требование Заказчика</w:t>
            </w:r>
          </w:p>
        </w:tc>
        <w:tc>
          <w:tcPr>
            <w:tcW w:w="426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4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75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225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Согласие с требованием/ указание характеристик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2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422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22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20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6</w:t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выполнению работ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70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Общие требования к выполнению работ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422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391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При разработке </w:t>
            </w:r>
            <w:r>
              <w:rPr>
                <w:kern w:val="0"/>
                <w:sz w:val="24"/>
                <w:szCs w:val="24"/>
                <w:lang w:val="ru-RU" w:bidi="ar-SA"/>
              </w:rPr>
              <w:t>технорабочего проекта Подрядчик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должен руководствоваться требованиями: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391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1) Федеральный закон от 27.07.2006 №149-ФЗ «Об информации, информационных технологиях и о защите информации»;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391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2) Выполнение работ и разработка документации так же может осуществляться с использованием методологий и рекомендаций стандартов, а также передовых практик по организации управления ИТ-услугами и процессами ИБ: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391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- </w:t>
            </w:r>
            <w:r>
              <w:rPr>
                <w:iCs/>
                <w:kern w:val="0"/>
                <w:sz w:val="24"/>
                <w:szCs w:val="24"/>
                <w:lang w:val="en-US" w:bidi="ar-SA"/>
              </w:rPr>
              <w:t>ITSM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(современная концепция организации ИТ-услуг);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391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- </w:t>
            </w:r>
            <w:r>
              <w:rPr>
                <w:iCs/>
                <w:kern w:val="0"/>
                <w:sz w:val="24"/>
                <w:szCs w:val="24"/>
                <w:lang w:val="en-US" w:bidi="ar-SA"/>
              </w:rPr>
              <w:t>ITIL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(библиотека лучших практик управления ИТ);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391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 ГОСТ/</w:t>
            </w:r>
            <w:r>
              <w:rPr>
                <w:iCs/>
                <w:kern w:val="0"/>
                <w:sz w:val="24"/>
                <w:szCs w:val="24"/>
                <w:lang w:val="en-US" w:bidi="ar-SA"/>
              </w:rPr>
              <w:t>ISO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20000 (стандарты управления и обслуживания ИТ-услуг);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391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- </w:t>
            </w:r>
            <w:r>
              <w:rPr>
                <w:iCs/>
                <w:kern w:val="0"/>
                <w:sz w:val="24"/>
                <w:szCs w:val="24"/>
                <w:lang w:val="en-US" w:bidi="ar-SA"/>
              </w:rPr>
              <w:t>COBIT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(методология управления ИТ);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391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 ГОСТ Р ИСО/МЭК 2700</w:t>
            </w:r>
            <w:r>
              <w:rPr>
                <w:iCs/>
                <w:kern w:val="0"/>
                <w:sz w:val="24"/>
                <w:szCs w:val="24"/>
                <w:lang w:val="en-US" w:bidi="ar-SA"/>
              </w:rPr>
              <w:t>X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/</w:t>
            </w:r>
            <w:r>
              <w:rPr>
                <w:iCs/>
                <w:kern w:val="0"/>
                <w:sz w:val="24"/>
                <w:szCs w:val="24"/>
                <w:lang w:val="en-US" w:bidi="ar-SA"/>
              </w:rPr>
              <w:t>ISO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2700</w:t>
            </w:r>
            <w:r>
              <w:rPr>
                <w:iCs/>
                <w:kern w:val="0"/>
                <w:sz w:val="24"/>
                <w:szCs w:val="24"/>
                <w:lang w:val="en-US" w:bidi="ar-SA"/>
              </w:rPr>
              <w:t>X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(международные стандарты по информационной безопасности).</w:t>
            </w:r>
          </w:p>
        </w:tc>
        <w:tc>
          <w:tcPr>
            <w:tcW w:w="2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bookmarkStart w:id="63" w:name="_Toc133502487"/>
            <w:bookmarkStart w:id="64" w:name="_Toc130406175"/>
            <w:bookmarkStart w:id="65" w:name="_Toc137126363"/>
            <w:r>
              <w:rPr>
                <w:iCs/>
                <w:kern w:val="0"/>
                <w:sz w:val="24"/>
                <w:szCs w:val="24"/>
                <w:lang w:val="ru-RU" w:bidi="ar-SA"/>
              </w:rPr>
              <w:t>-</w:t>
            </w:r>
            <w:bookmarkEnd w:id="63"/>
            <w:bookmarkEnd w:id="64"/>
            <w:bookmarkEnd w:id="65"/>
          </w:p>
        </w:tc>
        <w:tc>
          <w:tcPr>
            <w:tcW w:w="20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организации работ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Организационно-технические мероприятия при выполнении работ</w:t>
            </w:r>
          </w:p>
        </w:tc>
        <w:tc>
          <w:tcPr>
            <w:tcW w:w="422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При выполнении работ Подрядчик должен соблюдать требования в отношении соблюдения конфиденциальности, правил пропускного и внутриобъектового режима заказчика, техники безопасности, пожарной и промышленной и информационной безопасности, охраны окружающей среды при выполнении работ.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422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Допуск персонала подрядчика для выполнения работ должен осуществляется в соответствии с «Временным положением о допуске персонала строительно-монтажных организаций и командированного персонала к выполнению работ на объектах ПАО «РусГидро».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Подготовку рабочих мест и допуск к выполнению работ выполняет персонал Заказчика.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bookmarkStart w:id="66" w:name="_Toc137126365"/>
            <w:bookmarkStart w:id="67" w:name="_Toc130406177"/>
            <w:bookmarkStart w:id="68" w:name="_Toc133502489"/>
            <w:r>
              <w:rPr>
                <w:iCs/>
                <w:kern w:val="0"/>
                <w:sz w:val="24"/>
                <w:szCs w:val="24"/>
                <w:lang w:val="ru-RU" w:bidi="ar-SA"/>
              </w:rPr>
              <w:t>-</w:t>
            </w:r>
            <w:bookmarkEnd w:id="66"/>
            <w:bookmarkEnd w:id="67"/>
            <w:bookmarkEnd w:id="68"/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Требования к информационной безопасности</w:t>
            </w:r>
          </w:p>
        </w:tc>
        <w:tc>
          <w:tcPr>
            <w:tcW w:w="422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Требования к информационной безопасности должны обеспечиваться с учетом всех сторон, вовлеченных в процессы жизненного цикла (разработчиков, заказчиков, поставщиков продуктов и услуг, эксплуатирующих и надзорных подразделений Общества).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5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МТР, поставляемым подрядчиком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tabs>
                <w:tab w:val="clear" w:pos="708"/>
                <w:tab w:val="left" w:pos="25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ПО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2.1.1.</w:t>
            </w:r>
          </w:p>
        </w:tc>
        <w:tc>
          <w:tcPr>
            <w:tcW w:w="2880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ПО</w:t>
            </w:r>
          </w:p>
        </w:tc>
        <w:tc>
          <w:tcPr>
            <w:tcW w:w="4187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Предварительное количество пользователей Системы — 1600 человек.</w:t>
            </w:r>
          </w:p>
        </w:tc>
        <w:tc>
          <w:tcPr>
            <w:tcW w:w="2039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tabs>
                <w:tab w:val="clear" w:pos="708"/>
                <w:tab w:val="left" w:pos="25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03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4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tabs>
                <w:tab w:val="clear" w:pos="708"/>
                <w:tab w:val="left" w:pos="25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Требования к приемке и испытаниям</w:t>
            </w:r>
          </w:p>
        </w:tc>
        <w:tc>
          <w:tcPr>
            <w:tcW w:w="422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По завершении работ по вводу Системы в эксплуатацию, комиссией из представителей Подрядчика и Заказчика проводятся ПСИ в соответствии с разработанной Подрядчиком ПМИ. Оформляется протокол о завершении предварительных испытаний с заключением о готовности Объекта к опытной эксплуатации. В случае успешного завершения Система принимается в опытную эксплуатацию на период не менее 1 (одного) месяца, затем оформляется акт о завершении опытной эксплуатации Объекта с приложением акта о готовности Объекта к приемочным испытаниям, по результатам которого и на основании очередных ПСИ принимается решение о вводе Системы в промышленную эксплуатацию с оформлением протокола приемочных испытаний Объекта с приложением Акта о готовности функционала Объекта</w:t>
            </w:r>
            <w:r>
              <w:rPr>
                <w:kern w:val="0"/>
                <w:lang w:val="ru-RU" w:bidi="ar-SA"/>
              </w:rPr>
              <w:t xml:space="preserve"> 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к промышленной эксплуатации.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bCs/>
                <w:kern w:val="0"/>
                <w:sz w:val="24"/>
                <w:szCs w:val="24"/>
                <w:lang w:val="en-US" w:bidi="ar-SA"/>
              </w:rPr>
              <w:t>Прочие требования к МТР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Требования к происхождению поставляемой продукции</w:t>
            </w:r>
          </w:p>
        </w:tc>
        <w:tc>
          <w:tcPr>
            <w:tcW w:w="422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Поставляемое ПО должно быть включено в реестр Российского ПО, предусмотренный Постановлением Правительства РФ «Об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Федерации» от 16.11.2015 № 1236.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результатам выпол</w:t>
            </w:r>
            <w:r>
              <w:rPr>
                <w:b/>
                <w:kern w:val="0"/>
                <w:sz w:val="24"/>
                <w:szCs w:val="24"/>
                <w:lang w:val="ru-RU" w:bidi="ar-SA"/>
              </w:rPr>
              <w:t>нения договора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Общие требования к результатам выполнения договора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Требования к выполнению работ по этапу «Разработка технорабочего проекта по созданию Системы»</w:t>
            </w:r>
          </w:p>
        </w:tc>
        <w:tc>
          <w:tcPr>
            <w:tcW w:w="4225" w:type="dxa"/>
            <w:gridSpan w:val="2"/>
            <w:tcBorders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Должно быть выполнено обследование Системы на основании запрошенной в соответствующем письменном запросе Подрядчика и имеющейся в наличии у Заказчика технической или иной документации.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Указанная документация и информация предоставляются Заказчиком Подрядчику не позднее 5 (пяти) рабочих дней с момента получения соответствующего запроса Подрядчика.</w:t>
              <w:br/>
              <w:t>Затем должен быть разработан Подрядчиком и согласован Заказчиком технорабочий проект на Систему, содержащий следующие обязательные тома (разделы):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ind w:firstLine="107" w:left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Пояснительная записка к технорабочему проекту;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ind w:firstLine="107" w:left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Техническое задание;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ind w:firstLine="107" w:left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Ведомость оборудования и материалов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ind w:firstLine="107" w:left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Описание комплекса технических средств и программного обеспечения;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ind w:firstLine="107" w:left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План производства работ (в т.ч. схемы L2 и L3);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ind w:firstLine="107" w:left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Кабельный журнал (</w:t>
            </w:r>
            <w:r>
              <w:rPr>
                <w:iCs/>
                <w:sz w:val="24"/>
                <w:szCs w:val="24"/>
              </w:rPr>
              <w:t>при необходимости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);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ind w:firstLine="107" w:left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Программа и методика испытаний.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Состав технорабочего проекта  должен соответствовать требованиям Приказа ПАО "РусГидро" от 02.09.2022 №654 "Об утверждении Положения о порядке приемки в эксплуатацию информационных систем".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ind w:hanging="0" w:left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Структура и предварительное содержание документов должны быть согласованы с Заказчиком до фактического представления конечных версий документов на согласование.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4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Требования к результату выполнения работ по этапу «Реализация технорабочего проекта по созданию Системы и проведение предварительных испытаний».</w:t>
            </w:r>
          </w:p>
        </w:tc>
        <w:tc>
          <w:tcPr>
            <w:tcW w:w="422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Должны быть выполнены работы по установке и адаптации Системы, проведению  предварительных испытаний.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По результатам выполненных работ, Система должна функционировать согласно технорабочему проекту.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По результатам выполненных работ комиссией из представителей Подрядчика и Заказчика проводятся ПСИ в соответствии с разработанными Подрядчиком и согласованными Заказчиком Программой и методикой предварительных испытаний.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Должна быть представлена Подрядчиком и согласована Заказчиком документация в составе: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   • 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Руководство по эксплуатации;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   • 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Руководство пользователя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   • 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Руководство администратора.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   • 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Руководство администратора ИБ.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   • 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Обучающие материалы и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инструкции.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   • 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Протоколы обучения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(при необходимости).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   • 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Руководство по обеспечению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технической поддержки и сопровождению системы.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   • 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Протокол о завершении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предварительных испытаний с заключением о готовности Объекта к опытной эксплуатации.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   • 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Реестр замечаний, выявленных в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период предварительных испытаний.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    • </w:t>
            </w:r>
            <w:r>
              <w:rPr>
                <w:iCs/>
                <w:kern w:val="0"/>
                <w:sz w:val="24"/>
                <w:szCs w:val="24"/>
                <w:lang w:val="ru-RU" w:bidi="ar-SA"/>
              </w:rPr>
              <w:t>План и протокол устранения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замечаний, выявленных в период предварительных испытаний.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Состав эксплуатационной документации должен соответствовать требованиям Приказа ПАО «РусГидро» от 02.09.2022 №654 «Об утверждении Положения о порядке приемки в эксплуатацию информационных систем».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4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Требования к результату выполнения работ по этапу «Ввод Системы в опытную и промышленную эксплуатации».</w:t>
            </w:r>
          </w:p>
        </w:tc>
        <w:tc>
          <w:tcPr>
            <w:tcW w:w="422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В случае успешного завершения предварительных испытаний Система принимается в опытную эксплуатацию на период не менее 1 (одного) месяца, затем оформляется акт о завершении опытной эксплуатации Объекта с приложением акта о готовности Объекта к приемочным испытаниям, по результатам которых и на основании очередных ПСИ принимается решение о вводе Системы в промышленную эксплуатацию с оформлением протокола приемочных испытаний Объекта с приложением Акта о готовности функционала Объекта к вводу в промышленную эксплуатации.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Должна быть представлена Подрядчиком и согласована Заказчиком документация в составе: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Руководство по эксплуатации;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Руководство пользователя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Руководство администратора.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Руководство администратора ИБ.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Обучающие материалы и инструкции.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Протоколы обучения (при необходимости).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Руководство по обеспечению технической поддержки и сопровождению системы.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Акта о готовности Объекта к приемочным испытаниям;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Протокол о завершении приемочных испытаний с заключением о готовности Объекта к промышленной эксплуатации.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Реестр замечаний, выявленных в ОПЭ.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План и протокол устранения замечаний, выявленных в период ОПЭ.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left"/>
              <w:rPr/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Акт о готовности функционала Объекта к вводу в промышленную эксплуатацию.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suppressAutoHyphens w:val="true"/>
              <w:bidi w:val="0"/>
              <w:spacing w:lineRule="auto" w:line="276" w:before="0" w:after="0"/>
              <w:ind w:hanging="340" w:left="397" w:right="0"/>
              <w:jc w:val="left"/>
              <w:rPr/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Проект Приказа о вводе Объекта в промышленную эксплуатацию.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Состав эксплуатационной документации должен соответствовать требованиям Приказа ПАО «РусГидро» от 02.09.2022 №654 «Об утверждении Положения о порядке приемки в эксплуатацию информационных систем».</w:t>
            </w:r>
          </w:p>
        </w:tc>
        <w:tc>
          <w:tcPr>
            <w:tcW w:w="203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0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техническим и функциональным характеристикам объекта, которые должны быть достигнуты в результате выполнения договора, включая гарантируемые показатели</w:t>
            </w:r>
          </w:p>
        </w:tc>
        <w:tc>
          <w:tcPr>
            <w:tcW w:w="2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17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Требования к функционалу Системы</w:t>
            </w:r>
          </w:p>
        </w:tc>
        <w:tc>
          <w:tcPr>
            <w:tcW w:w="422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Требования отражены в Приложении №2 к настоящим ТТ. Должна быть обеспечена полная технологическая совместимость с используемым в настоящее время оборудованием ЦОД и существующими информационными системами заказчика.</w:t>
            </w:r>
          </w:p>
        </w:tc>
        <w:tc>
          <w:tcPr>
            <w:tcW w:w="2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bookmarkStart w:id="69" w:name="_Toc133502493"/>
            <w:bookmarkStart w:id="70" w:name="_Toc137126369"/>
            <w:bookmarkStart w:id="71" w:name="_Toc130406181"/>
            <w:r>
              <w:rPr>
                <w:iCs/>
                <w:kern w:val="0"/>
                <w:sz w:val="24"/>
                <w:szCs w:val="24"/>
                <w:lang w:val="ru-RU" w:bidi="ar-SA"/>
              </w:rPr>
              <w:t>-</w:t>
            </w:r>
            <w:bookmarkEnd w:id="69"/>
            <w:bookmarkEnd w:id="70"/>
            <w:bookmarkEnd w:id="71"/>
          </w:p>
        </w:tc>
        <w:tc>
          <w:tcPr>
            <w:tcW w:w="20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оформлению документации</w:t>
            </w:r>
          </w:p>
        </w:tc>
        <w:tc>
          <w:tcPr>
            <w:tcW w:w="2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17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Требование к оформлению </w:t>
            </w:r>
          </w:p>
        </w:tc>
        <w:tc>
          <w:tcPr>
            <w:tcW w:w="4225" w:type="dxa"/>
            <w:gridSpan w:val="2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lineRule="auto" w:line="276" w:before="0" w:after="0"/>
              <w:ind w:hanging="284" w:left="250"/>
              <w:contextualSpacing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lang w:val="ru-RU" w:eastAsia="ru-RU" w:bidi="ar-SA"/>
              </w:rPr>
              <w:t>Технорабочий проект выполняется с учетом требований ГОСТ 34.201-2020 и ГОСТ 59795-2021.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lineRule="auto" w:line="276" w:before="0" w:after="0"/>
              <w:ind w:hanging="284" w:left="250"/>
              <w:contextualSpacing w:val="false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lang w:val="ru-RU" w:eastAsia="ru-RU" w:bidi="ar-SA"/>
              </w:rPr>
              <w:t xml:space="preserve">ПМИ выполняется с учетом требований </w:t>
            </w:r>
            <w:r>
              <w:rPr>
                <w:rFonts w:cs="Times New Roman" w:ascii="Times New Roman" w:hAnsi="Times New Roman"/>
                <w:color w:val="000000" w:themeColor="text1"/>
                <w:kern w:val="0"/>
                <w:lang w:val="ru-RU" w:eastAsia="ru-RU" w:bidi="ar-SA"/>
              </w:rPr>
              <w:t>ГОСТ 59795-2021</w:t>
            </w:r>
            <w:r>
              <w:rPr>
                <w:rFonts w:eastAsia="Times New Roman" w:cs="Times New Roman" w:ascii="Times New Roman" w:hAnsi="Times New Roman"/>
                <w:iCs/>
                <w:color w:val="000000" w:themeColor="text1"/>
                <w:kern w:val="0"/>
                <w:lang w:val="ru-RU" w:eastAsia="ru-RU" w:bidi="ar-SA"/>
              </w:rPr>
              <w:t xml:space="preserve"> и </w:t>
            </w:r>
            <w:r>
              <w:rPr>
                <w:rFonts w:cs="Times New Roman" w:ascii="Times New Roman" w:hAnsi="Times New Roman"/>
                <w:color w:val="000000" w:themeColor="text1"/>
                <w:kern w:val="0"/>
                <w:lang w:val="ru-RU" w:eastAsia="ru-RU" w:bidi="ar-SA"/>
              </w:rPr>
              <w:t>ГОСТ Р 59792–2021</w:t>
            </w:r>
            <w:r>
              <w:rPr>
                <w:rFonts w:eastAsia="Times New Roman" w:cs="Times New Roman" w:ascii="Times New Roman" w:hAnsi="Times New Roman"/>
                <w:iCs/>
                <w:color w:val="000000" w:themeColor="text1"/>
                <w:kern w:val="0"/>
                <w:lang w:val="ru-RU" w:eastAsia="ru-RU" w:bidi="ar-SA"/>
              </w:rPr>
              <w:t>.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lineRule="auto" w:line="276" w:before="0" w:after="0"/>
              <w:ind w:hanging="284" w:left="250"/>
              <w:contextualSpacing w:val="false"/>
              <w:jc w:val="both"/>
              <w:rPr>
                <w:rFonts w:ascii="Times New Roman" w:hAnsi="Times New Roman"/>
              </w:rPr>
            </w:pPr>
            <w:bookmarkStart w:id="72" w:name="_Toc237341387"/>
            <w:r>
              <w:rPr>
                <w:rFonts w:eastAsia="Times New Roman" w:cs="Times New Roman" w:ascii="Times New Roman" w:hAnsi="Times New Roman"/>
                <w:iCs/>
                <w:kern w:val="0"/>
                <w:lang w:val="ru-RU" w:eastAsia="ru-RU" w:bidi="ar-SA"/>
              </w:rPr>
              <w:t>Допускается ссылка на документацию, свободно доступную, либо поставляемую разработчиком или производителем в комплекте с оборудованием и ПО.</w:t>
            </w:r>
            <w:bookmarkEnd w:id="72"/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lineRule="auto" w:line="276" w:before="0" w:after="0"/>
              <w:ind w:hanging="284" w:left="250"/>
              <w:contextualSpacing w:val="false"/>
              <w:jc w:val="both"/>
              <w:rPr>
                <w:rFonts w:ascii="Times New Roman" w:hAnsi="Times New Roman"/>
              </w:rPr>
            </w:pPr>
            <w:bookmarkStart w:id="73" w:name="_Toc237341388"/>
            <w:r>
              <w:rPr>
                <w:rFonts w:eastAsia="Times New Roman" w:cs="Times New Roman" w:ascii="Times New Roman" w:hAnsi="Times New Roman"/>
                <w:iCs/>
                <w:kern w:val="0"/>
                <w:lang w:val="ru-RU" w:eastAsia="ru-RU" w:bidi="ar-SA"/>
              </w:rPr>
              <w:t>Вся разрабатываемая документация должна быть выполнена на русском языке. Электронные форматы предоставляемых документов: для документации (кроме схем) - Open Document Text (.ODT) или аналог, для схем - MS Visio (.VSDX) или аналог. Также вся документация предоставляется в Portable Document Format (.PDF) или аналог.</w:t>
            </w:r>
            <w:bookmarkEnd w:id="73"/>
          </w:p>
        </w:tc>
        <w:tc>
          <w:tcPr>
            <w:tcW w:w="2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bookmarkStart w:id="74" w:name="_Toc130406182"/>
            <w:bookmarkStart w:id="75" w:name="_Toc133502494"/>
            <w:bookmarkStart w:id="76" w:name="_Toc137126370"/>
            <w:r>
              <w:rPr>
                <w:iCs/>
                <w:kern w:val="0"/>
                <w:sz w:val="24"/>
                <w:szCs w:val="24"/>
                <w:lang w:val="ru-RU" w:bidi="ar-SA"/>
              </w:rPr>
              <w:t>-</w:t>
            </w:r>
            <w:bookmarkEnd w:id="74"/>
            <w:bookmarkEnd w:id="75"/>
            <w:bookmarkEnd w:id="76"/>
          </w:p>
        </w:tc>
        <w:tc>
          <w:tcPr>
            <w:tcW w:w="20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  <w:bookmarkStart w:id="77" w:name="_GoBack_Копия_1"/>
            <w:bookmarkStart w:id="78" w:name="_GoBack_Копия_1"/>
            <w:bookmarkEnd w:id="78"/>
          </w:p>
        </w:tc>
        <w:tc>
          <w:tcPr>
            <w:tcW w:w="2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Документы, передаваемые Заказчику по результатам выполненных работ</w:t>
            </w:r>
          </w:p>
        </w:tc>
        <w:tc>
          <w:tcPr>
            <w:tcW w:w="422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ind w:hanging="0" w:left="0"/>
              <w:jc w:val="both"/>
              <w:rPr/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Структура и предварительное содержание документов по результатам каждого этапа работ должны быть согласованы с Заказчиком до фактического представления конечных версий документов на согласование.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suppressAutoHyphens w:val="true"/>
              <w:spacing w:lineRule="auto" w:line="276" w:before="0" w:after="0"/>
              <w:ind w:hanging="0" w:left="0"/>
              <w:jc w:val="both"/>
              <w:rPr/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Комплект конечных версий документов должен быть передан в электронном виде, а также на бумажном носителе в 1 экземпляре. Бумажный экземпляр должен быть подписан со стороны Заказчика и Подрядчика.</w:t>
            </w:r>
          </w:p>
        </w:tc>
        <w:tc>
          <w:tcPr>
            <w:tcW w:w="2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bookmarkStart w:id="79" w:name="_Toc137126371"/>
            <w:bookmarkStart w:id="80" w:name="_Toc133502495"/>
            <w:bookmarkStart w:id="81" w:name="_Toc130406183"/>
            <w:r>
              <w:rPr>
                <w:iCs/>
                <w:kern w:val="0"/>
                <w:sz w:val="24"/>
                <w:szCs w:val="24"/>
                <w:lang w:val="ru-RU" w:bidi="ar-SA"/>
              </w:rPr>
              <w:t>-</w:t>
            </w:r>
            <w:bookmarkEnd w:id="79"/>
            <w:bookmarkEnd w:id="80"/>
            <w:bookmarkEnd w:id="81"/>
          </w:p>
        </w:tc>
        <w:tc>
          <w:tcPr>
            <w:tcW w:w="20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ответственности, гарантиям и послегарантийному обслуживанию</w:t>
            </w:r>
          </w:p>
        </w:tc>
        <w:tc>
          <w:tcPr>
            <w:tcW w:w="2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17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76" w:before="0" w:after="0"/>
              <w:ind w:left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kern w:val="0"/>
                <w:lang w:val="ru-RU" w:bidi="ar-SA"/>
              </w:rPr>
              <w:t>4.1</w:t>
            </w:r>
          </w:p>
        </w:tc>
        <w:tc>
          <w:tcPr>
            <w:tcW w:w="2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Гарантийный срок на результат работ</w:t>
            </w:r>
          </w:p>
        </w:tc>
        <w:tc>
          <w:tcPr>
            <w:tcW w:w="422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 xml:space="preserve">Гарантийный срок на результат работ должен составлять 36 месяцев с даты подписания Акта </w:t>
            </w:r>
            <w:r>
              <w:rPr>
                <w:kern w:val="0"/>
                <w:sz w:val="24"/>
                <w:szCs w:val="24"/>
                <w:lang w:val="ru-RU" w:bidi="ar-SA"/>
              </w:rPr>
              <w:t>о готовности функционала Объекта к вводу в промышленную эксплуатацию</w:t>
            </w:r>
          </w:p>
        </w:tc>
        <w:tc>
          <w:tcPr>
            <w:tcW w:w="2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</w:t>
            </w:r>
          </w:p>
        </w:tc>
        <w:tc>
          <w:tcPr>
            <w:tcW w:w="2040" w:type="dxa"/>
            <w:tcBorders/>
            <w:shd w:color="auto" w:fill="auto" w:val="clear"/>
          </w:tcPr>
          <w:p>
            <w:pPr>
              <w:pStyle w:val="Style35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lineRule="auto" w:line="276" w:before="0" w:after="0"/>
              <w:ind w:hanging="0" w:left="0"/>
              <w:jc w:val="left"/>
              <w:outlineLvl w:val="2"/>
              <w:rPr>
                <w:rFonts w:ascii="Times New Roman" w:hAnsi="Times New Roman" w:eastAsia="Times New Roman" w:cs=""/>
                <w:b w:val="false"/>
                <w:i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"/>
                <w:b w:val="false"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7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lineRule="auto" w:line="276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067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обязательствам контрагента, влияющим на исполнение договора</w:t>
            </w:r>
          </w:p>
        </w:tc>
        <w:tc>
          <w:tcPr>
            <w:tcW w:w="2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0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175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76" w:before="0" w:after="0"/>
              <w:ind w:left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kern w:val="0"/>
                <w:lang w:val="ru-RU" w:bidi="ar-SA"/>
              </w:rPr>
              <w:t>5.1</w:t>
            </w:r>
          </w:p>
        </w:tc>
        <w:tc>
          <w:tcPr>
            <w:tcW w:w="28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422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</w:tc>
        <w:tc>
          <w:tcPr>
            <w:tcW w:w="20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bookmarkStart w:id="82" w:name="_Toc130406184"/>
            <w:bookmarkStart w:id="83" w:name="_Toc133502496"/>
            <w:bookmarkStart w:id="84" w:name="_Toc137126372"/>
            <w:r>
              <w:rPr>
                <w:iCs/>
                <w:kern w:val="0"/>
                <w:sz w:val="24"/>
                <w:szCs w:val="24"/>
                <w:lang w:val="ru-RU" w:bidi="ar-SA"/>
              </w:rPr>
              <w:t>-</w:t>
            </w:r>
            <w:bookmarkEnd w:id="82"/>
            <w:bookmarkEnd w:id="83"/>
            <w:bookmarkEnd w:id="84"/>
          </w:p>
        </w:tc>
        <w:tc>
          <w:tcPr>
            <w:tcW w:w="20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/>
        <w:tc>
          <w:tcPr>
            <w:tcW w:w="175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76" w:before="0" w:after="0"/>
              <w:ind w:left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kern w:val="0"/>
                <w:lang w:val="ru-RU" w:bidi="ar-SA"/>
              </w:rPr>
              <w:t>5.2</w:t>
            </w:r>
          </w:p>
        </w:tc>
        <w:tc>
          <w:tcPr>
            <w:tcW w:w="284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Требования к наличию лицензий на выполнение отдельных видов работ</w:t>
            </w:r>
          </w:p>
        </w:tc>
        <w:tc>
          <w:tcPr>
            <w:tcW w:w="4225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rFonts w:ascii="Times New Roman" w:hAnsi="Times New Roman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период выполнения работ Подрядчик должен обладать действующей лицензией на выполнение соответствующих работ п. 4 Положения о лицензировании деятельности по технической защите конфиденциальной информации (утв. Постановлением Правительства РФ от 03.02.2012 г. № 79 «О лицензировании деятельности по технической защите конфиденциальной информации»).</w:t>
            </w:r>
          </w:p>
        </w:tc>
        <w:tc>
          <w:tcPr>
            <w:tcW w:w="20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2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04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footnotePr>
            <w:numFmt w:val="decimal"/>
            <w:numRestart w:val="eachPage"/>
          </w:footnotePr>
          <w:type w:val="nextPage"/>
          <w:pgSz w:orient="landscape" w:w="16838" w:h="11906"/>
          <w:pgMar w:left="992" w:right="720" w:gutter="0" w:header="567" w:top="851" w:footer="567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ind w:hanging="0" w:left="0"/>
        <w:rPr>
          <w:rFonts w:ascii="Times New Roman" w:hAnsi="Times New Roman"/>
        </w:rPr>
      </w:pPr>
      <w:bookmarkStart w:id="85" w:name="_Toc240373584"/>
      <w:bookmarkStart w:id="86" w:name="_Toc240301849"/>
      <w:bookmarkStart w:id="87" w:name="_Toc184013324"/>
      <w:bookmarkStart w:id="88" w:name="_Toc54646411"/>
      <w:bookmarkStart w:id="89" w:name="_Toc53393312"/>
      <w:r>
        <w:rPr/>
        <w:t>Требования к документации по ценообразованию</w:t>
      </w:r>
      <w:bookmarkEnd w:id="89"/>
      <w:r>
        <w:rPr/>
        <w:t xml:space="preserve"> на этапе закупки</w:t>
      </w:r>
      <w:bookmarkEnd w:id="85"/>
      <w:bookmarkEnd w:id="86"/>
      <w:bookmarkEnd w:id="87"/>
      <w:bookmarkEnd w:id="88"/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numPr>
          <w:ilvl w:val="1"/>
          <w:numId w:val="15"/>
        </w:numPr>
        <w:tabs>
          <w:tab w:val="clear" w:pos="708"/>
          <w:tab w:val="left" w:pos="567" w:leader="none"/>
        </w:tabs>
        <w:spacing w:lineRule="auto" w:line="276"/>
        <w:ind w:hanging="0" w:left="0"/>
        <w:jc w:val="both"/>
        <w:rPr>
          <w:rFonts w:ascii="Times New Roman" w:hAnsi="Times New Roman"/>
        </w:rPr>
      </w:pPr>
      <w:r>
        <w:rPr>
          <w:bCs/>
          <w:iCs/>
          <w:sz w:val="24"/>
          <w:szCs w:val="24"/>
          <w:lang w:eastAsia="x-none"/>
        </w:rPr>
        <w:t>В обоснование стоимости своей заявки Участник должен предоставить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76"/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rPr>
          <w:rFonts w:ascii="Times New Roman" w:hAnsi="Times New Roman"/>
        </w:rPr>
      </w:pPr>
      <w:bookmarkStart w:id="90" w:name="_Toc184013325"/>
      <w:bookmarkStart w:id="91" w:name="_Toc54281228"/>
      <w:bookmarkStart w:id="92" w:name="_Toc240301850"/>
      <w:bookmarkStart w:id="93" w:name="_Toc163572178"/>
      <w:bookmarkStart w:id="94" w:name="_Toc240373585"/>
      <w:r>
        <w:rPr/>
        <w:t>Требования к документации по ценообразованию на этапе заключения (исполнения) договора</w:t>
      </w:r>
      <w:bookmarkEnd w:id="90"/>
      <w:bookmarkEnd w:id="91"/>
      <w:bookmarkEnd w:id="92"/>
      <w:bookmarkEnd w:id="93"/>
      <w:bookmarkEnd w:id="94"/>
    </w:p>
    <w:p>
      <w:pPr>
        <w:pStyle w:val="Rtext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4.1.</w:t>
        <w:tab/>
        <w:t>В рамках реализации договора необходимо составлять и оформлять сметную документацию в обоснование стоимости работ в соответствии с требованиями, указанными в приложении № 1 к настоящим Техническим требованиям.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  <w:r>
        <w:rPr>
          <w:bCs/>
          <w:iCs/>
          <w:sz w:val="24"/>
          <w:szCs w:val="24"/>
          <w:lang w:eastAsia="x-none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rPr>
          <w:rFonts w:ascii="Times New Roman" w:hAnsi="Times New Roman"/>
        </w:rPr>
      </w:pPr>
      <w:bookmarkStart w:id="95" w:name="_Toc46743519"/>
      <w:bookmarkStart w:id="96" w:name="_Toc240301851"/>
      <w:bookmarkStart w:id="97" w:name="_Toc184013326"/>
      <w:bookmarkStart w:id="98" w:name="_Toc51339699"/>
      <w:bookmarkStart w:id="99" w:name="_Toc54646413"/>
      <w:bookmarkStart w:id="100" w:name="_Toc240373586"/>
      <w:r>
        <w:rPr/>
        <w:t>Приложения</w:t>
      </w:r>
      <w:bookmarkEnd w:id="95"/>
      <w:bookmarkEnd w:id="96"/>
      <w:bookmarkEnd w:id="97"/>
      <w:bookmarkEnd w:id="98"/>
      <w:bookmarkEnd w:id="99"/>
      <w:bookmarkEnd w:id="100"/>
    </w:p>
    <w:p>
      <w:pPr>
        <w:pStyle w:val="Rtext1"/>
        <w:ind w:hanging="0"/>
        <w:rPr>
          <w:rFonts w:ascii="Times New Roman" w:hAnsi="Times New Roman"/>
        </w:rPr>
      </w:pPr>
      <w:bookmarkStart w:id="101" w:name="_Ref40301253"/>
      <w:bookmarkStart w:id="102" w:name="_Hlk48224758"/>
      <w:bookmarkEnd w:id="101"/>
      <w:bookmarkEnd w:id="102"/>
      <w:r>
        <w:rPr>
          <w:rFonts w:cs="Times New Roman" w:ascii="Times New Roman" w:hAnsi="Times New Roman"/>
          <w:color w:val="auto"/>
        </w:rPr>
        <w:t>Приложение № 1. Требования к оформлению и составлению смет или расчетов на выполнение работ/услуг.</w:t>
      </w:r>
    </w:p>
    <w:p>
      <w:pPr>
        <w:pStyle w:val="Rtext1"/>
        <w:ind w:hanging="0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Приложение № 2. Требования к функционалу Системы.</w:t>
      </w:r>
    </w:p>
    <w:p>
      <w:pPr>
        <w:pStyle w:val="Normal"/>
        <w:spacing w:lineRule="auto" w:line="276"/>
        <w:rPr>
          <w:rFonts w:ascii="Times New Roman" w:hAnsi="Times New Roman"/>
          <w:b w:val="false"/>
          <w:bCs/>
          <w:i w:val="false"/>
          <w:i w:val="false"/>
          <w:iCs/>
          <w:sz w:val="24"/>
          <w:szCs w:val="24"/>
        </w:rPr>
      </w:pPr>
      <w:r>
        <w:rPr>
          <w:b w:val="false"/>
          <w:bCs/>
          <w:i w:val="false"/>
          <w:iCs/>
          <w:sz w:val="24"/>
          <w:szCs w:val="24"/>
        </w:rPr>
      </w:r>
      <w:r>
        <w:br w:type="page"/>
      </w:r>
    </w:p>
    <w:p>
      <w:pPr>
        <w:pStyle w:val="ConsPlusNormal1"/>
        <w:widowControl/>
        <w:tabs>
          <w:tab w:val="clear" w:pos="708"/>
          <w:tab w:val="left" w:pos="0" w:leader="none"/>
        </w:tabs>
        <w:spacing w:lineRule="auto" w:line="276"/>
        <w:ind w:hanging="0"/>
        <w:jc w:val="right"/>
        <w:rPr>
          <w:rFonts w:ascii="Times New Roman" w:hAnsi="Times New Roman"/>
        </w:rPr>
      </w:pPr>
      <w:bookmarkStart w:id="103" w:name="_Toc184013327"/>
      <w:bookmarkStart w:id="104" w:name="_Toc240301852"/>
      <w:bookmarkStart w:id="105" w:name="_Toc240373587"/>
      <w:bookmarkStart w:id="106" w:name="_Toc54646414"/>
      <w:bookmarkStart w:id="107" w:name="_Toc54451385"/>
      <w:bookmarkEnd w:id="106"/>
      <w:bookmarkEnd w:id="107"/>
      <w:r>
        <w:rPr>
          <w:rFonts w:cs="Times New Roman" w:ascii="Times New Roman" w:hAnsi="Times New Roman"/>
          <w:sz w:val="28"/>
          <w:szCs w:val="28"/>
        </w:rPr>
        <w:t>Приложение № 1 к ТТ</w:t>
      </w:r>
      <w:bookmarkEnd w:id="103"/>
      <w:bookmarkEnd w:id="104"/>
      <w:bookmarkEnd w:id="105"/>
      <w:r>
        <w:rPr>
          <w:rFonts w:cs="Times New Roman" w:ascii="Times New Roman" w:hAnsi="Times New Roman"/>
          <w:sz w:val="28"/>
          <w:szCs w:val="28"/>
        </w:rPr>
        <w:t>. Требования к оформлению и составлению смет или расчетов на выполнение работ/услуг</w:t>
      </w:r>
    </w:p>
    <w:p>
      <w:pPr>
        <w:pStyle w:val="ConsPlusNormal1"/>
        <w:widowControl/>
        <w:tabs>
          <w:tab w:val="clear" w:pos="708"/>
          <w:tab w:val="left" w:pos="0" w:leader="none"/>
        </w:tabs>
        <w:ind w:hanging="0"/>
        <w:jc w:val="center"/>
        <w:rPr>
          <w:rFonts w:ascii="Times New Roman" w:hAnsi="Times New Roman" w:cs="Times New Roman"/>
          <w:b w:val="false"/>
          <w:bCs/>
          <w:i w:val="false"/>
          <w:i w:val="false"/>
          <w:caps/>
          <w:sz w:val="28"/>
          <w:szCs w:val="28"/>
        </w:rPr>
      </w:pPr>
      <w:r>
        <w:rPr>
          <w:rFonts w:cs="Times New Roman" w:ascii="Times New Roman" w:hAnsi="Times New Roman"/>
          <w:b w:val="false"/>
          <w:bCs/>
          <w:i w:val="false"/>
          <w:caps/>
          <w:sz w:val="28"/>
          <w:szCs w:val="28"/>
        </w:rPr>
      </w:r>
      <w:bookmarkStart w:id="108" w:name="_Ref40301253_Копия_1"/>
      <w:bookmarkStart w:id="109" w:name="_Hlk48224758_Копия_1"/>
      <w:bookmarkStart w:id="110" w:name="_Ref40301253_Копия_1"/>
      <w:bookmarkStart w:id="111" w:name="_Hlk48224758_Копия_1"/>
      <w:bookmarkEnd w:id="110"/>
      <w:bookmarkEnd w:id="111"/>
    </w:p>
    <w:p>
      <w:pPr>
        <w:pStyle w:val="ConsPlusNormal1"/>
        <w:widowControl/>
        <w:tabs>
          <w:tab w:val="clear" w:pos="708"/>
          <w:tab w:val="left" w:pos="0" w:leader="none"/>
        </w:tabs>
        <w:spacing w:lineRule="auto" w:line="276"/>
        <w:ind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Требования к оформлению и составлению</w:t>
      </w:r>
    </w:p>
    <w:p>
      <w:pPr>
        <w:pStyle w:val="ConsPlusNormal1"/>
        <w:widowControl/>
        <w:tabs>
          <w:tab w:val="clear" w:pos="708"/>
          <w:tab w:val="left" w:pos="0" w:leader="none"/>
        </w:tabs>
        <w:spacing w:lineRule="auto" w:line="276"/>
        <w:ind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смет или расчетов на выполнение работ/услуг</w:t>
      </w:r>
    </w:p>
    <w:p>
      <w:pPr>
        <w:pStyle w:val="Normal"/>
        <w:spacing w:lineRule="auto" w:line="276"/>
        <w:jc w:val="center"/>
        <w:rPr>
          <w:rFonts w:ascii="Times New Roman" w:hAnsi="Times New Roman"/>
          <w:b w:val="false"/>
          <w:bCs/>
          <w:i w:val="false"/>
          <w:i w:val="false"/>
          <w:caps/>
        </w:rPr>
      </w:pPr>
      <w:r>
        <w:rPr>
          <w:b w:val="false"/>
          <w:bCs/>
          <w:i w:val="false"/>
          <w:caps/>
        </w:rPr>
      </w:r>
    </w:p>
    <w:p>
      <w:pPr>
        <w:pStyle w:val="ConsPlusNormal1"/>
        <w:widowControl/>
        <w:tabs>
          <w:tab w:val="clear" w:pos="708"/>
          <w:tab w:val="left" w:pos="1260" w:leader="none"/>
        </w:tabs>
        <w:ind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оформлению и составлению</w:t>
      </w:r>
    </w:p>
    <w:p>
      <w:pPr>
        <w:pStyle w:val="ConsPlusNormal1"/>
        <w:widowControl/>
        <w:tabs>
          <w:tab w:val="clear" w:pos="708"/>
          <w:tab w:val="left" w:pos="1260" w:leader="none"/>
        </w:tabs>
        <w:ind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>сметной документации на работы по техническому перевооружению (не относящихся к работам, стоимость которых определяется в соответствии со Статьей 8.3 Градостроительного кодекса РФ)</w:t>
      </w:r>
    </w:p>
    <w:p>
      <w:pPr>
        <w:pStyle w:val="ConsPlusNormal1"/>
        <w:widowControl/>
        <w:tabs>
          <w:tab w:val="clear" w:pos="708"/>
          <w:tab w:val="left" w:pos="1620" w:leader="none"/>
        </w:tabs>
        <w:ind w:firstLine="18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ConsPlusNormal1"/>
        <w:widowControl/>
        <w:numPr>
          <w:ilvl w:val="0"/>
          <w:numId w:val="22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Настоящие требования разработаны для единого подхода к оформлению и составлению сметной документации на работы по техническому перевооружению.</w:t>
      </w:r>
    </w:p>
    <w:p>
      <w:pPr>
        <w:pStyle w:val="ConsPlusNormal1"/>
        <w:widowControl/>
        <w:numPr>
          <w:ilvl w:val="0"/>
          <w:numId w:val="22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Использование нормативов ценообразования, не зарегистрированных и не вошедших в ФРСН, </w:t>
      </w:r>
      <w:r>
        <w:rPr>
          <w:rFonts w:cs="Times New Roman" w:ascii="Times New Roman" w:hAnsi="Times New Roman"/>
          <w:b/>
          <w:u w:val="single"/>
        </w:rPr>
        <w:t>не допускается</w:t>
      </w:r>
      <w:r>
        <w:rPr>
          <w:rFonts w:cs="Times New Roman" w:ascii="Times New Roman" w:hAnsi="Times New Roman"/>
        </w:rPr>
        <w:t>, кроме случаев, прямо указанных в настоящих требованиях.</w:t>
      </w:r>
    </w:p>
    <w:p>
      <w:pPr>
        <w:pStyle w:val="ConsPlusNormal1"/>
        <w:widowControl/>
        <w:numPr>
          <w:ilvl w:val="0"/>
          <w:numId w:val="22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Версия программного комплекса «Гранд-Смета» (далее–ПК «Гранд-смета») </w:t>
      </w:r>
      <w:r>
        <w:rPr>
          <w:rFonts w:cs="Times New Roman" w:ascii="Times New Roman" w:hAnsi="Times New Roman"/>
          <w:u w:val="single"/>
        </w:rPr>
        <w:t>должна быть не ниже 2021.</w:t>
      </w:r>
    </w:p>
    <w:p>
      <w:pPr>
        <w:pStyle w:val="ConsPlusNormal1"/>
        <w:widowControl/>
        <w:numPr>
          <w:ilvl w:val="0"/>
          <w:numId w:val="22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дополнений.</w:t>
      </w:r>
    </w:p>
    <w:p>
      <w:pPr>
        <w:pStyle w:val="ConsPlusNormal1"/>
        <w:widowControl/>
        <w:numPr>
          <w:ilvl w:val="0"/>
          <w:numId w:val="22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 составлении смет на техническое перевооружение энергетического оборудования приоритетным является применение сборников «Базовых цен на работы по ремонту энергетического оборудования, адекватных условиям функционирования конкурентного рынка услуг по ремонту и техперевооружению» с учетом дополнений и изменений 1-12 (далее – БЦ), «Методических указаний по формированию смет и калькуляций на ремонт энергооборудования» (СО 34.20.607-2005), разработанных АО «ЦКБ Энергоремонт». Поправочный индекс к Базовым ценам учитывать в размере, не превышающем предельный индекс, установленный для Филиала (ПО) ПАО «РусГидро».</w:t>
      </w:r>
    </w:p>
    <w:p>
      <w:pPr>
        <w:pStyle w:val="ConsPlusNormal1"/>
        <w:widowControl/>
        <w:numPr>
          <w:ilvl w:val="0"/>
          <w:numId w:val="22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 составлении сметной документации необходимо использовать сметно-нормативную базу … «ФЕР 2020 изм.1-9».</w:t>
      </w:r>
    </w:p>
    <w:p>
      <w:pPr>
        <w:pStyle w:val="ConsPlusNormal1"/>
        <w:widowControl/>
        <w:numPr>
          <w:ilvl w:val="0"/>
          <w:numId w:val="22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Определение сметной стоимости работ при ремонте, реконструкции и техническом перевооружении возможно ниже указанным методом:</w:t>
      </w:r>
    </w:p>
    <w:p>
      <w:pPr>
        <w:pStyle w:val="ConsPlusNormal1"/>
        <w:widowControl/>
        <w:numPr>
          <w:ilvl w:val="1"/>
          <w:numId w:val="22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u w:val="single"/>
        </w:rPr>
        <w:t>Базисно-индексным</w:t>
      </w:r>
      <w:r>
        <w:rPr>
          <w:rFonts w:cs="Times New Roman" w:ascii="Times New Roman" w:hAnsi="Times New Roman"/>
        </w:rPr>
        <w:t xml:space="preserve"> (является </w:t>
      </w:r>
      <w:r>
        <w:rPr>
          <w:rFonts w:cs="Times New Roman" w:ascii="Times New Roman" w:hAnsi="Times New Roman"/>
          <w:b/>
        </w:rPr>
        <w:t>приоритетным</w:t>
      </w:r>
      <w:r>
        <w:rPr>
          <w:rFonts w:cs="Times New Roman" w:ascii="Times New Roman" w:hAnsi="Times New Roman"/>
        </w:rPr>
        <w:t xml:space="preserve"> до полного введения ресурсно-индексного метода) - с использованием единичных расценок, в том числе, их отдельных составляющих, сведения о которых включены в ФРСН. Сметная стоимость строительства, определенная с применением базисно-индексного метода, приводится в локальных сметных расчетах (далее – ЛСР), локальных сметах (далее -ЛС) в </w:t>
      </w:r>
      <w:r>
        <w:rPr>
          <w:rFonts w:cs="Times New Roman" w:ascii="Times New Roman" w:hAnsi="Times New Roman"/>
          <w:b/>
        </w:rPr>
        <w:t>двух уровнях цен: базисном и текущем</w:t>
      </w:r>
      <w:r>
        <w:rPr>
          <w:rFonts w:cs="Times New Roman" w:ascii="Times New Roman" w:hAnsi="Times New Roman"/>
        </w:rPr>
        <w:t>.</w:t>
      </w:r>
    </w:p>
    <w:p>
      <w:pPr>
        <w:pStyle w:val="ConsPlusNormal1"/>
        <w:widowControl/>
        <w:numPr>
          <w:ilvl w:val="0"/>
          <w:numId w:val="22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При определении сметной стоимости </w:t>
      </w:r>
      <w:r>
        <w:rPr>
          <w:rFonts w:cs="Times New Roman" w:ascii="Times New Roman" w:hAnsi="Times New Roman"/>
          <w:b/>
        </w:rPr>
        <w:t>базисно-индексным</w:t>
      </w:r>
      <w:r>
        <w:rPr>
          <w:rFonts w:cs="Times New Roman" w:ascii="Times New Roman" w:hAnsi="Times New Roman"/>
        </w:rPr>
        <w:t xml:space="preserve"> методами применяются индексы изменения сметной стоимости на текущий период (при наличии) для соответствующих видов объектов капитального строительства и субъектов Российской Федерации (частей территорий субъектов Российской Федерации), либо индексы, сведения о которых последними включены в ФРСН: </w:t>
      </w:r>
    </w:p>
    <w:p>
      <w:pPr>
        <w:pStyle w:val="ConsPlusNormal1"/>
        <w:widowControl/>
        <w:numPr>
          <w:ilvl w:val="1"/>
          <w:numId w:val="22"/>
        </w:numPr>
        <w:tabs>
          <w:tab w:val="clear" w:pos="708"/>
          <w:tab w:val="left" w:pos="426" w:leader="none"/>
          <w:tab w:val="left" w:pos="567" w:leader="none"/>
          <w:tab w:val="left" w:pos="993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Для базисно-индексного метода: Индексы, публикуемые Минстроем РФ: Индексы по</w:t>
      </w:r>
      <w:r>
        <w:rPr>
          <w:rFonts w:cs="Times New Roman" w:ascii="Times New Roman" w:hAnsi="Times New Roman"/>
          <w:b/>
        </w:rPr>
        <w:t xml:space="preserve"> видам объектов</w:t>
      </w:r>
      <w:r>
        <w:rPr>
          <w:rFonts w:cs="Times New Roman" w:ascii="Times New Roman" w:hAnsi="Times New Roman"/>
        </w:rPr>
        <w:t xml:space="preserve"> (при полном соответствии наименования объекта, кроме "Прочих", а также при применительном использовании наименования объекта, включая "Прочие") </w:t>
      </w:r>
      <w:r>
        <w:rPr>
          <w:rFonts w:cs="Times New Roman" w:ascii="Times New Roman" w:hAnsi="Times New Roman"/>
          <w:b/>
        </w:rPr>
        <w:t xml:space="preserve">к </w:t>
      </w:r>
      <w:r>
        <w:rPr>
          <w:rFonts w:cs="Times New Roman" w:ascii="Times New Roman" w:hAnsi="Times New Roman"/>
        </w:rPr>
        <w:t>элементам</w:t>
      </w:r>
      <w:r>
        <w:rPr>
          <w:rFonts w:cs="Times New Roman" w:ascii="Times New Roman" w:hAnsi="Times New Roman"/>
          <w:b/>
        </w:rPr>
        <w:t xml:space="preserve"> прямых затрат.</w:t>
      </w:r>
    </w:p>
    <w:p>
      <w:pPr>
        <w:pStyle w:val="ConsPlusNormal1"/>
        <w:widowControl/>
        <w:numPr>
          <w:ilvl w:val="0"/>
          <w:numId w:val="22"/>
        </w:numPr>
        <w:tabs>
          <w:tab w:val="clear" w:pos="708"/>
          <w:tab w:val="left" w:pos="426" w:leader="none"/>
          <w:tab w:val="left" w:pos="993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В сметных расчетах на этап работ допускается использовать прогнозные среднегодовые индексы-дефляторы по данным Единых сценарных условий, Группы РусГидро. В настоящий момент актуальными являются индексы-дефляторы инвестиций (вариант – для формирования инвестиционных, производственных программ), приложенные к приказу ПАО «РусГидро</w:t>
      </w:r>
      <w:r>
        <w:rPr>
          <w:rFonts w:cs="Times New Roman" w:ascii="Times New Roman" w:hAnsi="Times New Roman"/>
          <w:color w:val="000000"/>
        </w:rPr>
        <w:t>» от 08.11.2023г. № 810</w:t>
      </w:r>
      <w:r>
        <w:rPr>
          <w:rFonts w:cs="Times New Roman" w:ascii="Times New Roman" w:hAnsi="Times New Roman"/>
        </w:rPr>
        <w:t>: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1134" w:leader="none"/>
        </w:tabs>
        <w:spacing w:before="40" w:after="40"/>
        <w:ind w:hanging="0" w:left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на 2024 г. – 5,3%;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1134" w:leader="none"/>
        </w:tabs>
        <w:spacing w:before="40" w:after="40"/>
        <w:ind w:hanging="0" w:left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на 2025г. – 4,8%;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1134" w:leader="none"/>
        </w:tabs>
        <w:spacing w:before="40" w:after="40"/>
        <w:ind w:hanging="0" w:left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на 2026г. – 4,6%.</w:t>
      </w:r>
    </w:p>
    <w:p>
      <w:pPr>
        <w:pStyle w:val="ConsPlusNormal1"/>
        <w:widowControl/>
        <w:numPr>
          <w:ilvl w:val="0"/>
          <w:numId w:val="22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На основании прогнозных величин инфляции для каждого из видов работ по каждому году их проведения общие индексы-дефляторы определяются как произведение индексов-дефляторов 2-го, 3-го и последующих годов до середины срока производства работ от года, в уровне которого составлена сметная документация. Например, при проведении работ i-го этапа в 2023 г. при начале работ и составлении сметной документации в уровне цен 2021 г. должен быть учтен индекс-дефлятор на 2022 и 2023 год.</w:t>
      </w:r>
    </w:p>
    <w:p>
      <w:pPr>
        <w:pStyle w:val="ConsPlusNormal1"/>
        <w:widowControl/>
        <w:numPr>
          <w:ilvl w:val="0"/>
          <w:numId w:val="22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В случае, если стоимость рассчитана в текущем уровне цен с применением индексов изменения сметной стоимости, соответствующих году начала строительства, а планируемый период выполнения работ составляет до одного календарного года, то индекс-дефлятор не </w:t>
      </w:r>
      <w:r>
        <w:rPr>
          <w:rFonts w:cs="Times New Roman" w:ascii="Times New Roman" w:hAnsi="Times New Roman"/>
        </w:rPr>
        <w:t>применяется.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В случае </w:t>
      </w:r>
      <w:r>
        <w:rPr>
          <w:rFonts w:cs="Times New Roman" w:ascii="Times New Roman" w:hAnsi="Times New Roman"/>
          <w:i/>
          <w:sz w:val="22"/>
          <w:szCs w:val="22"/>
        </w:rPr>
        <w:t>отсутствия</w:t>
      </w:r>
      <w:r>
        <w:rPr>
          <w:rFonts w:cs="Times New Roman" w:ascii="Times New Roman" w:hAnsi="Times New Roman"/>
          <w:sz w:val="22"/>
          <w:szCs w:val="22"/>
        </w:rPr>
        <w:t xml:space="preserve"> единичных расценок в действующей СНБ возможно определение сметной стоимости с применением сборников: «Единых норм и расценок на строительные, монтажные и ремонтно-строительные работы» (далее – ЕНиР) и «Ведомственных норм и расценок на строительные, монтажные и ремонтно-строительные работы» (далее – ВНиР). Уровень оплаты труда для ЕНиР и ВНиР определять аналогично примененному в сметной документации методу расчета в соответствии с тарифными ставками сборника «Показатели часовой оплаты труда» (далее - ТС 2001), внесенного в ФРСН.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284" w:leader="none"/>
          <w:tab w:val="left" w:pos="1134" w:leader="none"/>
        </w:tabs>
        <w:spacing w:lineRule="auto" w:line="276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При </w:t>
      </w:r>
      <w:r>
        <w:rPr>
          <w:rFonts w:cs="Times New Roman" w:ascii="Times New Roman" w:hAnsi="Times New Roman"/>
          <w:i/>
          <w:sz w:val="22"/>
          <w:szCs w:val="22"/>
        </w:rPr>
        <w:t xml:space="preserve">отсутствии </w:t>
      </w:r>
      <w:r>
        <w:rPr>
          <w:rFonts w:cs="Times New Roman" w:ascii="Times New Roman" w:hAnsi="Times New Roman"/>
          <w:sz w:val="22"/>
          <w:szCs w:val="22"/>
        </w:rPr>
        <w:t>информации о сметных ценах в ФГИС ЦС и ФССЦ по материальным ресурсам и оборудованию,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 (далее – Методика ПЦ). При этом среднерыночная цена формируется Методом анализа ТКП в соответствии с Приложением №3 к Требованиям к оформлению и составлению сметной документации на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работы по техническому перевооружению.</w:t>
      </w:r>
    </w:p>
    <w:p>
      <w:pPr>
        <w:pStyle w:val="ConsPlusNormal1"/>
        <w:numPr>
          <w:ilvl w:val="0"/>
          <w:numId w:val="22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>
      <w:pPr>
        <w:pStyle w:val="ConsPlusNormal1"/>
        <w:numPr>
          <w:ilvl w:val="0"/>
          <w:numId w:val="22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Сметная стоимость материальных ресурсов и индивидуального стандартизированного (адаптированного) оборудования в текущем уровне цен, информация о которых отсутствует во ФГИС ЦС и ФРСН, определяется с учетом транспортных и заготовительно-складских затрат.</w:t>
      </w:r>
      <w:r>
        <w:rPr>
          <w:rFonts w:cs="Times New Roman" w:ascii="Times New Roman" w:hAnsi="Times New Roman"/>
          <w:color w:val="FF0000"/>
        </w:rPr>
        <w:t xml:space="preserve"> 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Транспортные затраты определяются следующими методами:</w:t>
      </w:r>
    </w:p>
    <w:p>
      <w:pPr>
        <w:pStyle w:val="ListParagraph"/>
        <w:numPr>
          <w:ilvl w:val="1"/>
          <w:numId w:val="22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2"/>
          <w:szCs w:val="22"/>
        </w:rPr>
        <w:t>по доставке материальных ресурсов: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</w:p>
    <w:p>
      <w:pPr>
        <w:pStyle w:val="ConsPlusNormal1"/>
        <w:numPr>
          <w:ilvl w:val="0"/>
          <w:numId w:val="25"/>
        </w:numPr>
        <w:tabs>
          <w:tab w:val="clear" w:pos="708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>
      <w:pPr>
        <w:pStyle w:val="ConsPlusNormal1"/>
        <w:widowControl/>
        <w:numPr>
          <w:ilvl w:val="0"/>
          <w:numId w:val="25"/>
        </w:numPr>
        <w:tabs>
          <w:tab w:val="clear" w:pos="708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Методом анализа ТКП в соответствии с Методикой ПЦ;</w:t>
      </w:r>
    </w:p>
    <w:p>
      <w:pPr>
        <w:pStyle w:val="ConsPlusNormal1"/>
        <w:widowControl/>
        <w:numPr>
          <w:ilvl w:val="0"/>
          <w:numId w:val="25"/>
        </w:numPr>
        <w:tabs>
          <w:tab w:val="clear" w:pos="708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в размере до 3-х процентов от отпускной цены материальных ресурсов (при невозможности определить затраты указанными выше способами), по решению заказчика.</w:t>
      </w:r>
    </w:p>
    <w:p>
      <w:pPr>
        <w:pStyle w:val="ListParagraph"/>
        <w:numPr>
          <w:ilvl w:val="1"/>
          <w:numId w:val="22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по доставке оборудования</w:t>
      </w:r>
      <w:r>
        <w:rPr>
          <w:rFonts w:cs="Times New Roman" w:ascii="Times New Roman" w:hAnsi="Times New Roman"/>
          <w:sz w:val="22"/>
          <w:szCs w:val="22"/>
        </w:rPr>
        <w:t>:</w:t>
      </w:r>
    </w:p>
    <w:p>
      <w:pPr>
        <w:pStyle w:val="ConsPlusNormal1"/>
        <w:widowControl/>
        <w:numPr>
          <w:ilvl w:val="0"/>
          <w:numId w:val="25"/>
        </w:numPr>
        <w:tabs>
          <w:tab w:val="clear" w:pos="708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>
      <w:pPr>
        <w:pStyle w:val="ConsPlusNormal1"/>
        <w:widowControl/>
        <w:numPr>
          <w:ilvl w:val="0"/>
          <w:numId w:val="25"/>
        </w:numPr>
        <w:tabs>
          <w:tab w:val="clear" w:pos="708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Методом анализа ТКП в соответствии с Методикой ПЦ;</w:t>
      </w:r>
    </w:p>
    <w:p>
      <w:pPr>
        <w:pStyle w:val="ConsPlusNormal1"/>
        <w:numPr>
          <w:ilvl w:val="0"/>
          <w:numId w:val="25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в размере до 3-х процентов от отпускной цены оборудования (при невозможности определить затраты</w:t>
      </w:r>
      <w:bookmarkStart w:id="112" w:name="_Hlk86255346"/>
      <w:r>
        <w:rPr>
          <w:rFonts w:cs="Times New Roman" w:ascii="Times New Roman" w:hAnsi="Times New Roman"/>
        </w:rPr>
        <w:t xml:space="preserve"> </w:t>
      </w:r>
      <w:bookmarkEnd w:id="112"/>
      <w:r>
        <w:rPr>
          <w:rFonts w:cs="Times New Roman" w:ascii="Times New Roman" w:hAnsi="Times New Roman"/>
        </w:rPr>
        <w:t>указанными выше способами), по решению заказчика.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284" w:leader="none"/>
          <w:tab w:val="left" w:pos="1134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Если транспортировка осуществляется заказчиком самостоятельно (самовывоз), данный показатель не учитывается.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851" w:leader="none"/>
        </w:tabs>
        <w:spacing w:before="40" w:after="40"/>
        <w:ind w:firstLine="567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Заготовительно-складские расходы определяются в % от суммы отпускной цены материалов, изделий, конструкций, оборудования и транспортных затрат:</w:t>
      </w:r>
    </w:p>
    <w:p>
      <w:pPr>
        <w:pStyle w:val="ConsPlusNormal1"/>
        <w:numPr>
          <w:ilvl w:val="0"/>
          <w:numId w:val="24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2% -для материальных ресурсов (кроме металлоконструкций);</w:t>
      </w:r>
    </w:p>
    <w:p>
      <w:pPr>
        <w:pStyle w:val="ConsPlusNormal1"/>
        <w:numPr>
          <w:ilvl w:val="0"/>
          <w:numId w:val="24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0,75%- для металлоконструкций;</w:t>
      </w:r>
    </w:p>
    <w:p>
      <w:pPr>
        <w:pStyle w:val="ConsPlusNormal1"/>
        <w:numPr>
          <w:ilvl w:val="0"/>
          <w:numId w:val="24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1,2% - для оборудования.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Затраты на эксплуатацию строительной техники, не учтенной нормами и расценками, включенными в ФРСН, определяются Методом анализа ТКП в соответствии с Методикой ПЦ и включаются в Главу 9 ССРСС</w:t>
      </w:r>
      <w:r>
        <w:rPr>
          <w:rFonts w:cs="Times New Roman" w:ascii="Times New Roman" w:hAnsi="Times New Roman"/>
          <w:b/>
          <w:color w:val="FF0000"/>
          <w:sz w:val="22"/>
          <w:szCs w:val="22"/>
        </w:rPr>
        <w:t>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</w:t>
      </w:r>
      <w:r>
        <w:rPr>
          <w:rFonts w:cs="Times New Roman" w:ascii="Times New Roman" w:hAnsi="Times New Roman"/>
          <w:color w:val="FF0000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 xml:space="preserve">При внесении изменений в сметную документацию разрабатывается сводный сметный </w:t>
      </w:r>
    </w:p>
    <w:p>
      <w:pPr>
        <w:pStyle w:val="Normal"/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/>
        <w:jc w:val="both"/>
        <w:rPr>
          <w:rFonts w:ascii="Times New Roman" w:hAnsi="Times New Roman"/>
        </w:rPr>
      </w:pPr>
      <w:r>
        <w:rPr>
          <w:color w:val="000000"/>
          <w:sz w:val="22"/>
          <w:szCs w:val="22"/>
        </w:rPr>
        <w:t>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Затраты</w:t>
      </w:r>
      <w:r>
        <w:rPr>
          <w:rFonts w:cs="Times New Roman" w:ascii="Times New Roman" w:hAnsi="Times New Roman"/>
          <w:sz w:val="22"/>
          <w:szCs w:val="22"/>
        </w:rPr>
        <w:t xml:space="preserve"> на возведение временных зданий и сооружений учитывать в том случае, если они указаны в ПОС, Технических требованиях. Размер средств на устройство и ликвидацию временных зданий и сооружений определяются одним из способов: нормативным методом с применением нормативов затрат на строительство титульных временных зданий и сооружений, сведения о которых включены в ФРСН, расчетным методом на основании ЛСР (ЛС) или калькуляций, в соответствии с данными ПОС. Порядок расчета за возведенные временные здания и сооружения оговаривать в договоре подряда.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Резерв</w:t>
      </w:r>
      <w:r>
        <w:rPr>
          <w:rFonts w:cs="Times New Roman" w:ascii="Times New Roman" w:hAnsi="Times New Roman"/>
          <w:sz w:val="22"/>
          <w:szCs w:val="22"/>
        </w:rPr>
        <w:t xml:space="preserve"> средств на непредвиденные работы и затраты определять в Технических 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требованиях и начислять в смете в процентах в размере, указанном в утвержденных Технических требованиях. Порядок расчета за непредвиденные работы и затраты оговаривать в договоре подряда.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В </w:t>
      </w:r>
      <w:r>
        <w:rPr>
          <w:rFonts w:cs="Times New Roman" w:ascii="Times New Roman" w:hAnsi="Times New Roman"/>
          <w:color w:val="000000"/>
          <w:sz w:val="22"/>
          <w:szCs w:val="22"/>
        </w:rPr>
        <w:t>ЛСР</w:t>
      </w:r>
      <w:r>
        <w:rPr>
          <w:rFonts w:cs="Times New Roman" w:ascii="Times New Roman" w:hAnsi="Times New Roman"/>
          <w:sz w:val="22"/>
          <w:szCs w:val="22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В </w:t>
      </w:r>
      <w:r>
        <w:rPr>
          <w:rFonts w:cs="Times New Roman" w:ascii="Times New Roman" w:hAnsi="Times New Roman"/>
          <w:color w:val="000000"/>
          <w:sz w:val="22"/>
          <w:szCs w:val="22"/>
        </w:rPr>
        <w:t>ЛСР</w:t>
      </w:r>
      <w:r>
        <w:rPr>
          <w:rFonts w:cs="Times New Roman" w:ascii="Times New Roman" w:hAnsi="Times New Roman"/>
          <w:sz w:val="22"/>
          <w:szCs w:val="22"/>
        </w:rPr>
        <w:t xml:space="preserve">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Сметная</w:t>
      </w:r>
      <w:r>
        <w:rPr>
          <w:rFonts w:cs="Times New Roman" w:ascii="Times New Roman" w:hAnsi="Times New Roman"/>
          <w:sz w:val="22"/>
          <w:szCs w:val="22"/>
        </w:rPr>
        <w:t xml:space="preserve">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>
        <w:rPr>
          <w:rFonts w:cs="Times New Roman" w:ascii="Times New Roman" w:hAnsi="Times New Roman"/>
          <w:sz w:val="22"/>
          <w:szCs w:val="22"/>
          <w:lang w:val="en-US"/>
        </w:rPr>
        <w:t>VII</w:t>
      </w:r>
      <w:r>
        <w:rPr>
          <w:rFonts w:cs="Times New Roman" w:ascii="Times New Roman" w:hAnsi="Times New Roman"/>
          <w:sz w:val="22"/>
          <w:szCs w:val="22"/>
        </w:rPr>
        <w:t xml:space="preserve">. Методики определения сметной стоимости строительства: 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ССРСС.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>
      <w:pPr>
        <w:pStyle w:val="ConsPlusNormal1"/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Данные работы оформляются отдельными локальными сметами в соответствии </w:t>
      </w:r>
      <w:r>
        <w:rPr>
          <w:rFonts w:cs="Times New Roman" w:ascii="Times New Roman" w:hAnsi="Times New Roman"/>
          <w:color w:val="000000"/>
        </w:rPr>
        <w:t xml:space="preserve">с Приложением № 1.5 к Требованиям по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 и включаются в ССР. 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Стоимость</w:t>
      </w:r>
      <w:r>
        <w:rPr>
          <w:rFonts w:cs="Times New Roman" w:ascii="Times New Roman" w:hAnsi="Times New Roman"/>
          <w:sz w:val="22"/>
          <w:szCs w:val="22"/>
        </w:rPr>
        <w:t xml:space="preserve"> шеф - монтажных и шеф - наладочных работ включается в сметную стоимость оборудования и может определяться отдельными расчетами. 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</w:t>
      </w:r>
      <w:r>
        <w:rPr>
          <w:rFonts w:cs="Times New Roman" w:ascii="Times New Roman" w:hAnsi="Times New Roman"/>
          <w:color w:val="000000"/>
          <w:sz w:val="22"/>
          <w:szCs w:val="22"/>
        </w:rPr>
        <w:t>(образец формы расчета представлен в Приложении № 2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перевооружению).</w:t>
      </w:r>
      <w:r>
        <w:rPr>
          <w:rFonts w:cs="Times New Roman" w:ascii="Times New Roman" w:hAnsi="Times New Roman"/>
          <w:sz w:val="22"/>
          <w:szCs w:val="22"/>
        </w:rPr>
        <w:t xml:space="preserve"> Участник (подрядчик, контрагент) представляет смету на шеф-монтажные работы в соответствии с графиком выполнения работ.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При необходимости учета командировочных расходов в сметной документации составляется расчет. Размер суточных командировочных расходов определять в соответствии с Федеральным законодательством и с учетом норм, определяемых внутренним документом организации.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Лимиты командировочных расходов при производстве СМР и ПНР по статьям затрат следующие: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суточные - 700 руб./сутки;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проживание – 5000 руб./сутки;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проезд: поезд (купе) или самолет (класс–эконом с багажом до 20 (двадцати) кг, ручная кладь до 10 (десяти) кг).</w:t>
      </w:r>
    </w:p>
    <w:p>
      <w:pPr>
        <w:pStyle w:val="ConsPlusNormal1"/>
        <w:tabs>
          <w:tab w:val="clear" w:pos="708"/>
          <w:tab w:val="left" w:pos="284" w:leader="none"/>
          <w:tab w:val="left" w:pos="709" w:leader="none"/>
          <w:tab w:val="left" w:pos="851" w:leader="none"/>
        </w:tabs>
        <w:spacing w:before="40" w:after="40"/>
        <w:ind w:firstLine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i/>
          <w:color w:val="000000" w:themeColor="text1"/>
        </w:rPr>
        <w:t>Данные лимиты могут быть пересмотрены на этапе согласования технических требований.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В </w:t>
      </w:r>
      <w:r>
        <w:rPr>
          <w:rFonts w:cs="Times New Roman" w:ascii="Times New Roman" w:hAnsi="Times New Roman"/>
          <w:color w:val="000000"/>
          <w:sz w:val="22"/>
          <w:szCs w:val="22"/>
        </w:rPr>
        <w:t>локальных</w:t>
      </w:r>
      <w:r>
        <w:rPr>
          <w:rFonts w:cs="Times New Roman" w:ascii="Times New Roman" w:hAnsi="Times New Roman"/>
          <w:sz w:val="22"/>
          <w:szCs w:val="22"/>
        </w:rPr>
        <w:t xml:space="preserve"> сметных расчетах построчные и итоговые суммы </w:t>
      </w:r>
      <w:r>
        <w:rPr>
          <w:rFonts w:cs="Times New Roman" w:ascii="Times New Roman" w:hAnsi="Times New Roman"/>
          <w:b/>
          <w:sz w:val="22"/>
          <w:szCs w:val="22"/>
          <w:u w:val="single"/>
        </w:rPr>
        <w:t>округлять: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 базисно-индексном методе до двух знаков после запятой (до копеек)</w:t>
      </w:r>
      <w:r>
        <w:rPr>
          <w:rFonts w:cs="Times New Roman" w:ascii="Times New Roman" w:hAnsi="Times New Roman"/>
          <w:b/>
        </w:rPr>
        <w:t>.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2"/>
          <w:szCs w:val="22"/>
        </w:rPr>
        <w:t>Выходные</w:t>
      </w:r>
      <w:r>
        <w:rPr>
          <w:rFonts w:cs="Times New Roman" w:ascii="Times New Roman" w:hAnsi="Times New Roman"/>
          <w:sz w:val="22"/>
          <w:szCs w:val="22"/>
        </w:rPr>
        <w:t xml:space="preserve"> формы сметных расчетов должны соответствовать Образцу согласно Приложению 1.5.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В связи с предоставлением Заказчиком услуг, указанных в разделе Технических требований «Иные условия поставки товаров, выполнения работ, оказания услуг»</w:t>
      </w:r>
      <w:r>
        <w:rPr>
          <w:rStyle w:val="FootnoteReference"/>
          <w:rFonts w:cs="Times New Roman" w:ascii="Times New Roman" w:hAnsi="Times New Roman"/>
          <w:sz w:val="22"/>
          <w:szCs w:val="22"/>
        </w:rPr>
        <w:footnoteReference w:id="6"/>
      </w:r>
      <w:r>
        <w:rPr>
          <w:rFonts w:cs="Times New Roman" w:ascii="Times New Roman" w:hAnsi="Times New Roman"/>
          <w:sz w:val="22"/>
          <w:szCs w:val="22"/>
        </w:rPr>
        <w:t>:</w:t>
      </w:r>
    </w:p>
    <w:p>
      <w:pPr>
        <w:pStyle w:val="ConsPlusNormal1"/>
        <w:widowControl/>
        <w:numPr>
          <w:ilvl w:val="1"/>
          <w:numId w:val="22"/>
        </w:numPr>
        <w:tabs>
          <w:tab w:val="clear" w:pos="708"/>
          <w:tab w:val="left" w:pos="709" w:leader="none"/>
          <w:tab w:val="left" w:pos="851" w:leader="none"/>
          <w:tab w:val="left" w:pos="1560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В </w:t>
      </w:r>
      <w:r>
        <w:rPr>
          <w:rFonts w:cs="Times New Roman" w:ascii="Times New Roman" w:hAnsi="Times New Roman"/>
          <w:color w:val="000000"/>
        </w:rPr>
        <w:t>сметной</w:t>
      </w:r>
      <w:r>
        <w:rPr>
          <w:rFonts w:cs="Times New Roman" w:ascii="Times New Roman" w:hAnsi="Times New Roman"/>
        </w:rPr>
        <w:t xml:space="preserve"> документации при определении стоимости работ по расценкам, указанным в сборниках «Базовых цен на работы по ремонту энергетического оборудования», затраты на услуги, предоставляемые Заказчиком подрядным организациям не учитывать. </w:t>
      </w:r>
    </w:p>
    <w:p>
      <w:pPr>
        <w:pStyle w:val="ConsPlusNormal1"/>
        <w:widowControl/>
        <w:numPr>
          <w:ilvl w:val="1"/>
          <w:numId w:val="22"/>
        </w:numPr>
        <w:tabs>
          <w:tab w:val="clear" w:pos="708"/>
          <w:tab w:val="left" w:pos="709" w:leader="none"/>
          <w:tab w:val="left" w:pos="851" w:leader="none"/>
          <w:tab w:val="left" w:pos="1560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Из норм и расценок, внесенных в ФРСН, при составлении сметной документации исключать затраты:</w:t>
      </w:r>
    </w:p>
    <w:p>
      <w:pPr>
        <w:pStyle w:val="ConsPlusNormal1"/>
        <w:widowControl/>
        <w:numPr>
          <w:ilvl w:val="2"/>
          <w:numId w:val="22"/>
        </w:numPr>
        <w:tabs>
          <w:tab w:val="clear" w:pos="708"/>
          <w:tab w:val="left" w:pos="709" w:leader="none"/>
          <w:tab w:val="left" w:pos="851" w:leader="none"/>
          <w:tab w:val="left" w:pos="1560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По предоставляемым грузоподъемным механизмам, учтенным в составе сметных норм и расценок:</w:t>
      </w:r>
    </w:p>
    <w:p>
      <w:pPr>
        <w:pStyle w:val="ConsPlusNormal1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Исключать из норм и расценок предоставляемые грузоподъемные механизмы. </w:t>
      </w:r>
    </w:p>
    <w:p>
      <w:pPr>
        <w:pStyle w:val="ConsPlusNormal1"/>
        <w:widowControl/>
        <w:tabs>
          <w:tab w:val="clear" w:pos="708"/>
          <w:tab w:val="left" w:pos="709" w:leader="none"/>
          <w:tab w:val="left" w:pos="851" w:leader="none"/>
          <w:tab w:val="left" w:pos="1418" w:leader="none"/>
        </w:tabs>
        <w:spacing w:before="40" w:after="40"/>
        <w:ind w:firstLine="709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В случае использования подрядчиком собственных/арендованных механизмов полностью, либо частично, для выполнения конкретной работы на строительной площадке, из расценки на выполнение данных работ грузоподъемные механизмы не исключаются</w:t>
      </w:r>
    </w:p>
    <w:p>
      <w:pPr>
        <w:pStyle w:val="ConsPlusNormal1"/>
        <w:widowControl/>
        <w:numPr>
          <w:ilvl w:val="2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По предоставляемой электроэнергии (в том числе, в составе стоимости машино-часа):</w:t>
      </w:r>
    </w:p>
    <w:p>
      <w:pPr>
        <w:pStyle w:val="ConsPlusNormal1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Рассчитанная сумма возврата стоимости электрической энергии (со знаком «–») учитывается в последней главе ССРСС, где имеется смета на СМР (как правило, в главах 1-7, если затраты по главе 8 определены на основании смет, то сумма возврата стоимости электрической энергии учитывается в главе 8)</w:t>
      </w:r>
      <w:r>
        <w:rPr>
          <w:rStyle w:val="FootnoteReference"/>
          <w:rFonts w:cs="Times New Roman" w:ascii="Times New Roman" w:hAnsi="Times New Roman"/>
        </w:rPr>
        <w:footnoteReference w:id="7"/>
      </w:r>
      <w:r>
        <w:rPr>
          <w:rFonts w:cs="Times New Roman" w:ascii="Times New Roman" w:hAnsi="Times New Roman"/>
        </w:rPr>
        <w:t xml:space="preserve">. Рекомендации по расчету суммы возврата стоимости электрической энергии указаны в приложении 4 к настоящим требованиям. </w:t>
      </w:r>
    </w:p>
    <w:p>
      <w:pPr>
        <w:pStyle w:val="ConsPlusNormal1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Индекс пересчета в текущие цены применять аналогичный примененному в сметной документации.</w:t>
      </w:r>
    </w:p>
    <w:p>
      <w:pPr>
        <w:pStyle w:val="ConsPlusNormal1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 применении индексов по статьям затрат в сметной документации для данного ресурса применять индекс на материалы.</w:t>
      </w:r>
    </w:p>
    <w:p>
      <w:pPr>
        <w:pStyle w:val="ConsPlusNormal1"/>
        <w:widowControl/>
        <w:numPr>
          <w:ilvl w:val="2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По предоставляемому сжатому воздуху:</w:t>
      </w:r>
    </w:p>
    <w:p>
      <w:pPr>
        <w:pStyle w:val="ConsPlusNormal1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Из норм и расценок исключать стоимость компрессоров. </w:t>
      </w:r>
    </w:p>
    <w:p>
      <w:pPr>
        <w:pStyle w:val="ConsPlusNormal1"/>
        <w:widowControl/>
        <w:numPr>
          <w:ilvl w:val="2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По предоставляемой воде:</w:t>
      </w:r>
    </w:p>
    <w:p>
      <w:pPr>
        <w:pStyle w:val="ConsPlusNormal1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Из норм и расценок исключать стоимость воды.</w:t>
      </w:r>
    </w:p>
    <w:p>
      <w:pPr>
        <w:pStyle w:val="ConsPlusNormal1"/>
        <w:widowControl/>
        <w:numPr>
          <w:ilvl w:val="2"/>
          <w:numId w:val="22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Учтенные в составе накладных расходов:</w:t>
      </w:r>
    </w:p>
    <w:p>
      <w:pPr>
        <w:pStyle w:val="ConsPlusNormal1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расходы по обеспечению санитарно-гигиенических и бытовых условий (удельный вес статьи затрат в накладных расходах - 3,02%);</w:t>
      </w:r>
    </w:p>
    <w:p>
      <w:pPr>
        <w:pStyle w:val="ConsPlusNormal1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содержание пожарной и сторожевой охраны (удельный вес статьи затрат в накладных расходах - 2,01%);</w:t>
      </w:r>
    </w:p>
    <w:p>
      <w:pPr>
        <w:pStyle w:val="ConsPlusNormal1"/>
        <w:numPr>
          <w:ilvl w:val="0"/>
          <w:numId w:val="23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расходы по благоустройству и содержанию строительных площадок (удельный вес статьи затрат в накладных расходах – 1,61%)</w:t>
      </w:r>
    </w:p>
    <w:p>
      <w:pPr>
        <w:pStyle w:val="Normal"/>
        <w:tabs>
          <w:tab w:val="clear" w:pos="708"/>
          <w:tab w:val="left" w:pos="709" w:leader="none"/>
          <w:tab w:val="left" w:pos="851" w:leader="none"/>
          <w:tab w:val="left" w:pos="1418" w:leader="none"/>
        </w:tabs>
        <w:spacing w:before="40" w:after="40"/>
        <w:ind w:firstLine="709"/>
        <w:jc w:val="both"/>
        <w:rPr>
          <w:rFonts w:ascii="Times New Roman" w:hAnsi="Times New Roman"/>
        </w:rPr>
      </w:pPr>
      <w:r>
        <w:rPr>
          <w:sz w:val="22"/>
          <w:szCs w:val="22"/>
        </w:rPr>
        <w:t>исключаются путем применения понижающего коэффициента к нормативам накладных расходов на строительные работы в размере 0,93</w:t>
      </w:r>
      <w:r>
        <w:rPr>
          <w:rStyle w:val="FootnoteReference"/>
          <w:rFonts w:eastAsia="Calibri"/>
          <w:sz w:val="22"/>
          <w:szCs w:val="22"/>
        </w:rPr>
        <w:footnoteReference w:id="8"/>
      </w:r>
      <w:r>
        <w:rPr>
          <w:sz w:val="22"/>
          <w:szCs w:val="22"/>
        </w:rPr>
        <w:t>. Понижающий коэффициент не применяется к нормативам накладных расходов на ремонтно-строительные работы, работы по реконструкции зданий и сооружений (ГЭСН/ФЕР/ТЕР-2001-46), монтажные и пусконаладочные работы.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 xml:space="preserve">ССРСС разрабатывается на объект строительства и (или) этап строительства на основании итоговых стоимостных показателей объектных и (или) локальных сметных расчетов (смет), а также сметных расчетов на отдельные виды затрат в текущем уровне цен. ССРСС составляется при наличии двух и более смет. Обязательными приложениями к ССРСС являются локальные сметы, подписанные инженером-сметчиком контрагента (подрядчика), с обязательным указанием должности, наименования организации, Ф.И.О. подписанта. Наименование и нумерация глав сводного сметного расчета не подлежат корректировке вне зависимости от состава включаемых затрат. В случае отсутствия затрат, предусматриваемых соответствующей главой сводного сметного расчета, эта глава пропускается без изменения номеров последующих глав. </w:t>
      </w:r>
      <w:r>
        <w:rPr>
          <w:rFonts w:cs="Times New Roman" w:ascii="Times New Roman" w:hAnsi="Times New Roman"/>
          <w:color w:val="000000"/>
          <w:sz w:val="22"/>
          <w:szCs w:val="22"/>
        </w:rPr>
        <w:t>Формат ССРСС выполнять по Образцу Приложения № 1.1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40" w:after="4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</w:rPr>
        <w:t>Сметная документация должна быть представлена в двух вариантах: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на бумажном носителе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перевооружению;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709" w:leader="none"/>
          <w:tab w:val="left" w:pos="851" w:leader="none"/>
        </w:tabs>
        <w:spacing w:before="40" w:after="40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в формате ПК «Гранд-смета» выходная форма для печати указана ниже:</w:t>
      </w:r>
    </w:p>
    <w:p>
      <w:pPr>
        <w:pStyle w:val="Normal"/>
        <w:ind w:left="737"/>
        <w:rPr>
          <w:rFonts w:ascii="Times New Roman" w:hAnsi="Times New Roman"/>
        </w:rPr>
      </w:pPr>
      <w:r>
        <w:rPr/>
        <w:drawing>
          <wp:inline distT="0" distB="0" distL="0" distR="0">
            <wp:extent cx="5591175" cy="2995295"/>
            <wp:effectExtent l="0" t="0" r="0" b="0"/>
            <wp:docPr id="1" name="Рисунок 11" descr="cid:image001.jpg@01D771AB.FE884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1" descr="cid:image001.jpg@01D771AB.FE884A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ind w:left="5812"/>
        <w:rPr>
          <w:rFonts w:ascii="Times New Roman" w:hAnsi="Times New Roman"/>
        </w:rPr>
      </w:pPr>
      <w:r>
        <w:rPr>
          <w:color w:val="000000"/>
          <w:sz w:val="20"/>
          <w:szCs w:val="20"/>
        </w:rPr>
        <w:t xml:space="preserve">Приложение 1 </w:t>
      </w:r>
    </w:p>
    <w:p>
      <w:pPr>
        <w:pStyle w:val="Normal"/>
        <w:ind w:left="5811"/>
        <w:rPr>
          <w:rFonts w:ascii="Times New Roman" w:hAnsi="Times New Roman"/>
        </w:rPr>
      </w:pPr>
      <w:r>
        <w:rPr>
          <w:color w:val="000000"/>
          <w:sz w:val="20"/>
        </w:rPr>
        <w:t xml:space="preserve">к Требованиям к оформлению и составлению сметной документации </w:t>
      </w:r>
    </w:p>
    <w:p>
      <w:pPr>
        <w:pStyle w:val="Normal"/>
        <w:ind w:left="5811"/>
        <w:rPr>
          <w:rFonts w:ascii="Times New Roman" w:hAnsi="Times New Roman"/>
        </w:rPr>
      </w:pPr>
      <w:r>
        <w:rPr>
          <w:color w:val="000000"/>
          <w:sz w:val="20"/>
          <w:u w:val="single"/>
        </w:rPr>
        <w:t>на выполнение работ по программе ремонтов, реконструкции и техническому перевооружению</w:t>
      </w:r>
    </w:p>
    <w:p>
      <w:pPr>
        <w:pStyle w:val="Normal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  <w:sz w:val="24"/>
          <w:szCs w:val="24"/>
        </w:rPr>
        <w:t>Требования к оформлению и составлению сводного сметного расчета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к договорам на реконструкцию, техническое перевооружение и ремонт и дополнительным соглашениям к указанным договорам</w:t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1"/>
        <w:widowControl/>
        <w:numPr>
          <w:ilvl w:val="0"/>
          <w:numId w:val="21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При наличии двух и более сметных расчетов составлять ССРСС в текущем уровне цен по форме Приложения № 1.1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 по образцу.</w:t>
      </w:r>
    </w:p>
    <w:p>
      <w:pPr>
        <w:pStyle w:val="ConsPlusNormal1"/>
        <w:widowControl/>
        <w:numPr>
          <w:ilvl w:val="0"/>
          <w:numId w:val="21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В случае заключений дополнительных соглашений к договору (далее - д/с), ССРСС необходимо выполнять в накопительной форме с учетом ЛСР (ЛС) к основному договору и ко всем заключенным д/с к нему. В итогах ССРСС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ССРСС очередного д/с и стоимостью основного договора. Форма ССРСС с учетом заключения д/с к договору приведена в Приложении № 1.2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>
      <w:pPr>
        <w:pStyle w:val="ConsPlusNormal1"/>
        <w:widowControl/>
        <w:numPr>
          <w:ilvl w:val="0"/>
          <w:numId w:val="21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>
      <w:pPr>
        <w:pStyle w:val="ConsPlusNormal1"/>
        <w:widowControl/>
        <w:numPr>
          <w:ilvl w:val="0"/>
          <w:numId w:val="21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ЛС являются приложениями к ССРСС. Нумерация приложений указывается по мере включения ЛС в ССР в накопительной форме - по порядку.</w:t>
      </w:r>
    </w:p>
    <w:p>
      <w:pPr>
        <w:pStyle w:val="ConsPlusNormal1"/>
        <w:widowControl/>
        <w:numPr>
          <w:ilvl w:val="0"/>
          <w:numId w:val="21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Разнесение затрат (сумм ЛС) по графам и главам ССРСС осуществлять в соответствии с указаниями Методики определения сметной стоимости строительства.</w:t>
      </w:r>
    </w:p>
    <w:p>
      <w:pPr>
        <w:pStyle w:val="ConsPlusNormal1"/>
        <w:widowControl/>
        <w:numPr>
          <w:ilvl w:val="0"/>
          <w:numId w:val="21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В ССРСС, построчные и итоговые суммы указывать в рублях с округлением до двух знаков после запятой. Величину НДС не указывать.</w:t>
      </w:r>
    </w:p>
    <w:p>
      <w:pPr>
        <w:sectPr>
          <w:headerReference w:type="default" r:id="rId11"/>
          <w:headerReference w:type="first" r:id="rId12"/>
          <w:footerReference w:type="default" r:id="rId13"/>
          <w:footerReference w:type="first" r:id="rId14"/>
          <w:footnotePr>
            <w:numFmt w:val="decimal"/>
            <w:numRestart w:val="eachPage"/>
          </w:footnotePr>
          <w:type w:val="nextPage"/>
          <w:pgSz w:w="11906" w:h="16838"/>
          <w:pgMar w:left="1276" w:right="707" w:gutter="0" w:header="709" w:top="851" w:footer="709" w:bottom="766"/>
          <w:pgNumType w:fmt="decimal"/>
          <w:formProt w:val="false"/>
          <w:textDirection w:val="lrTb"/>
          <w:docGrid w:type="default" w:linePitch="360" w:charSpace="0"/>
        </w:sectPr>
        <w:pStyle w:val="ConsPlusNormal1"/>
        <w:widowControl/>
        <w:numPr>
          <w:ilvl w:val="0"/>
          <w:numId w:val="21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ССРСС.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ТПиР). </w:t>
      </w:r>
    </w:p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Приложение № 1.1</w:t>
      </w:r>
    </w:p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к Требованиям к оформлению и составлению 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ConsPlusNormal1"/>
        <w:ind w:firstLine="720" w:left="57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1"/>
        <w:ind w:firstLine="720" w:left="57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ОБРАЗЕЦ </w:t>
      </w:r>
      <w:r>
        <w:rPr>
          <w:rFonts w:cs="Times New Roman" w:ascii="Times New Roman" w:hAnsi="Times New Roman"/>
        </w:rPr>
        <w:t xml:space="preserve">                                                                                            </w:t>
      </w:r>
    </w:p>
    <w:p>
      <w:pPr>
        <w:pStyle w:val="ConsPlusNormal1"/>
        <w:ind w:firstLine="720" w:left="581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1"/>
        <w:ind w:firstLine="720" w:left="5811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Приложение №___</w:t>
      </w:r>
    </w:p>
    <w:p>
      <w:pPr>
        <w:pStyle w:val="ConsPlusNormal1"/>
        <w:ind w:firstLine="720" w:left="5811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к договору от_______№_____</w:t>
      </w:r>
    </w:p>
    <w:p>
      <w:pPr>
        <w:pStyle w:val="ConsPlusNormal1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 </w:t>
      </w:r>
    </w:p>
    <w:p>
      <w:pPr>
        <w:pStyle w:val="ConsPlusNormal1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bookmarkStart w:id="113" w:name="P3258"/>
      <w:bookmarkStart w:id="114" w:name="P2529"/>
      <w:bookmarkStart w:id="115" w:name="P2736"/>
      <w:bookmarkStart w:id="116" w:name="P2530"/>
      <w:bookmarkStart w:id="117" w:name="P2945"/>
      <w:bookmarkStart w:id="118" w:name="P2522"/>
      <w:bookmarkStart w:id="119" w:name="P2546"/>
      <w:bookmarkStart w:id="120" w:name="P2528"/>
      <w:bookmarkStart w:id="121" w:name="P2525"/>
      <w:bookmarkStart w:id="122" w:name="P2506"/>
      <w:bookmarkStart w:id="123" w:name="P2526"/>
      <w:bookmarkStart w:id="124" w:name="P2531"/>
      <w:bookmarkStart w:id="125" w:name="P2616"/>
      <w:bookmarkStart w:id="126" w:name="P2523"/>
      <w:bookmarkStart w:id="127" w:name="P2746"/>
      <w:bookmarkStart w:id="128" w:name="P2527"/>
      <w:bookmarkStart w:id="129" w:name="P2566"/>
      <w:bookmarkStart w:id="130" w:name="P2524"/>
      <w:bookmarkStart w:id="131" w:name="P3258"/>
      <w:bookmarkStart w:id="132" w:name="P2529"/>
      <w:bookmarkStart w:id="133" w:name="P2736"/>
      <w:bookmarkStart w:id="134" w:name="P2530"/>
      <w:bookmarkStart w:id="135" w:name="P2945"/>
      <w:bookmarkStart w:id="136" w:name="P2522"/>
      <w:bookmarkStart w:id="137" w:name="P2546"/>
      <w:bookmarkStart w:id="138" w:name="P2528"/>
      <w:bookmarkStart w:id="139" w:name="P2525"/>
      <w:bookmarkStart w:id="140" w:name="P2506"/>
      <w:bookmarkStart w:id="141" w:name="P2526"/>
      <w:bookmarkStart w:id="142" w:name="P2531"/>
      <w:bookmarkStart w:id="143" w:name="P2616"/>
      <w:bookmarkStart w:id="144" w:name="P2523"/>
      <w:bookmarkStart w:id="145" w:name="P2746"/>
      <w:bookmarkStart w:id="146" w:name="P2527"/>
      <w:bookmarkStart w:id="147" w:name="P2566"/>
      <w:bookmarkStart w:id="148" w:name="P2524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3440"/>
        <w:gridCol w:w="6196"/>
      </w:tblGrid>
      <w:tr>
        <w:trPr>
          <w:trHeight w:val="1158" w:hRule="atLeast"/>
        </w:trPr>
        <w:tc>
          <w:tcPr>
            <w:tcW w:w="3440" w:type="dxa"/>
            <w:tcBorders/>
            <w:shd w:color="auto" w:fill="auto" w:val="clear"/>
          </w:tcPr>
          <w:p>
            <w:pPr>
              <w:pStyle w:val="ConsPlusNormal1"/>
              <w:ind w:hanging="0" w:left="283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</w:rPr>
              <w:t>СОГЛАСОВАНО</w:t>
            </w:r>
            <w:r>
              <w:rPr>
                <w:rFonts w:cs="Times New Roman" w:ascii="Times New Roman" w:hAnsi="Times New Roman"/>
              </w:rPr>
              <w:t xml:space="preserve">:                                           </w:t>
            </w:r>
          </w:p>
          <w:p>
            <w:pPr>
              <w:pStyle w:val="ConsPlusNormal1"/>
              <w:ind w:hanging="0" w:right="-909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______________(Подрядчик )       </w:t>
            </w:r>
          </w:p>
          <w:p>
            <w:pPr>
              <w:pStyle w:val="ConsPlusNormal1"/>
              <w:tabs>
                <w:tab w:val="clear" w:pos="708"/>
                <w:tab w:val="left" w:pos="0" w:leader="none"/>
              </w:tabs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_______________(ФИО)</w:t>
            </w:r>
          </w:p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ConsPlusNormal1"/>
              <w:ind w:hanging="142" w:left="142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Заказчик:______________________</w:t>
            </w:r>
          </w:p>
        </w:tc>
        <w:tc>
          <w:tcPr>
            <w:tcW w:w="6196" w:type="dxa"/>
            <w:tcBorders/>
            <w:shd w:color="auto" w:fill="auto" w:val="clear"/>
          </w:tcPr>
          <w:p>
            <w:pPr>
              <w:pStyle w:val="ConsPlusNormal1"/>
              <w:ind w:firstLine="720" w:right="-3855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</w:rPr>
              <w:t>УТВЕРЖДАЮ:</w:t>
            </w:r>
          </w:p>
          <w:p>
            <w:pPr>
              <w:pStyle w:val="ConsPlusNormal1"/>
              <w:ind w:hanging="0" w:right="-909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</w:rPr>
              <w:t xml:space="preserve">                                                                                           </w:t>
            </w:r>
            <w:r>
              <w:rPr>
                <w:rFonts w:cs="Times New Roman" w:ascii="Times New Roman" w:hAnsi="Times New Roman"/>
              </w:rPr>
              <w:t xml:space="preserve">_____________(Заказчик )       </w:t>
            </w:r>
          </w:p>
          <w:p>
            <w:pPr>
              <w:pStyle w:val="ConsPlusNormal1"/>
              <w:ind w:firstLine="720" w:left="255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                 </w:t>
            </w:r>
            <w:r>
              <w:rPr>
                <w:rFonts w:cs="Times New Roman" w:ascii="Times New Roman" w:hAnsi="Times New Roman"/>
              </w:rPr>
              <w:t>______________(ФИО)</w:t>
            </w:r>
          </w:p>
        </w:tc>
      </w:tr>
      <w:tr>
        <w:trPr/>
        <w:tc>
          <w:tcPr>
            <w:tcW w:w="3440" w:type="dxa"/>
            <w:tcBorders/>
            <w:shd w:color="auto" w:fill="auto" w:val="clear"/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(наименование организации)</w:t>
            </w:r>
          </w:p>
        </w:tc>
        <w:tc>
          <w:tcPr>
            <w:tcW w:w="6196" w:type="dxa"/>
            <w:tcBorders/>
            <w:shd w:color="auto" w:fill="auto" w:val="clear"/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9636" w:type="dxa"/>
            <w:gridSpan w:val="2"/>
            <w:tcBorders/>
            <w:shd w:color="auto" w:fill="auto" w:val="clear"/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Утвержден: __ ______________202__ г.</w:t>
            </w:r>
          </w:p>
        </w:tc>
      </w:tr>
    </w:tbl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564"/>
        <w:gridCol w:w="2352"/>
        <w:gridCol w:w="2721"/>
      </w:tblGrid>
      <w:tr>
        <w:trPr/>
        <w:tc>
          <w:tcPr>
            <w:tcW w:w="4564" w:type="dxa"/>
            <w:tcBorders/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Сводный сметный расчет сметной стоимостью</w:t>
            </w:r>
          </w:p>
        </w:tc>
        <w:tc>
          <w:tcPr>
            <w:tcW w:w="2352" w:type="dxa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721" w:type="dxa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руб.</w:t>
            </w:r>
          </w:p>
        </w:tc>
      </w:tr>
      <w:tr>
        <w:trPr/>
        <w:tc>
          <w:tcPr>
            <w:tcW w:w="9637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(ссылка на документ об утверждении)</w:t>
            </w:r>
          </w:p>
        </w:tc>
      </w:tr>
      <w:tr>
        <w:trPr/>
        <w:tc>
          <w:tcPr>
            <w:tcW w:w="9637" w:type="dxa"/>
            <w:gridSpan w:val="3"/>
            <w:tcBorders/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СВОДНЫЙ СМЕТНЫЙ РАСЧЕТ </w:t>
            </w:r>
          </w:p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N ССРСС-________</w:t>
            </w:r>
          </w:p>
        </w:tc>
      </w:tr>
      <w:tr>
        <w:trPr>
          <w:trHeight w:val="22" w:hRule="atLeast"/>
        </w:trPr>
        <w:tc>
          <w:tcPr>
            <w:tcW w:w="9637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(наименование стройки)</w:t>
            </w:r>
          </w:p>
        </w:tc>
      </w:tr>
      <w:tr>
        <w:trPr/>
        <w:tc>
          <w:tcPr>
            <w:tcW w:w="9637" w:type="dxa"/>
            <w:gridSpan w:val="3"/>
            <w:tcBorders/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507"/>
        <w:gridCol w:w="1148"/>
        <w:gridCol w:w="229"/>
        <w:gridCol w:w="1062"/>
        <w:gridCol w:w="328"/>
        <w:gridCol w:w="1210"/>
        <w:gridCol w:w="333"/>
        <w:gridCol w:w="967"/>
        <w:gridCol w:w="1327"/>
        <w:gridCol w:w="1215"/>
        <w:gridCol w:w="1309"/>
      </w:tblGrid>
      <w:tr>
        <w:trPr>
          <w:trHeight w:val="212" w:hRule="atLeast"/>
        </w:trPr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N п/п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</w:t>
            </w:r>
          </w:p>
        </w:tc>
        <w:tc>
          <w:tcPr>
            <w:tcW w:w="12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66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Сметная стоимость, руб.</w:t>
            </w:r>
          </w:p>
        </w:tc>
      </w:tr>
      <w:tr>
        <w:trPr>
          <w:trHeight w:val="1114" w:hRule="atLeast"/>
        </w:trPr>
        <w:tc>
          <w:tcPr>
            <w:tcW w:w="5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9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 w:left="19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оборудования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 w:left="-113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прочих затрат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Всего</w:t>
            </w:r>
          </w:p>
        </w:tc>
      </w:tr>
      <w:tr>
        <w:trPr>
          <w:trHeight w:val="85" w:hRule="atLeast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</w:t>
            </w:r>
          </w:p>
        </w:tc>
      </w:tr>
      <w:tr>
        <w:trPr>
          <w:trHeight w:val="24" w:hRule="atLeast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27" w:hRule="atLeast"/>
        </w:trPr>
        <w:tc>
          <w:tcPr>
            <w:tcW w:w="32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tabs>
                <w:tab w:val="clear" w:pos="708"/>
                <w:tab w:val="left" w:pos="567" w:leader="none"/>
                <w:tab w:val="left" w:pos="2091" w:leader="none"/>
              </w:tabs>
              <w:ind w:hanging="425" w:left="17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Руководитель</w:t>
            </w:r>
          </w:p>
          <w:p>
            <w:pPr>
              <w:pStyle w:val="ConsPlusNormal1"/>
              <w:tabs>
                <w:tab w:val="clear" w:pos="708"/>
                <w:tab w:val="left" w:pos="851" w:leader="none"/>
              </w:tabs>
              <w:ind w:hanging="141" w:left="17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проектной организации</w:t>
            </w:r>
          </w:p>
        </w:tc>
        <w:tc>
          <w:tcPr>
            <w:tcW w:w="6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32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[подпись (инициалы, фамилия)]</w:t>
            </w:r>
          </w:p>
        </w:tc>
      </w:tr>
      <w:tr>
        <w:trPr/>
        <w:tc>
          <w:tcPr>
            <w:tcW w:w="32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Главный инженер проекта</w:t>
            </w:r>
          </w:p>
        </w:tc>
        <w:tc>
          <w:tcPr>
            <w:tcW w:w="6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firstLine="1" w:left="-907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Начальник</w:t>
            </w:r>
          </w:p>
        </w:tc>
        <w:tc>
          <w:tcPr>
            <w:tcW w:w="1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67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отдела</w:t>
            </w:r>
          </w:p>
        </w:tc>
        <w:tc>
          <w:tcPr>
            <w:tcW w:w="4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198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(наименование)</w:t>
            </w:r>
          </w:p>
        </w:tc>
        <w:tc>
          <w:tcPr>
            <w:tcW w:w="1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[подпись (инициалы, фамилия)]</w:t>
            </w:r>
          </w:p>
        </w:tc>
      </w:tr>
      <w:tr>
        <w:trPr/>
        <w:tc>
          <w:tcPr>
            <w:tcW w:w="1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firstLine="283" w:left="284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Заказчик</w:t>
            </w:r>
          </w:p>
        </w:tc>
        <w:tc>
          <w:tcPr>
            <w:tcW w:w="77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[подпись (инициалы, фамилия)]</w:t>
            </w:r>
          </w:p>
        </w:tc>
      </w:tr>
    </w:tbl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Приложение №1.2</w:t>
      </w:r>
    </w:p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к Требованиям к оформлению и составлению </w:t>
      </w:r>
    </w:p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сметной документации на выполнение работ по программе</w:t>
      </w:r>
    </w:p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ремонтов, реконструкции и техническому перевооружению</w:t>
      </w:r>
    </w:p>
    <w:p>
      <w:pPr>
        <w:pStyle w:val="ConsPlusNormal1"/>
        <w:ind w:firstLine="720" w:left="581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1"/>
        <w:ind w:firstLine="720" w:left="57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ОБРАЗЕЦ </w:t>
      </w:r>
      <w:r>
        <w:rPr>
          <w:rFonts w:cs="Times New Roman" w:ascii="Times New Roman" w:hAnsi="Times New Roman"/>
        </w:rPr>
        <w:t xml:space="preserve">                                                                                            </w:t>
      </w:r>
    </w:p>
    <w:p>
      <w:pPr>
        <w:pStyle w:val="ConsPlusNormal1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1"/>
        <w:tabs>
          <w:tab w:val="clear" w:pos="708"/>
          <w:tab w:val="left" w:pos="6804" w:leader="none"/>
        </w:tabs>
        <w:ind w:firstLine="720" w:left="5811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                       </w:t>
      </w:r>
      <w:r>
        <w:rPr>
          <w:rFonts w:cs="Times New Roman" w:ascii="Times New Roman" w:hAnsi="Times New Roman"/>
        </w:rPr>
        <w:t>Приложение №___</w:t>
      </w:r>
    </w:p>
    <w:p>
      <w:pPr>
        <w:pStyle w:val="ConsPlusNormal1"/>
        <w:tabs>
          <w:tab w:val="clear" w:pos="708"/>
          <w:tab w:val="left" w:pos="6946" w:leader="none"/>
        </w:tabs>
        <w:ind w:firstLine="720" w:left="5811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                         </w:t>
      </w:r>
      <w:r>
        <w:rPr>
          <w:rFonts w:cs="Times New Roman" w:ascii="Times New Roman" w:hAnsi="Times New Roman"/>
        </w:rPr>
        <w:t>к дополнительному соглашению от ___ № ___</w:t>
      </w:r>
    </w:p>
    <w:p>
      <w:pPr>
        <w:pStyle w:val="ConsPlusNormal1"/>
        <w:ind w:firstLine="72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</w:t>
      </w:r>
      <w:r>
        <w:rPr>
          <w:rFonts w:cs="Times New Roman" w:ascii="Times New Roman" w:hAnsi="Times New Roman"/>
        </w:rPr>
        <w:t xml:space="preserve">к договору от________№_____ </w:t>
      </w:r>
    </w:p>
    <w:tbl>
      <w:tblPr>
        <w:tblW w:w="10915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1222"/>
        <w:gridCol w:w="9692"/>
      </w:tblGrid>
      <w:tr>
        <w:trPr/>
        <w:tc>
          <w:tcPr>
            <w:tcW w:w="1222" w:type="dxa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                                </w:t>
            </w:r>
            <w:r>
              <w:rPr>
                <w:rFonts w:cs="Times New Roman" w:ascii="Times New Roman" w:hAnsi="Times New Roman"/>
              </w:rPr>
              <w:t>Заказчик</w:t>
            </w:r>
          </w:p>
        </w:tc>
        <w:tc>
          <w:tcPr>
            <w:tcW w:w="9692" w:type="dxa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222" w:type="dxa"/>
            <w:tcBorders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692" w:type="dxa"/>
            <w:tcBorders>
              <w:top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(наименование организации)</w:t>
            </w:r>
          </w:p>
        </w:tc>
      </w:tr>
      <w:tr>
        <w:trPr/>
        <w:tc>
          <w:tcPr>
            <w:tcW w:w="10914" w:type="dxa"/>
            <w:gridSpan w:val="2"/>
            <w:tcBorders/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Утвержден __ ______________ 20__ г.</w:t>
            </w:r>
          </w:p>
        </w:tc>
      </w:tr>
    </w:tbl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977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5215"/>
        <w:gridCol w:w="2664"/>
        <w:gridCol w:w="3098"/>
      </w:tblGrid>
      <w:tr>
        <w:trPr/>
        <w:tc>
          <w:tcPr>
            <w:tcW w:w="5215" w:type="dxa"/>
            <w:tcBorders/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Сводный сметный расчет сметной стоимостью</w:t>
            </w:r>
          </w:p>
        </w:tc>
        <w:tc>
          <w:tcPr>
            <w:tcW w:w="2664" w:type="dxa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098" w:type="dxa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руб.</w:t>
            </w:r>
          </w:p>
        </w:tc>
      </w:tr>
      <w:tr>
        <w:trPr/>
        <w:tc>
          <w:tcPr>
            <w:tcW w:w="10977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0977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(ссылка на документ об утверждении)</w:t>
            </w:r>
          </w:p>
        </w:tc>
      </w:tr>
    </w:tbl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977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10977"/>
      </w:tblGrid>
      <w:tr>
        <w:trPr/>
        <w:tc>
          <w:tcPr>
            <w:tcW w:w="10977" w:type="dxa"/>
            <w:tcBorders/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СВОДНЫЙ СМЕТНЫЙ РАСЧЕТ </w:t>
            </w:r>
          </w:p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N ССРСС-________</w:t>
            </w:r>
          </w:p>
        </w:tc>
      </w:tr>
      <w:tr>
        <w:trPr/>
        <w:tc>
          <w:tcPr>
            <w:tcW w:w="10977" w:type="dxa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0977" w:type="dxa"/>
            <w:tcBorders>
              <w:top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(наименование стройки)</w:t>
            </w:r>
          </w:p>
        </w:tc>
      </w:tr>
      <w:tr>
        <w:trPr/>
        <w:tc>
          <w:tcPr>
            <w:tcW w:w="10977" w:type="dxa"/>
            <w:tcBorders/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1025"/>
        <w:gridCol w:w="1141"/>
        <w:gridCol w:w="304"/>
        <w:gridCol w:w="1695"/>
        <w:gridCol w:w="63"/>
        <w:gridCol w:w="1535"/>
        <w:gridCol w:w="21"/>
        <w:gridCol w:w="1009"/>
        <w:gridCol w:w="1202"/>
        <w:gridCol w:w="674"/>
        <w:gridCol w:w="966"/>
      </w:tblGrid>
      <w:tr>
        <w:trPr>
          <w:trHeight w:val="311" w:hRule="atLeast"/>
        </w:trPr>
        <w:tc>
          <w:tcPr>
            <w:tcW w:w="1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Nп/п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</w:t>
            </w:r>
          </w:p>
        </w:tc>
        <w:tc>
          <w:tcPr>
            <w:tcW w:w="2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54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Сметная стоимость, руб.</w:t>
            </w:r>
          </w:p>
        </w:tc>
      </w:tr>
      <w:tr>
        <w:trPr>
          <w:trHeight w:val="1294" w:hRule="atLeast"/>
        </w:trPr>
        <w:tc>
          <w:tcPr>
            <w:tcW w:w="1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6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оборудования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прочих затрат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всего</w:t>
            </w:r>
          </w:p>
        </w:tc>
      </w:tr>
      <w:tr>
        <w:trPr>
          <w:trHeight w:val="13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</w:t>
            </w:r>
          </w:p>
        </w:tc>
      </w:tr>
      <w:tr>
        <w:trPr/>
        <w:tc>
          <w:tcPr>
            <w:tcW w:w="96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Сметы основного договора </w:t>
            </w:r>
          </w:p>
        </w:tc>
      </w:tr>
      <w:tr>
        <w:trPr>
          <w:trHeight w:val="287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39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Итого по сметам основного договора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96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Включить дополнительным соглашением № 1</w:t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Итого включено дополнительным соглашением № 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6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Исключить дополнительным соглашением № 2</w:t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Итого исключено дополнительным соглашением № 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Итого по главе №: __________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Итого по главам №№: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Всего по ССР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>Справочно</w:t>
            </w:r>
            <w:r>
              <w:rPr>
                <w:rFonts w:cs="Times New Roman"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</w:rPr>
              <w:t>Сумма основного договора, без НДС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</w:rPr>
              <w:t>Сумма изменения</w:t>
              <w:br/>
              <w:t xml:space="preserve">(увеличения/уменьшения) стоимости основного договора на основании ДС № 1, без НДС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321" w:hRule="atLeast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</w:rPr>
              <w:t>Сумма изменения</w:t>
              <w:br/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W w:w="4165" w:type="dxa"/>
            <w:gridSpan w:val="4"/>
            <w:tcBorders/>
          </w:tcPr>
          <w:p>
            <w:pPr>
              <w:pStyle w:val="ConsPlusNormal1"/>
              <w:tabs>
                <w:tab w:val="clear" w:pos="708"/>
                <w:tab w:val="left" w:pos="2091" w:leader="none"/>
              </w:tabs>
              <w:ind w:hanging="425" w:left="425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       </w:t>
            </w:r>
            <w:r>
              <w:rPr>
                <w:rFonts w:cs="Times New Roman" w:ascii="Times New Roman" w:hAnsi="Times New Roman"/>
              </w:rPr>
              <w:t>Руководитель</w:t>
            </w:r>
          </w:p>
          <w:p>
            <w:pPr>
              <w:pStyle w:val="ConsPlusNormal1"/>
              <w:ind w:hanging="425" w:left="425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       </w:t>
            </w:r>
            <w:r>
              <w:rPr>
                <w:rFonts w:cs="Times New Roman" w:ascii="Times New Roman" w:hAnsi="Times New Roman"/>
              </w:rPr>
              <w:t>проектной организации</w:t>
            </w:r>
          </w:p>
        </w:tc>
        <w:tc>
          <w:tcPr>
            <w:tcW w:w="5470" w:type="dxa"/>
            <w:gridSpan w:val="7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4165" w:type="dxa"/>
            <w:gridSpan w:val="4"/>
            <w:tcBorders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70" w:type="dxa"/>
            <w:gridSpan w:val="7"/>
            <w:tcBorders>
              <w:top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[подпись (инициалы, фамилия)]</w:t>
            </w:r>
          </w:p>
        </w:tc>
      </w:tr>
      <w:tr>
        <w:trPr/>
        <w:tc>
          <w:tcPr>
            <w:tcW w:w="4165" w:type="dxa"/>
            <w:gridSpan w:val="4"/>
            <w:tcBorders/>
          </w:tcPr>
          <w:p>
            <w:pPr>
              <w:pStyle w:val="ConsPlusNormal1"/>
              <w:ind w:hanging="141" w:left="14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Главный инженер проекта</w:t>
            </w:r>
          </w:p>
        </w:tc>
        <w:tc>
          <w:tcPr>
            <w:tcW w:w="5470" w:type="dxa"/>
            <w:gridSpan w:val="7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4165" w:type="dxa"/>
            <w:gridSpan w:val="4"/>
            <w:tcBorders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470" w:type="dxa"/>
            <w:gridSpan w:val="7"/>
            <w:tcBorders>
              <w:top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[подпись (инициалы, фамилия)]</w:t>
            </w:r>
          </w:p>
        </w:tc>
      </w:tr>
      <w:tr>
        <w:trPr/>
        <w:tc>
          <w:tcPr>
            <w:tcW w:w="2470" w:type="dxa"/>
            <w:gridSpan w:val="3"/>
            <w:tcBorders/>
          </w:tcPr>
          <w:p>
            <w:pPr>
              <w:pStyle w:val="ConsPlusNormal1"/>
              <w:ind w:firstLine="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Начальник</w:t>
            </w:r>
          </w:p>
        </w:tc>
        <w:tc>
          <w:tcPr>
            <w:tcW w:w="1758" w:type="dxa"/>
            <w:gridSpan w:val="2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6" w:type="dxa"/>
            <w:gridSpan w:val="2"/>
            <w:tcBorders/>
          </w:tcPr>
          <w:p>
            <w:pPr>
              <w:pStyle w:val="ConsPlusNormal1"/>
              <w:ind w:hanging="67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отдела</w:t>
            </w:r>
          </w:p>
        </w:tc>
        <w:tc>
          <w:tcPr>
            <w:tcW w:w="3851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470" w:type="dxa"/>
            <w:gridSpan w:val="3"/>
            <w:tcBorders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58" w:type="dxa"/>
            <w:gridSpan w:val="2"/>
            <w:tcBorders>
              <w:top w:val="single" w:sz="4" w:space="0" w:color="000000"/>
            </w:tcBorders>
          </w:tcPr>
          <w:p>
            <w:pPr>
              <w:pStyle w:val="ConsPlusNormal1"/>
              <w:ind w:hanging="198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(наименование)</w:t>
            </w:r>
          </w:p>
        </w:tc>
        <w:tc>
          <w:tcPr>
            <w:tcW w:w="1556" w:type="dxa"/>
            <w:gridSpan w:val="2"/>
            <w:tcBorders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851" w:type="dxa"/>
            <w:gridSpan w:val="4"/>
            <w:tcBorders>
              <w:top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[подпись (инициалы, фамилия)]</w:t>
            </w:r>
          </w:p>
        </w:tc>
      </w:tr>
      <w:tr>
        <w:trPr/>
        <w:tc>
          <w:tcPr>
            <w:tcW w:w="2470" w:type="dxa"/>
            <w:gridSpan w:val="3"/>
            <w:tcBorders/>
          </w:tcPr>
          <w:p>
            <w:pPr>
              <w:pStyle w:val="ConsPlusNormal1"/>
              <w:ind w:hanging="141" w:left="14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Заказчик</w:t>
            </w:r>
          </w:p>
        </w:tc>
        <w:tc>
          <w:tcPr>
            <w:tcW w:w="7165" w:type="dxa"/>
            <w:gridSpan w:val="8"/>
            <w:tcBorders>
              <w:bottom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470" w:type="dxa"/>
            <w:gridSpan w:val="3"/>
            <w:tcBorders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7165" w:type="dxa"/>
            <w:gridSpan w:val="8"/>
            <w:tcBorders>
              <w:top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[должность, подпись (инициалы, фамилия)]</w:t>
            </w:r>
          </w:p>
        </w:tc>
      </w:tr>
    </w:tbl>
    <w:p>
      <w:pPr>
        <w:sectPr>
          <w:headerReference w:type="default" r:id="rId15"/>
          <w:headerReference w:type="first" r:id="rId16"/>
          <w:footerReference w:type="default" r:id="rId17"/>
          <w:footerReference w:type="first" r:id="rId18"/>
          <w:footnotePr>
            <w:numFmt w:val="decimal"/>
            <w:numRestart w:val="eachPage"/>
          </w:footnotePr>
          <w:type w:val="nextPage"/>
          <w:pgSz w:w="11906" w:h="16838"/>
          <w:pgMar w:left="1418" w:right="851" w:gutter="0" w:header="709" w:top="1134" w:footer="709" w:bottom="851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Приложение №1.3</w:t>
      </w:r>
    </w:p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к Требованиям к оформлению и составлению </w:t>
      </w:r>
    </w:p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ConsPlusNormal1"/>
        <w:ind w:firstLine="720" w:left="581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1"/>
        <w:ind w:firstLine="720" w:left="57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ОБРАЗЕЦ </w:t>
      </w:r>
      <w:r>
        <w:rPr>
          <w:rFonts w:cs="Times New Roman" w:ascii="Times New Roman" w:hAnsi="Times New Roman"/>
        </w:rPr>
        <w:t xml:space="preserve">                                                                                            </w:t>
      </w:r>
    </w:p>
    <w:p>
      <w:pPr>
        <w:pStyle w:val="ConsPlusNormal1"/>
        <w:ind w:firstLine="720" w:left="5811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1"/>
        <w:ind w:firstLine="720" w:left="5811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Приложение №___</w:t>
      </w:r>
    </w:p>
    <w:p>
      <w:pPr>
        <w:pStyle w:val="ConsPlusNormal1"/>
        <w:ind w:firstLine="720" w:left="5811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к дополнительному соглашению от ___ № ___</w:t>
      </w:r>
    </w:p>
    <w:p>
      <w:pPr>
        <w:pStyle w:val="ConsPlusNormal1"/>
        <w:ind w:firstLine="720" w:left="5811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                                   </w:t>
      </w:r>
      <w:r>
        <w:rPr>
          <w:rFonts w:cs="Times New Roman" w:ascii="Times New Roman" w:hAnsi="Times New Roman"/>
        </w:rPr>
        <w:t xml:space="preserve">к договору от_______№_____ </w:t>
      </w:r>
    </w:p>
    <w:p>
      <w:pPr>
        <w:pStyle w:val="ConsPlusNormal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jc w:val="center"/>
        <w:rPr>
          <w:rFonts w:ascii="Times New Roman" w:hAnsi="Times New Roman"/>
        </w:rPr>
      </w:pPr>
      <w:r>
        <w:rPr>
          <w:b/>
          <w:sz w:val="20"/>
          <w:szCs w:val="20"/>
        </w:rPr>
        <w:t>Сопоставительная ведомость изменения сметной стоимости</w:t>
      </w:r>
    </w:p>
    <w:p>
      <w:pPr>
        <w:pStyle w:val="Normal"/>
        <w:widowControl w:val="false"/>
        <w:jc w:val="both"/>
        <w:rPr>
          <w:rFonts w:ascii="Times New Roman" w:hAnsi="Times New Roman"/>
          <w:b/>
          <w:sz w:val="20"/>
          <w:szCs w:val="20"/>
        </w:rPr>
      </w:pPr>
      <w:r>
        <w:rPr>
          <w:b/>
          <w:sz w:val="20"/>
          <w:szCs w:val="20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366"/>
        <w:gridCol w:w="758"/>
        <w:gridCol w:w="1220"/>
        <w:gridCol w:w="1186"/>
        <w:gridCol w:w="1198"/>
        <w:gridCol w:w="1601"/>
        <w:gridCol w:w="1600"/>
        <w:gridCol w:w="1990"/>
      </w:tblGrid>
      <w:tr>
        <w:trPr>
          <w:trHeight w:val="433" w:hRule="atLeast"/>
        </w:trPr>
        <w:tc>
          <w:tcPr>
            <w:tcW w:w="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п/п</w:t>
            </w:r>
          </w:p>
        </w:tc>
        <w:tc>
          <w:tcPr>
            <w:tcW w:w="3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Обоснование изменений сметной стоимости</w:t>
            </w:r>
          </w:p>
        </w:tc>
      </w:tr>
      <w:tr>
        <w:trPr/>
        <w:tc>
          <w:tcPr>
            <w:tcW w:w="3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шифр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позиции сметного расчета (сметы) в ССР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подлежащая включению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подлежащая исключению</w:t>
            </w:r>
          </w:p>
        </w:tc>
        <w:tc>
          <w:tcPr>
            <w:tcW w:w="16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>
        <w:trPr/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widowControl w:val="false"/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720" w:left="357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Приложение №1.4</w:t>
      </w:r>
    </w:p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к Требованиям к оформлению и составлению </w:t>
      </w:r>
    </w:p>
    <w:p>
      <w:pPr>
        <w:pStyle w:val="ConsPlusNormal1"/>
        <w:ind w:hanging="0" w:left="5811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ConsPlusNormal1"/>
        <w:ind w:firstLine="720" w:left="5811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1"/>
        <w:ind w:firstLine="720" w:left="5811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Приложение №___</w:t>
      </w:r>
    </w:p>
    <w:p>
      <w:pPr>
        <w:pStyle w:val="ConsPlusNormal1"/>
        <w:ind w:firstLine="720" w:left="5811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к дополнительному соглашению от ___ № ___</w:t>
      </w:r>
    </w:p>
    <w:p>
      <w:pPr>
        <w:pStyle w:val="ConsPlusNormal1"/>
        <w:ind w:firstLine="720" w:left="5811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к договору от_______№_____ </w:t>
      </w:r>
    </w:p>
    <w:p>
      <w:pPr>
        <w:pStyle w:val="Normal"/>
        <w:jc w:val="both"/>
        <w:rPr>
          <w:rFonts w:ascii="Times New Roman" w:hAnsi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/>
        </w:rPr>
      </w:pPr>
      <w:r>
        <w:rPr/>
      </w:r>
    </w:p>
    <w:p>
      <w:pPr>
        <w:pStyle w:val="ConsPlusNormal1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>Сопоставительная ведомость объемов работ</w:t>
      </w:r>
    </w:p>
    <w:p>
      <w:pPr>
        <w:pStyle w:val="ConsPlusNormal1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368"/>
        <w:gridCol w:w="445"/>
        <w:gridCol w:w="1055"/>
        <w:gridCol w:w="845"/>
        <w:gridCol w:w="848"/>
        <w:gridCol w:w="1108"/>
        <w:gridCol w:w="415"/>
        <w:gridCol w:w="843"/>
        <w:gridCol w:w="848"/>
        <w:gridCol w:w="446"/>
        <w:gridCol w:w="793"/>
        <w:gridCol w:w="1013"/>
        <w:gridCol w:w="893"/>
      </w:tblGrid>
      <w:tr>
        <w:trPr>
          <w:trHeight w:val="622" w:hRule="atLeast"/>
        </w:trPr>
        <w:tc>
          <w:tcPr>
            <w:tcW w:w="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 w:left="-62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№№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пп</w:t>
            </w:r>
          </w:p>
        </w:tc>
        <w:tc>
          <w:tcPr>
            <w:tcW w:w="3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63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Ед. изм.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2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Изменение объемов работ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Обоснование изменений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1416" w:left="136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Примечание</w:t>
            </w:r>
          </w:p>
        </w:tc>
      </w:tr>
      <w:tr>
        <w:trPr>
          <w:trHeight w:val="297" w:hRule="atLeast"/>
        </w:trPr>
        <w:tc>
          <w:tcPr>
            <w:tcW w:w="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firstLine="720" w:left="-797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1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 w:left="-64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№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позиции в сметном расчете</w:t>
            </w:r>
          </w:p>
        </w:tc>
        <w:tc>
          <w:tcPr>
            <w:tcW w:w="1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69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3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518" w:hRule="atLeast"/>
        </w:trPr>
        <w:tc>
          <w:tcPr>
            <w:tcW w:w="3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 изменений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11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firstLine="79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до изменений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firstLine="720" w:left="-8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увели</w:t>
            </w:r>
          </w:p>
          <w:p>
            <w:pPr>
              <w:pStyle w:val="ConsPlusNormal1"/>
              <w:ind w:firstLine="720" w:left="-80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чение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снижение</w:t>
            </w:r>
          </w:p>
        </w:tc>
        <w:tc>
          <w:tcPr>
            <w:tcW w:w="10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32" w:hRule="atLeast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sectPr>
          <w:headerReference w:type="default" r:id="rId19"/>
          <w:headerReference w:type="first" r:id="rId20"/>
          <w:footerReference w:type="default" r:id="rId21"/>
          <w:footerReference w:type="first" r:id="rId22"/>
          <w:footnotePr>
            <w:numFmt w:val="decimal"/>
            <w:numRestart w:val="eachPage"/>
          </w:footnotePr>
          <w:type w:val="nextPage"/>
          <w:pgSz w:w="11906" w:h="16838"/>
          <w:pgMar w:left="1134" w:right="851" w:gutter="0" w:header="709" w:top="1134" w:footer="709" w:bottom="851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rmal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1"/>
        <w:ind w:hanging="0" w:left="10490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Приложение №1.5</w:t>
      </w:r>
    </w:p>
    <w:p>
      <w:pPr>
        <w:pStyle w:val="ConsPlusNormal1"/>
        <w:ind w:hanging="0" w:left="10490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к Требованиям к оформлению и составлению </w:t>
      </w:r>
    </w:p>
    <w:p>
      <w:pPr>
        <w:pStyle w:val="ConsPlusNormal1"/>
        <w:ind w:hanging="0" w:left="10490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Normal"/>
        <w:rPr>
          <w:rFonts w:ascii="Times New Roman" w:hAnsi="Times New Roman"/>
        </w:rPr>
      </w:pPr>
      <w:r>
        <w:rPr>
          <w:b/>
          <w:color w:val="000000"/>
          <w:sz w:val="20"/>
          <w:szCs w:val="20"/>
        </w:rPr>
        <w:t>ОБРАЗЕЦ</w:t>
      </w:r>
    </w:p>
    <w:p>
      <w:pPr>
        <w:pStyle w:val="Normal"/>
        <w:rPr>
          <w:rFonts w:ascii="Times New Roman" w:hAnsi="Times New Roma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9"/>
        <w:gridCol w:w="1169"/>
        <w:gridCol w:w="802"/>
        <w:gridCol w:w="2024"/>
        <w:gridCol w:w="786"/>
        <w:gridCol w:w="933"/>
        <w:gridCol w:w="791"/>
        <w:gridCol w:w="1241"/>
        <w:gridCol w:w="1289"/>
        <w:gridCol w:w="793"/>
        <w:gridCol w:w="1239"/>
        <w:gridCol w:w="582"/>
        <w:gridCol w:w="824"/>
        <w:gridCol w:w="1420"/>
      </w:tblGrid>
      <w:tr>
        <w:trPr>
          <w:trHeight w:val="285" w:hRule="atLeast"/>
        </w:trPr>
        <w:tc>
          <w:tcPr>
            <w:tcW w:w="2930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2024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7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065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>
        <w:trPr>
          <w:trHeight w:val="225" w:hRule="exact"/>
        </w:trPr>
        <w:tc>
          <w:tcPr>
            <w:tcW w:w="4954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858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45" w:hRule="atLeast"/>
        </w:trPr>
        <w:tc>
          <w:tcPr>
            <w:tcW w:w="95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28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"_____" _____________2021 г</w:t>
            </w:r>
          </w:p>
        </w:tc>
        <w:tc>
          <w:tcPr>
            <w:tcW w:w="80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24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"_____" ________2021 г</w:t>
            </w:r>
          </w:p>
        </w:tc>
      </w:tr>
      <w:tr>
        <w:trPr>
          <w:trHeight w:val="225" w:hRule="atLeast"/>
        </w:trPr>
        <w:tc>
          <w:tcPr>
            <w:tcW w:w="2930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 xml:space="preserve">Наименование редакции сметных нормативов  </w:t>
            </w:r>
          </w:p>
        </w:tc>
        <w:tc>
          <w:tcPr>
            <w:tcW w:w="11922" w:type="dxa"/>
            <w:gridSpan w:val="11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300" w:hRule="atLeast"/>
        </w:trPr>
        <w:tc>
          <w:tcPr>
            <w:tcW w:w="293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2810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ПК "ГРАНД-Смета 2021"</w:t>
            </w:r>
          </w:p>
        </w:tc>
        <w:tc>
          <w:tcPr>
            <w:tcW w:w="933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9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93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4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165" w:hRule="exact"/>
        </w:trPr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6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0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0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33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1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9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0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4852" w:type="dxa"/>
            <w:gridSpan w:val="1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>
        <w:trPr>
          <w:trHeight w:val="225" w:hRule="exact"/>
        </w:trPr>
        <w:tc>
          <w:tcPr>
            <w:tcW w:w="14852" w:type="dxa"/>
            <w:gridSpan w:val="1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4852" w:type="dxa"/>
            <w:gridSpan w:val="1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>
        <w:trPr>
          <w:trHeight w:val="480" w:hRule="atLeast"/>
        </w:trPr>
        <w:tc>
          <w:tcPr>
            <w:tcW w:w="14852" w:type="dxa"/>
            <w:gridSpan w:val="1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ЛОКАЛЬНЫЙ СМЕТНЫЙ РАСЧЕТ (СМЕТА) № </w:t>
            </w:r>
          </w:p>
        </w:tc>
      </w:tr>
      <w:tr>
        <w:trPr>
          <w:trHeight w:val="165" w:hRule="exact"/>
        </w:trPr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  <w:tc>
          <w:tcPr>
            <w:tcW w:w="116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0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0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14852" w:type="dxa"/>
            <w:gridSpan w:val="14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70" w:hRule="atLeast"/>
        </w:trPr>
        <w:tc>
          <w:tcPr>
            <w:tcW w:w="14852" w:type="dxa"/>
            <w:gridSpan w:val="1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(наименование конструктивного решения)</w:t>
            </w:r>
          </w:p>
        </w:tc>
      </w:tr>
      <w:tr>
        <w:trPr>
          <w:trHeight w:val="300" w:hRule="atLeast"/>
        </w:trPr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 xml:space="preserve">Составлен </w:t>
            </w:r>
          </w:p>
        </w:tc>
        <w:tc>
          <w:tcPr>
            <w:tcW w:w="116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базисно-индексным</w:t>
            </w:r>
          </w:p>
        </w:tc>
        <w:tc>
          <w:tcPr>
            <w:tcW w:w="80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20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7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Основание</w:t>
            </w:r>
          </w:p>
        </w:tc>
        <w:tc>
          <w:tcPr>
            <w:tcW w:w="5714" w:type="dxa"/>
            <w:gridSpan w:val="5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714" w:type="dxa"/>
            <w:gridSpan w:val="5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25" w:hRule="atLeast"/>
        </w:trPr>
        <w:tc>
          <w:tcPr>
            <w:tcW w:w="293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Составлен(а) в текущем (базисном) уровне цен </w:t>
            </w:r>
          </w:p>
        </w:tc>
        <w:tc>
          <w:tcPr>
            <w:tcW w:w="20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соответствующих периоду выполнения работ по договору</w:t>
            </w:r>
          </w:p>
        </w:tc>
        <w:tc>
          <w:tcPr>
            <w:tcW w:w="7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2128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Сметная стоимость </w:t>
            </w:r>
          </w:p>
        </w:tc>
        <w:tc>
          <w:tcPr>
            <w:tcW w:w="80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0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строительных работ</w:t>
            </w:r>
          </w:p>
        </w:tc>
        <w:tc>
          <w:tcPr>
            <w:tcW w:w="80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411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58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8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0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тыс.руб.</w:t>
            </w:r>
          </w:p>
        </w:tc>
      </w:tr>
      <w:tr>
        <w:trPr>
          <w:trHeight w:val="255" w:hRule="atLeast"/>
        </w:trPr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6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монтажных работ</w:t>
            </w:r>
          </w:p>
        </w:tc>
        <w:tc>
          <w:tcPr>
            <w:tcW w:w="80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411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58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чел.час.</w:t>
            </w:r>
          </w:p>
        </w:tc>
      </w:tr>
      <w:tr>
        <w:trPr>
          <w:trHeight w:val="255" w:hRule="atLeast"/>
        </w:trPr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6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оборудования</w:t>
            </w:r>
          </w:p>
        </w:tc>
        <w:tc>
          <w:tcPr>
            <w:tcW w:w="80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4114" w:type="dxa"/>
            <w:gridSpan w:val="4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58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чел.час.</w:t>
            </w:r>
          </w:p>
        </w:tc>
      </w:tr>
      <w:tr>
        <w:trPr>
          <w:trHeight w:val="255" w:hRule="atLeast"/>
        </w:trPr>
        <w:tc>
          <w:tcPr>
            <w:tcW w:w="95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6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прочих затрат</w:t>
            </w:r>
          </w:p>
        </w:tc>
        <w:tc>
          <w:tcPr>
            <w:tcW w:w="80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24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786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5353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 xml:space="preserve">Расчетный измеритель конструктивного решения  </w:t>
            </w:r>
          </w:p>
        </w:tc>
        <w:tc>
          <w:tcPr>
            <w:tcW w:w="140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95" w:hRule="exact"/>
        </w:trPr>
        <w:tc>
          <w:tcPr>
            <w:tcW w:w="95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0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0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8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9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3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20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20" w:hRule="atLeast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 xml:space="preserve">№ </w:t>
            </w:r>
            <w:r>
              <w:rPr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36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33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26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Сметная стоимость в базисном уровне цен (в текущем уровне цен (гр. 8) для ресурсов, отсутствующих в СНБ), руб.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Индексы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Сметная стоимость в текущем уровне цен, руб.</w:t>
            </w:r>
          </w:p>
        </w:tc>
      </w:tr>
      <w:tr>
        <w:trPr>
          <w:trHeight w:val="735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61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9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32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61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8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900" w:hRule="atLeast"/>
        </w:trPr>
        <w:tc>
          <w:tcPr>
            <w:tcW w:w="9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361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9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7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58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25" w:hRule="atLeast"/>
        </w:trPr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6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3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9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2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2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8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2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</w:tr>
    </w:tbl>
    <w:p>
      <w:pPr>
        <w:sectPr>
          <w:headerReference w:type="default" r:id="rId23"/>
          <w:headerReference w:type="first" r:id="rId24"/>
          <w:footerReference w:type="default" r:id="rId25"/>
          <w:footerReference w:type="first" r:id="rId26"/>
          <w:footnotePr>
            <w:numFmt w:val="decimal"/>
            <w:numRestart w:val="eachPage"/>
          </w:footnotePr>
          <w:type w:val="nextPage"/>
          <w:pgSz w:orient="landscape" w:w="16838" w:h="11906"/>
          <w:pgMar w:left="851" w:right="1134" w:gutter="0" w:header="709" w:top="1134" w:footer="709" w:bottom="851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ind w:firstLine="720" w:left="5811"/>
        <w:jc w:val="right"/>
        <w:rPr>
          <w:rFonts w:ascii="Times New Roman" w:hAnsi="Times New Roman"/>
        </w:rPr>
      </w:pPr>
      <w:r>
        <w:rPr>
          <w:color w:val="000000"/>
          <w:sz w:val="20"/>
          <w:szCs w:val="20"/>
        </w:rPr>
        <w:t>Приложение № 2</w:t>
      </w:r>
    </w:p>
    <w:p>
      <w:pPr>
        <w:pStyle w:val="Normal"/>
        <w:ind w:firstLine="142" w:left="5811"/>
        <w:jc w:val="right"/>
        <w:rPr>
          <w:rFonts w:ascii="Times New Roman" w:hAnsi="Times New Roman"/>
        </w:rPr>
      </w:pPr>
      <w:r>
        <w:rPr>
          <w:color w:val="000000"/>
          <w:sz w:val="20"/>
          <w:szCs w:val="20"/>
        </w:rPr>
        <w:t>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</w:t>
      </w:r>
    </w:p>
    <w:p>
      <w:pPr>
        <w:pStyle w:val="Normal"/>
        <w:shd w:val="clear" w:color="auto" w:fill="FFFFFF"/>
        <w:ind w:hanging="142" w:left="142"/>
        <w:rPr>
          <w:rFonts w:ascii="Times New Roman" w:hAnsi="Times New Roman"/>
        </w:rPr>
      </w:pPr>
      <w:r>
        <w:rPr>
          <w:b/>
        </w:rPr>
        <w:t>Образец № 3п</w:t>
      </w:r>
    </w:p>
    <w:tbl>
      <w:tblPr>
        <w:tblW w:w="99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89"/>
      </w:tblGrid>
      <w:tr>
        <w:trPr/>
        <w:tc>
          <w:tcPr>
            <w:tcW w:w="9989" w:type="dxa"/>
            <w:tcBorders/>
          </w:tcPr>
          <w:p>
            <w:pPr>
              <w:pStyle w:val="Normal"/>
              <w:widowControl w:val="false"/>
              <w:shd w:val="clear" w:color="auto" w:fill="FFFFFF"/>
              <w:ind w:hanging="284" w:left="6523"/>
              <w:rPr>
                <w:rFonts w:ascii="Times New Roman" w:hAnsi="Times New Roman"/>
              </w:rPr>
            </w:pPr>
            <w:r>
              <w:rPr/>
              <w:t xml:space="preserve"> </w:t>
            </w:r>
            <w:r>
              <w:rPr>
                <w:sz w:val="20"/>
                <w:szCs w:val="20"/>
              </w:rPr>
              <w:t>Приложение №_____</w:t>
            </w:r>
          </w:p>
          <w:p>
            <w:pPr>
              <w:pStyle w:val="Normal"/>
              <w:widowControl w:val="false"/>
              <w:shd w:val="clear" w:color="auto" w:fill="FFFFFF"/>
              <w:ind w:left="6239" w:right="-284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 договору от ______№_______ </w:t>
            </w:r>
          </w:p>
          <w:p>
            <w:pPr>
              <w:pStyle w:val="Normal"/>
              <w:widowControl w:val="false"/>
              <w:shd w:val="clear" w:color="auto" w:fill="FFFFFF"/>
              <w:ind w:left="6239" w:right="-284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(дополнительному соглашению)</w:t>
            </w:r>
          </w:p>
          <w:tbl>
            <w:tblPr>
              <w:tblW w:w="956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3904"/>
              <w:gridCol w:w="5659"/>
            </w:tblGrid>
            <w:tr>
              <w:trPr>
                <w:trHeight w:val="446" w:hRule="atLeast"/>
              </w:trPr>
              <w:tc>
                <w:tcPr>
                  <w:tcW w:w="3904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b/>
                      <w:bCs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/>
                    <w:t>________________(Подрядчик)</w:t>
                  </w:r>
                </w:p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/>
                    <w:t>________________ Ф.И.О</w:t>
                  </w:r>
                </w:p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/>
                  </w:r>
                </w:p>
              </w:tc>
              <w:tc>
                <w:tcPr>
                  <w:tcW w:w="5659" w:type="dxa"/>
                  <w:tcBorders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  <w:p>
                  <w:pPr>
                    <w:pStyle w:val="Normal"/>
                    <w:widowControl w:val="false"/>
                    <w:ind w:left="1886"/>
                    <w:rPr>
                      <w:rFonts w:ascii="Times New Roman" w:hAnsi="Times New Roman"/>
                    </w:rPr>
                  </w:pPr>
                  <w:r>
                    <w:rPr>
                      <w:b/>
                      <w:bCs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ind w:left="1886"/>
                    <w:rPr>
                      <w:rFonts w:ascii="Times New Roman" w:hAnsi="Times New Roman"/>
                    </w:rPr>
                  </w:pPr>
                  <w:r>
                    <w:rPr>
                      <w:bCs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ind w:left="1886"/>
                    <w:rPr>
                      <w:rFonts w:ascii="Times New Roman" w:hAnsi="Times New Roman"/>
                    </w:rPr>
                  </w:pPr>
                  <w:r>
                    <w:rPr/>
                    <w:t>_________________Ф.И.О.</w:t>
                  </w:r>
                </w:p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b/>
                <w:bCs/>
                <w:sz w:val="24"/>
                <w:szCs w:val="24"/>
              </w:rPr>
              <w:t xml:space="preserve">Смета № </w:t>
              <w:br/>
              <w:t>на шеф - монтажные работы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Наименование предприятия, здания, сооружения, вида шеф-монтажных работ_____________________________________________________________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Наименование монтажной организации 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Наименование организации заказчика 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Составлена в текущих ценах, соответствующих периоду выполнения работ по договору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1. Расчет заработной платы</w:t>
            </w:r>
            <w:r>
              <w:rPr>
                <w:sz w:val="24"/>
                <w:szCs w:val="24"/>
              </w:rPr>
              <w:tab/>
              <w:tab/>
              <w:tab/>
              <w:tab/>
              <w:tab/>
              <w:tab/>
              <w:tab/>
              <w:tab/>
              <w:t>руб.</w:t>
            </w:r>
          </w:p>
          <w:tbl>
            <w:tblPr>
              <w:tblW w:w="9649" w:type="dxa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549"/>
              <w:gridCol w:w="2200"/>
              <w:gridCol w:w="1212"/>
              <w:gridCol w:w="1174"/>
              <w:gridCol w:w="1400"/>
              <w:gridCol w:w="1391"/>
              <w:gridCol w:w="1722"/>
            </w:tblGrid>
            <w:tr>
              <w:trPr>
                <w:tblHeader w:val="true"/>
              </w:trPr>
              <w:tc>
                <w:tcPr>
                  <w:tcW w:w="54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 xml:space="preserve">№ </w:t>
                  </w:r>
                  <w:r>
                    <w:rPr>
                      <w:sz w:val="24"/>
                      <w:szCs w:val="24"/>
                    </w:rPr>
                    <w:t>п</w:t>
                  </w:r>
                  <w:r>
                    <w:rPr>
                      <w:sz w:val="24"/>
                      <w:szCs w:val="24"/>
                      <w:lang w:val="en-US"/>
                    </w:rPr>
                    <w:t>/</w:t>
                  </w:r>
                  <w:r>
                    <w:rPr>
                      <w:sz w:val="24"/>
                      <w:szCs w:val="24"/>
                    </w:rPr>
                    <w:t>п.</w:t>
                  </w:r>
                </w:p>
              </w:tc>
              <w:tc>
                <w:tcPr>
                  <w:tcW w:w="220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Перечень выполняемых работ</w:t>
                  </w:r>
                </w:p>
              </w:tc>
              <w:tc>
                <w:tcPr>
                  <w:tcW w:w="2386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Исполнители</w:t>
                  </w:r>
                </w:p>
              </w:tc>
              <w:tc>
                <w:tcPr>
                  <w:tcW w:w="140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Количество человеко-дней</w:t>
                  </w:r>
                </w:p>
              </w:tc>
              <w:tc>
                <w:tcPr>
                  <w:tcW w:w="1391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Средняя оплата труда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за 1 день</w:t>
                  </w:r>
                </w:p>
              </w:tc>
              <w:tc>
                <w:tcPr>
                  <w:tcW w:w="1722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Оплата труда (всего)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549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2200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21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количество</w:t>
                  </w:r>
                </w:p>
              </w:tc>
              <w:tc>
                <w:tcPr>
                  <w:tcW w:w="117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1400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391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722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5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0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1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74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40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72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</w:tr>
            <w:tr>
              <w:trPr/>
              <w:tc>
                <w:tcPr>
                  <w:tcW w:w="549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0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91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>
              <w:trPr/>
              <w:tc>
                <w:tcPr>
                  <w:tcW w:w="54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0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91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2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rFonts w:ascii="Times New Roman" w:hAnsi="Times New Roman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Итого заработной платы, в руб. 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2. Расчет стоимости выполнения работ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2.1 Накладные расходы, %__________________________________________________________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2.2 Себестоимость работ 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2.3 Уровень рентабельности, % 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</w:t>
            </w:r>
            <w:r>
              <w:rPr>
                <w:sz w:val="24"/>
                <w:szCs w:val="24"/>
              </w:rPr>
              <w:t>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3. Командировочные расходы (по расчету)_________________________________________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b/>
                <w:sz w:val="24"/>
                <w:szCs w:val="24"/>
              </w:rPr>
              <w:t>Всего (руб.)</w:t>
            </w:r>
            <w:r>
              <w:rPr>
                <w:sz w:val="24"/>
                <w:szCs w:val="24"/>
              </w:rPr>
              <w:t xml:space="preserve"> 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2070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(сумма прописью)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Составил:________/должность,организация/_______/подпись/___________/расшифровка подписи/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Проверил:_________/должность, организация/_________/подпись/_________/расшифровка подписи/</w:t>
            </w:r>
          </w:p>
        </w:tc>
      </w:tr>
    </w:tbl>
    <w:p>
      <w:pPr>
        <w:pStyle w:val="ConsPlusNormal1"/>
        <w:widowControl/>
        <w:ind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ind w:left="5811"/>
        <w:jc w:val="right"/>
        <w:rPr>
          <w:rFonts w:ascii="Times New Roman" w:hAnsi="Times New Roman"/>
        </w:rPr>
      </w:pPr>
      <w:r>
        <w:rPr>
          <w:sz w:val="20"/>
          <w:szCs w:val="20"/>
        </w:rPr>
        <w:t>Приложение № 2.1</w:t>
      </w:r>
    </w:p>
    <w:p>
      <w:pPr>
        <w:pStyle w:val="Normal"/>
        <w:ind w:left="5811"/>
        <w:jc w:val="right"/>
        <w:rPr>
          <w:rFonts w:ascii="Times New Roman" w:hAnsi="Times New Roman"/>
        </w:rPr>
      </w:pPr>
      <w:r>
        <w:rPr>
          <w:sz w:val="20"/>
        </w:rPr>
        <w:t>к Требованиям к оформлению и</w:t>
      </w:r>
    </w:p>
    <w:p>
      <w:pPr>
        <w:pStyle w:val="Normal"/>
        <w:ind w:firstLine="857" w:left="5811"/>
        <w:jc w:val="right"/>
        <w:rPr>
          <w:rFonts w:ascii="Times New Roman" w:hAnsi="Times New Roman"/>
        </w:rPr>
      </w:pPr>
      <w:r>
        <w:rPr>
          <w:sz w:val="20"/>
        </w:rPr>
        <w:t xml:space="preserve">составлению сметной документации </w:t>
      </w:r>
      <w:r>
        <w:rPr>
          <w:color w:val="000000"/>
          <w:sz w:val="20"/>
        </w:rPr>
        <w:t>на выполнение строительно-монтажных работ по программе ремонтов, реконструкции и техническому перевооружению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  <w:sz w:val="22"/>
          <w:szCs w:val="22"/>
        </w:rPr>
        <w:t xml:space="preserve">ПОЯСНИТЕЛЬНАЯ ЗАПИСКА 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  <w:sz w:val="22"/>
          <w:szCs w:val="22"/>
        </w:rPr>
        <w:t>по заполнению формы №3п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при составлении смет на шеф-монтажные, шеф-наладочные работы </w:t>
      </w:r>
    </w:p>
    <w:p>
      <w:pPr>
        <w:pStyle w:val="Normal"/>
        <w:tabs>
          <w:tab w:val="clear" w:pos="708"/>
          <w:tab w:val="left" w:pos="1080" w:leader="none"/>
        </w:tabs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993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При составлении сметного расчета по трудозатратам (форма №3п), обоснование расчета трудозатрат представляется заказчику по его просьбе. Сметные расчеты составляются в ценах текущего периода.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Форма сметы для определения затрат по себестоимости и уровню рентабельности (форма №3п) приведена в образце 3П Приложения 2.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sz w:val="22"/>
          <w:szCs w:val="22"/>
        </w:rPr>
        <w:t xml:space="preserve">Результаты вычислений и итоговые данные по разделам расчета </w:t>
      </w:r>
      <w:r>
        <w:rPr>
          <w:sz w:val="22"/>
          <w:szCs w:val="22"/>
          <w:u w:val="single"/>
        </w:rPr>
        <w:t>округлять до целых рублей.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Особенности заполнения формы 3п.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/>
        </w:rPr>
      </w:pPr>
      <w:r>
        <w:rPr>
          <w:sz w:val="22"/>
          <w:szCs w:val="22"/>
          <w:u w:val="single"/>
        </w:rPr>
        <w:t>Раздел 1. Расчет заработной платы: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в графе 1 приводится нумерация выполняемых работ;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в графе 2 приводится наименование выполняемых работ;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в графе 3 указывается количество привлекаемых работников;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временным нормам;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в графе 7 указывается заработная плата в рублях (</w:t>
      </w:r>
      <w:r>
        <w:rPr>
          <w:rFonts w:eastAsia="Calibri"/>
          <w:b/>
          <w:sz w:val="22"/>
          <w:szCs w:val="22"/>
          <w:u w:val="single"/>
          <w:lang w:eastAsia="en-US"/>
        </w:rPr>
        <w:t>результат перемножения граф 5 и 6</w:t>
      </w:r>
      <w:r>
        <w:rPr>
          <w:rFonts w:eastAsia="Calibri"/>
          <w:sz w:val="22"/>
          <w:szCs w:val="22"/>
          <w:lang w:eastAsia="en-US"/>
        </w:rPr>
        <w:t>);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709"/>
        <w:jc w:val="both"/>
        <w:rPr>
          <w:rFonts w:ascii="Times New Roman" w:hAnsi="Times New Roman"/>
        </w:rPr>
      </w:pPr>
      <w:r>
        <w:rPr>
          <w:sz w:val="22"/>
          <w:szCs w:val="22"/>
          <w:u w:val="single"/>
        </w:rPr>
        <w:t>Раздел 2. Расчет стоимости выполнения работ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организации.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Normal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уровень рентабельности по отношению к себестоимости может составлять до 15%.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709"/>
        <w:jc w:val="both"/>
        <w:rPr>
          <w:rFonts w:ascii="Times New Roman" w:hAnsi="Times New Roman"/>
        </w:rPr>
      </w:pPr>
      <w:r>
        <w:rPr>
          <w:sz w:val="22"/>
          <w:szCs w:val="22"/>
        </w:rPr>
        <w:t>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709"/>
        <w:jc w:val="both"/>
        <w:rPr>
          <w:rFonts w:ascii="Times New Roman" w:hAnsi="Times New Roman"/>
        </w:rPr>
      </w:pPr>
      <w:r>
        <w:rPr>
          <w:sz w:val="22"/>
          <w:szCs w:val="22"/>
          <w:u w:val="single"/>
        </w:rPr>
        <w:t>Раздел 3. Расчет командировочных расходов.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/>
        </w:rPr>
      </w:pPr>
      <w:r>
        <w:rPr>
          <w:sz w:val="22"/>
          <w:szCs w:val="22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2) с расшифровкой затрат на проезд, проживание, суточные расходы. 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/>
        </w:rPr>
      </w:pPr>
      <w:r>
        <w:rPr>
          <w:sz w:val="22"/>
          <w:szCs w:val="22"/>
        </w:rPr>
        <w:t>Стоимость проезда необходимо указать по каждому виду транспорта отдельно туда и отдельно обратно.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/>
        </w:rPr>
      </w:pPr>
      <w:r>
        <w:rPr>
          <w:sz w:val="22"/>
          <w:szCs w:val="22"/>
        </w:rPr>
        <w:t>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709"/>
        <w:jc w:val="both"/>
        <w:rPr>
          <w:rFonts w:ascii="Times New Roman" w:hAnsi="Times New Roman"/>
        </w:rPr>
      </w:pPr>
      <w:r>
        <w:rPr>
          <w:sz w:val="22"/>
          <w:szCs w:val="22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709"/>
        <w:jc w:val="both"/>
        <w:rPr>
          <w:rFonts w:ascii="Times New Roman" w:hAnsi="Times New Roman"/>
        </w:rPr>
      </w:pPr>
      <w:r>
        <w:rPr>
          <w:sz w:val="22"/>
          <w:szCs w:val="22"/>
        </w:rPr>
        <w:t>Лимиты командировочных расходов: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суточные - 700 руб./сутки;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проживание - до 5000 руб./сутки;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проезд: поезд (купе) или самолет (</w:t>
      </w:r>
      <w:r>
        <w:rPr>
          <w:color w:val="000000"/>
          <w:sz w:val="22"/>
          <w:szCs w:val="22"/>
        </w:rPr>
        <w:t>класс–эконом с багажом до 20 (двадцати) кг, ручная кладь до 10 (десяти) кг</w:t>
      </w:r>
      <w:r>
        <w:rPr>
          <w:rFonts w:eastAsia="Calibri"/>
          <w:sz w:val="22"/>
          <w:szCs w:val="22"/>
          <w:lang w:eastAsia="en-US"/>
        </w:rPr>
        <w:t>).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b/>
          <w:i/>
          <w:color w:val="000000" w:themeColor="text1"/>
          <w:sz w:val="22"/>
          <w:szCs w:val="22"/>
        </w:rPr>
        <w:t>Данные лимиты могут быть пересмотрены на этапе согласования технических требований.</w:t>
      </w:r>
    </w:p>
    <w:p>
      <w:pPr>
        <w:pStyle w:val="Normal"/>
        <w:tabs>
          <w:tab w:val="clear" w:pos="708"/>
          <w:tab w:val="left" w:pos="567" w:leader="none"/>
        </w:tabs>
        <w:spacing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 xml:space="preserve">При учете командировочных расходов стоимость проезда (авиа-, ж/д, …) и проживания определяется </w:t>
      </w:r>
      <w:r>
        <w:rPr>
          <w:sz w:val="22"/>
          <w:szCs w:val="22"/>
        </w:rPr>
        <w:t>Методом анализа ТКП в соответствии с Методикой ПЦ</w:t>
      </w:r>
      <w:r>
        <w:rPr>
          <w:rFonts w:eastAsia="Calibri"/>
          <w:sz w:val="22"/>
          <w:szCs w:val="22"/>
          <w:lang w:eastAsia="en-US"/>
        </w:rPr>
        <w:t>.</w:t>
      </w:r>
    </w:p>
    <w:p>
      <w:pPr>
        <w:sectPr>
          <w:headerReference w:type="default" r:id="rId27"/>
          <w:headerReference w:type="first" r:id="rId28"/>
          <w:footerReference w:type="default" r:id="rId29"/>
          <w:footerReference w:type="first" r:id="rId30"/>
          <w:footnotePr>
            <w:numFmt w:val="decimal"/>
            <w:numRestart w:val="eachPage"/>
          </w:footnotePr>
          <w:type w:val="nextPage"/>
          <w:pgSz w:w="11906" w:h="16838"/>
          <w:pgMar w:left="993" w:right="924" w:gutter="0" w:header="709" w:top="766" w:footer="709" w:bottom="766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08"/>
          <w:tab w:val="left" w:pos="567" w:leader="none"/>
        </w:tabs>
        <w:spacing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ind w:left="5811"/>
        <w:jc w:val="right"/>
        <w:rPr>
          <w:rFonts w:ascii="Times New Roman" w:hAnsi="Times New Roman"/>
        </w:rPr>
      </w:pPr>
      <w:r>
        <w:rPr>
          <w:sz w:val="20"/>
        </w:rPr>
        <w:t>Приложение №1</w:t>
      </w:r>
    </w:p>
    <w:p>
      <w:pPr>
        <w:pStyle w:val="Normal"/>
        <w:ind w:left="5811"/>
        <w:jc w:val="right"/>
        <w:rPr>
          <w:rFonts w:ascii="Times New Roman" w:hAnsi="Times New Roman"/>
        </w:rPr>
      </w:pPr>
      <w:r>
        <w:rPr>
          <w:sz w:val="20"/>
        </w:rPr>
        <w:t>к пояснительной записке</w:t>
      </w:r>
    </w:p>
    <w:p>
      <w:pPr>
        <w:pStyle w:val="Normal"/>
        <w:ind w:left="5811"/>
        <w:jc w:val="right"/>
        <w:rPr>
          <w:rFonts w:ascii="Times New Roman" w:hAnsi="Times New Roman"/>
        </w:rPr>
      </w:pPr>
      <w:r>
        <w:rPr>
          <w:sz w:val="20"/>
        </w:rPr>
        <w:t xml:space="preserve"> </w:t>
      </w:r>
      <w:r>
        <w:rPr>
          <w:sz w:val="20"/>
        </w:rPr>
        <w:t>по заполнению формы 3П</w:t>
      </w:r>
    </w:p>
    <w:p>
      <w:pPr>
        <w:pStyle w:val="Normal"/>
        <w:ind w:left="5811"/>
        <w:jc w:val="center"/>
        <w:rPr>
          <w:rFonts w:ascii="Times New Roman" w:hAnsi="Times New Roman"/>
          <w:b/>
        </w:rPr>
      </w:pPr>
      <w:r>
        <w:rPr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b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  <w:sz w:val="24"/>
          <w:szCs w:val="24"/>
        </w:rPr>
        <w:t>СПРАВКА от__________ (указать дату составления справки) (Образец)</w:t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879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47"/>
        <w:gridCol w:w="3942"/>
        <w:gridCol w:w="3104"/>
      </w:tblGrid>
      <w:tr>
        <w:trPr>
          <w:trHeight w:val="325" w:hRule="atLeast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Заработная плата в день, в руб.</w:t>
            </w:r>
          </w:p>
        </w:tc>
      </w:tr>
      <w:tr>
        <w:trPr>
          <w:trHeight w:val="630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>
        <w:trPr>
          <w:trHeight w:val="581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>
        <w:trPr>
          <w:trHeight w:val="634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ab/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>Накладные расходы _______(%)</w:t>
        <w:tab/>
        <w:tab/>
        <w:tab/>
        <w:tab/>
        <w:tab/>
        <w:tab/>
      </w:r>
    </w:p>
    <w:p>
      <w:pPr>
        <w:pStyle w:val="Normal"/>
        <w:rPr>
          <w:rFonts w:ascii="Times New Roman" w:hAnsi="Times New Roman"/>
        </w:rPr>
      </w:pPr>
      <w:r>
        <w:rPr>
          <w:sz w:val="24"/>
          <w:szCs w:val="24"/>
        </w:rPr>
        <w:t>Рентабельность предприятия_________(%)</w:t>
        <w:tab/>
        <w:tab/>
        <w:tab/>
        <w:tab/>
        <w:tab/>
        <w:tab/>
        <w:t xml:space="preserve">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</w:rPr>
      </w:pPr>
      <w:r>
        <w:rPr>
          <w:b/>
          <w:sz w:val="24"/>
          <w:szCs w:val="24"/>
        </w:rPr>
        <w:t>Дата</w:t>
      </w:r>
    </w:p>
    <w:p>
      <w:pPr>
        <w:pStyle w:val="Normal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sz w:val="24"/>
          <w:szCs w:val="24"/>
        </w:rPr>
        <w:t>(Должность единоличного исполнительного органа контрагента/подрядчика)</w:t>
        <w:tab/>
        <w:tab/>
      </w:r>
    </w:p>
    <w:p>
      <w:pPr>
        <w:pStyle w:val="Normal"/>
        <w:jc w:val="both"/>
        <w:rPr>
          <w:rFonts w:ascii="Times New Roman" w:hAnsi="Times New Roman"/>
        </w:rPr>
      </w:pPr>
      <w:r>
        <w:rPr>
          <w:sz w:val="24"/>
          <w:szCs w:val="24"/>
        </w:rPr>
        <w:t>(краткое/полное наименование организации) ________________ (ФИО)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sz w:val="24"/>
          <w:szCs w:val="24"/>
        </w:rPr>
        <w:t>м.п.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sz w:val="24"/>
          <w:szCs w:val="24"/>
        </w:rPr>
        <w:t>(Главный бухгалтер)</w:t>
      </w:r>
      <w:r>
        <w:rPr>
          <w:rStyle w:val="FootnoteReference"/>
          <w:rFonts w:eastAsia="Calibri"/>
        </w:rPr>
        <w:footnoteReference w:id="9"/>
      </w:r>
      <w:r>
        <w:rPr>
          <w:sz w:val="24"/>
          <w:szCs w:val="24"/>
        </w:rPr>
        <w:tab/>
        <w:tab/>
      </w:r>
    </w:p>
    <w:p>
      <w:pPr>
        <w:pStyle w:val="Normal"/>
        <w:jc w:val="both"/>
        <w:rPr>
          <w:rFonts w:ascii="Times New Roman" w:hAnsi="Times New Roman"/>
        </w:rPr>
      </w:pPr>
      <w:r>
        <w:rPr>
          <w:sz w:val="24"/>
          <w:szCs w:val="24"/>
        </w:rPr>
        <w:t>(краткое/полное наименование организации контрагента/подрядчика) _________ (ФИО)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sz w:val="24"/>
          <w:szCs w:val="24"/>
        </w:rPr>
        <w:t>м.п.</w:t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ind w:left="5811"/>
        <w:jc w:val="right"/>
        <w:rPr>
          <w:rFonts w:ascii="Times New Roman" w:hAnsi="Times New Roman"/>
        </w:rPr>
      </w:pPr>
      <w:r>
        <w:rPr>
          <w:sz w:val="20"/>
          <w:szCs w:val="20"/>
        </w:rPr>
        <w:t>Приложение №2</w:t>
      </w:r>
    </w:p>
    <w:p>
      <w:pPr>
        <w:pStyle w:val="Normal"/>
        <w:ind w:left="5811"/>
        <w:jc w:val="right"/>
        <w:rPr>
          <w:rFonts w:ascii="Times New Roman" w:hAnsi="Times New Roman"/>
        </w:rPr>
      </w:pPr>
      <w:r>
        <w:rPr>
          <w:sz w:val="20"/>
          <w:szCs w:val="20"/>
        </w:rPr>
        <w:t>к пояснительной записке</w:t>
      </w:r>
    </w:p>
    <w:p>
      <w:pPr>
        <w:pStyle w:val="Normal"/>
        <w:ind w:left="5811"/>
        <w:jc w:val="right"/>
        <w:rPr>
          <w:rFonts w:ascii="Times New Roman" w:hAnsi="Times New Roman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по заполнению формы 3П</w:t>
      </w:r>
    </w:p>
    <w:p>
      <w:pPr>
        <w:pStyle w:val="Normal"/>
        <w:ind w:left="5811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</w:rPr>
        <w:t>Образец расчета командировочных расходов</w:t>
      </w:r>
    </w:p>
    <w:p>
      <w:pPr>
        <w:pStyle w:val="Normal"/>
        <w:ind w:hanging="567"/>
        <w:jc w:val="right"/>
        <w:rPr>
          <w:rFonts w:ascii="Times New Roman" w:hAnsi="Times New Roman"/>
        </w:rPr>
      </w:pPr>
      <w:r>
        <w:rPr/>
        <w:t>Приложение № __ к смете № __</w:t>
      </w:r>
    </w:p>
    <w:p>
      <w:pPr>
        <w:pStyle w:val="Normal"/>
        <w:ind w:hanging="567"/>
        <w:jc w:val="center"/>
        <w:rPr>
          <w:rFonts w:ascii="Times New Roman" w:hAnsi="Times New Roman"/>
        </w:rPr>
      </w:pPr>
      <w:r>
        <w:rPr>
          <w:b/>
        </w:rPr>
        <w:t>Расчет командировочных расходов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6"/>
        <w:gridCol w:w="934"/>
        <w:gridCol w:w="931"/>
        <w:gridCol w:w="913"/>
        <w:gridCol w:w="520"/>
        <w:gridCol w:w="905"/>
        <w:gridCol w:w="1033"/>
        <w:gridCol w:w="1134"/>
        <w:gridCol w:w="1387"/>
        <w:gridCol w:w="1383"/>
      </w:tblGrid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 xml:space="preserve">№ </w:t>
            </w:r>
            <w:r>
              <w:rPr/>
              <w:t>п</w:t>
            </w:r>
            <w:r>
              <w:rPr>
                <w:lang w:val="en-US"/>
              </w:rPr>
              <w:t>/</w:t>
            </w:r>
            <w:r>
              <w:rPr/>
              <w:t>п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 xml:space="preserve">Пункт назначения </w:t>
              <w:br/>
              <w:t>(туда / обратно)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 xml:space="preserve">Вид транспорта 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Кол-во дней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 xml:space="preserve">Стоимость суточных, руб./сут. </w:t>
              <w:br/>
              <w:t>(без НДС)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 xml:space="preserve">Стоимость проживания, руб./сут.. </w:t>
              <w:br/>
              <w:t>(без НДС)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Кол-во командировок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Кол-во командированных человек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 xml:space="preserve">Итого стоимость командировочных расходов, руб. </w:t>
              <w:br/>
              <w:t>(без НДС)</w:t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Из пункта 1 в пункт 5</w:t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Из пункта 1 в пункт 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2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Из пункта 2 в пункт 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…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5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Из пункта 4 в пункт 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7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1 в пункт 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7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Из пункта 5 в пункт 1</w:t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6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Из пункта 5 в пункт 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Из пункта 4 в пункт 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…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  <w:t>9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Из пункта 2 в пункт 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7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5 в пункт 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7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Всего стоимость командировочных расходов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left="6373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6373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6373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"/>
        <w:ind w:left="5812"/>
        <w:rPr>
          <w:rFonts w:ascii="Times New Roman" w:hAnsi="Times New Roman"/>
        </w:rPr>
      </w:pPr>
      <w:r>
        <w:rPr>
          <w:color w:val="000000"/>
          <w:sz w:val="20"/>
          <w:szCs w:val="20"/>
        </w:rPr>
        <w:t xml:space="preserve">Приложение 3 </w:t>
      </w:r>
    </w:p>
    <w:p>
      <w:pPr>
        <w:pStyle w:val="Normal"/>
        <w:ind w:left="5811"/>
        <w:rPr>
          <w:rFonts w:ascii="Times New Roman" w:hAnsi="Times New Roman"/>
        </w:rPr>
      </w:pPr>
      <w:r>
        <w:rPr>
          <w:color w:val="000000"/>
          <w:sz w:val="20"/>
        </w:rPr>
        <w:t xml:space="preserve">к Требованиям к оформлению и составлению сметной документации </w:t>
      </w:r>
    </w:p>
    <w:p>
      <w:pPr>
        <w:pStyle w:val="Normal"/>
        <w:ind w:left="5811"/>
        <w:rPr>
          <w:rFonts w:ascii="Times New Roman" w:hAnsi="Times New Roman"/>
        </w:rPr>
      </w:pPr>
      <w:r>
        <w:rPr>
          <w:color w:val="000000"/>
          <w:sz w:val="20"/>
          <w:u w:val="single"/>
        </w:rPr>
        <w:t>на выполнение работ по программе ремонтов, реконструкции и техническому перевооружению</w:t>
      </w:r>
    </w:p>
    <w:p>
      <w:pPr>
        <w:pStyle w:val="Normal"/>
        <w:ind w:left="6373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  <w:sz w:val="22"/>
          <w:szCs w:val="22"/>
        </w:rPr>
        <w:t>Метод анализа ТКП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b/>
          <w:sz w:val="22"/>
          <w:szCs w:val="22"/>
        </w:rPr>
        <w:t>при формировании цен на материальные ресурсы и оборудование</w:t>
      </w:r>
    </w:p>
    <w:p>
      <w:pPr>
        <w:pStyle w:val="Normal"/>
        <w:ind w:firstLine="720"/>
        <w:rPr>
          <w:rFonts w:ascii="Times New Roman" w:hAnsi="Times New Roman"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</w:r>
    </w:p>
    <w:p>
      <w:pPr>
        <w:pStyle w:val="Normal"/>
        <w:tabs>
          <w:tab w:val="clear" w:pos="708"/>
          <w:tab w:val="left" w:pos="993" w:leader="none"/>
        </w:tabs>
        <w:spacing w:before="0" w:after="0"/>
        <w:ind w:firstLine="720"/>
        <w:contextualSpacing/>
        <w:jc w:val="both"/>
        <w:rPr>
          <w:rFonts w:ascii="Times New Roman" w:hAnsi="Times New Roman"/>
        </w:rPr>
      </w:pPr>
      <w:r>
        <w:rPr>
          <w:rFonts w:eastAsia="Calibri"/>
          <w:sz w:val="22"/>
          <w:szCs w:val="22"/>
          <w:lang w:eastAsia="en-US"/>
        </w:rPr>
        <w:t>При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отсутствии </w:t>
      </w:r>
      <w:r>
        <w:rPr>
          <w:sz w:val="22"/>
          <w:szCs w:val="22"/>
        </w:rPr>
        <w:t>информации о сметных ценах в ФГИС ЦС и ФССЦ по материальным ресурсам и оборудованию,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РусГидро. Образец заполнения формы приведен ниже:</w:t>
      </w:r>
      <w:bookmarkStart w:id="149" w:name="_MON_1766935975"/>
      <w:bookmarkEnd w:id="149"/>
    </w:p>
    <w:p>
      <w:pPr>
        <w:pStyle w:val="Normal"/>
        <w:tabs>
          <w:tab w:val="clear" w:pos="708"/>
          <w:tab w:val="left" w:pos="993" w:leader="none"/>
        </w:tabs>
        <w:spacing w:before="0" w:after="0"/>
        <w:ind w:firstLine="720"/>
        <w:contextualSpacing/>
        <w:jc w:val="center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Прямоугольник 2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path="m0,0l-2147483645,0l-2147483645,-2147483646l0,-2147483646xe" stroked="f" o:allowincell="f" style="position:absolute;margin-left:0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object>
          <v:shapetype id="_x0000_tole_rId31" coordsize="21600,21600" o:spt="ole_rId31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1" type="_x0000_tole_rId31" style="width:75.75pt;height:51.75pt;mso-wrap-distance-right:0pt" filled="f" o:ole="">
            <v:imagedata r:id="rId32" o:title=""/>
          </v:shape>
          <o:OLEObject Type="Embed" ProgID="Excel.Sheet.12" ShapeID="ole_rId31" DrawAspect="Icon" ObjectID="_202448949" r:id="rId31"/>
        </w:object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Heading1"/>
        <w:numPr>
          <w:ilvl w:val="0"/>
          <w:numId w:val="0"/>
        </w:numPr>
        <w:ind w:hanging="0" w:left="0"/>
        <w:jc w:val="right"/>
        <w:rPr>
          <w:rFonts w:ascii="Times New Roman" w:hAnsi="Times New Roman"/>
        </w:rPr>
      </w:pPr>
      <w:bookmarkStart w:id="150" w:name="__RefHeading___Toc35793_4150911541_Копия"/>
      <w:bookmarkStart w:id="151" w:name="_Toc240373588"/>
      <w:bookmarkStart w:id="152" w:name="_Toc184013327_Копия_1"/>
      <w:bookmarkStart w:id="153" w:name="_Toc240301853"/>
      <w:bookmarkStart w:id="154" w:name="_Toc54451385_Копия_1"/>
      <w:bookmarkStart w:id="155" w:name="_Toc54646414_Копия_1"/>
      <w:bookmarkEnd w:id="150"/>
      <w:bookmarkEnd w:id="154"/>
      <w:bookmarkEnd w:id="155"/>
      <w:r>
        <w:rPr>
          <w:b w:val="false"/>
        </w:rPr>
        <w:t>Приложение № </w:t>
      </w:r>
      <w:r>
        <w:rPr>
          <w:b w:val="false"/>
          <w:lang w:val="ru-RU"/>
        </w:rPr>
        <w:t>2</w:t>
      </w:r>
      <w:r>
        <w:rPr>
          <w:b w:val="false"/>
        </w:rPr>
        <w:t xml:space="preserve"> к </w:t>
      </w:r>
      <w:r>
        <w:rPr>
          <w:b w:val="false"/>
          <w:lang w:val="ru-RU"/>
        </w:rPr>
        <w:t>ТТ</w:t>
      </w:r>
      <w:bookmarkStart w:id="156" w:name="_Toc54451385_Копия_1_Копия_1"/>
      <w:bookmarkStart w:id="157" w:name="_Ref40301253_Копия_1_Копия_1"/>
      <w:bookmarkStart w:id="158" w:name="_Hlk48224758_Копия_1_Копия_1"/>
      <w:bookmarkStart w:id="159" w:name="_Toc54646414_Копия_1_Копия_1"/>
      <w:bookmarkEnd w:id="152"/>
      <w:bookmarkEnd w:id="153"/>
      <w:bookmarkEnd w:id="156"/>
      <w:bookmarkEnd w:id="157"/>
      <w:bookmarkEnd w:id="158"/>
      <w:bookmarkEnd w:id="159"/>
      <w:r>
        <w:rPr>
          <w:b w:val="false"/>
          <w:lang w:val="ru-RU"/>
        </w:rPr>
        <w:t>.</w:t>
      </w:r>
      <w:r>
        <w:rPr>
          <w:b w:val="false"/>
        </w:rPr>
        <w:t xml:space="preserve"> Требования к функционалу Системы</w:t>
      </w:r>
      <w:bookmarkEnd w:id="151"/>
    </w:p>
    <w:p>
      <w:pPr>
        <w:pStyle w:val="ConsPlusNormal1"/>
        <w:widowControl/>
        <w:tabs>
          <w:tab w:val="clear" w:pos="708"/>
          <w:tab w:val="left" w:pos="0" w:leader="none"/>
        </w:tabs>
        <w:spacing w:lineRule="auto" w:line="276"/>
        <w:ind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yle41"/>
        <w:numPr>
          <w:ilvl w:val="0"/>
          <w:numId w:val="32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sz w:val="24"/>
          <w:szCs w:val="24"/>
        </w:rPr>
        <w:t>Общие требования к Системе</w:t>
      </w:r>
    </w:p>
    <w:p>
      <w:pPr>
        <w:pStyle w:val="Style41"/>
        <w:numPr>
          <w:ilvl w:val="1"/>
          <w:numId w:val="32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00000" w:themeColor="text1"/>
          <w:sz w:val="24"/>
          <w:szCs w:val="24"/>
        </w:rPr>
        <w:t>Система должна состоять из следующих модулей/компонентов: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Графический интерфейс (веб-консоль управления и администрирования);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управления СУБД;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управления сбором данных;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eastAsia="Times New Roman"/>
          <w:color w:val="0D0D0D"/>
          <w:sz w:val="24"/>
          <w:szCs w:val="24"/>
        </w:rPr>
      </w:pPr>
      <w:r>
        <w:rPr>
          <w:rFonts w:eastAsia="Times New Roman"/>
          <w:color w:val="0D0D0D"/>
          <w:sz w:val="24"/>
          <w:szCs w:val="24"/>
        </w:rPr>
        <w:t>Компонента автоматизированного анализа параметров пользователей, компьютеров и групп пользователей в службах каталогов Active Directory, а также иных служб каталогов с поддержкой протокола LDAP/LDAPS (включая FreeIPA) и служб каталогов без поддержки LDAP (посредством интерфейса ADSI);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автоматизированного анализа событий журналов;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автоматизированного анализа файловых систем (права, владельцы, использование);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экспорта и импорта настроек Системы;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автоматизированной оценки рисков;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автоматизированного анализа текстовых, графических и иных форматов документов, регулируемых стандартами и регуляторами;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формирования и отправки уведомлений;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автоматизированного подбора рекомендаций по устранению угроз и снижению рисков;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автоматического устранения рисков и угроз;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Модуль агрегации событий и оповещений;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Модуль анализа поведения пользователей и сущностей;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color w:val="000000" w:themeColor="text1"/>
          <w:sz w:val="24"/>
          <w:szCs w:val="24"/>
        </w:rPr>
        <w:t>Модуль выдачи и управления правами доступа пользователей к информационным ресурсам;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визуального отображения отчетов;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Компонента управления инцидентами информационной безопасности (поставляется при наличии соответствующей лицензии — модуль ИНС);</w:t>
      </w:r>
    </w:p>
    <w:p>
      <w:pPr>
        <w:pStyle w:val="Style41"/>
        <w:numPr>
          <w:ilvl w:val="0"/>
          <w:numId w:val="33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rFonts w:eastAsia="Times New Roman"/>
          <w:color w:val="0D0D0D"/>
          <w:sz w:val="24"/>
          <w:szCs w:val="24"/>
        </w:rPr>
        <w:t>Серверные компоненты: Сервер управления, Сервер БД, Сервер-коллектор, Сервер ИНС (анализ изображений и текста методами искусственных нейронных сетей).</w:t>
      </w:r>
    </w:p>
    <w:p>
      <w:pPr>
        <w:pStyle w:val="Style41"/>
        <w:numPr>
          <w:ilvl w:val="1"/>
          <w:numId w:val="34"/>
        </w:numPr>
        <w:spacing w:lineRule="auto" w:line="240" w:before="0" w:after="0"/>
        <w:ind w:firstLine="709" w:left="0"/>
        <w:rPr>
          <w:rFonts w:ascii="Times New Roman" w:hAnsi="Times New Roman"/>
        </w:rPr>
      </w:pPr>
      <w:bookmarkStart w:id="160" w:name="_Toc240301856"/>
      <w:r>
        <w:rPr>
          <w:bCs/>
          <w:color w:val="000000" w:themeColor="text1"/>
          <w:sz w:val="24"/>
          <w:szCs w:val="24"/>
        </w:rPr>
        <w:t>Система должна иметь единую веб-консоль для управления модулями и компонентами программы.</w:t>
      </w:r>
      <w:bookmarkStart w:id="161" w:name="_Toc240301857"/>
      <w:bookmarkEnd w:id="160"/>
    </w:p>
    <w:p>
      <w:pPr>
        <w:pStyle w:val="Style41"/>
        <w:numPr>
          <w:ilvl w:val="1"/>
          <w:numId w:val="34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00000" w:themeColor="text1"/>
          <w:sz w:val="24"/>
          <w:szCs w:val="24"/>
        </w:rPr>
        <w:t>Настройка управления сбором данных должна выполняться через веб-консоль управления и администрирования.</w:t>
      </w:r>
      <w:bookmarkStart w:id="162" w:name="_Toc240301858"/>
      <w:bookmarkEnd w:id="161"/>
    </w:p>
    <w:p>
      <w:pPr>
        <w:pStyle w:val="Style41"/>
        <w:numPr>
          <w:ilvl w:val="1"/>
          <w:numId w:val="34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00000" w:themeColor="text1"/>
          <w:sz w:val="24"/>
          <w:szCs w:val="24"/>
        </w:rPr>
        <w:t>В Системе должен быть веб-интерфейс для работы с графическими отчетами по собранным данным.</w:t>
      </w:r>
      <w:bookmarkStart w:id="163" w:name="_Toc240301859"/>
      <w:bookmarkEnd w:id="162"/>
    </w:p>
    <w:p>
      <w:pPr>
        <w:pStyle w:val="Style41"/>
        <w:numPr>
          <w:ilvl w:val="1"/>
          <w:numId w:val="34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В Системе должна быть реализована ролевая модель разграничения доступа с поддержкой предустановленных ролей: Читатель (только чтение данных объектов), Инспектор (чтение и изменение данных объектов), Старший инспектор (дополнительно — запуск пересчёта аналитики), Администратор (полные права, включая изменение настроек). Допускается расширенная (построенная на отдельных разрешениях) настройка прав каждого аккаунта</w:t>
      </w:r>
      <w:r>
        <w:rPr>
          <w:bCs/>
          <w:color w:val="000000" w:themeColor="text1"/>
          <w:sz w:val="24"/>
          <w:szCs w:val="24"/>
        </w:rPr>
        <w:t>.</w:t>
      </w:r>
      <w:bookmarkStart w:id="164" w:name="_Toc240301860"/>
      <w:bookmarkEnd w:id="163"/>
    </w:p>
    <w:p>
      <w:pPr>
        <w:pStyle w:val="Style41"/>
        <w:numPr>
          <w:ilvl w:val="1"/>
          <w:numId w:val="34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sz w:val="24"/>
          <w:szCs w:val="24"/>
        </w:rPr>
        <w:t>Наряду правами, определяемыми принадлежностью к ролям, в Системе должны присутствовать индивидуальные настройки каждого аккаунта для доступа к инспектируемым доменам, файлам, событиям, почтовым ящикам и активам.</w:t>
      </w:r>
      <w:bookmarkStart w:id="165" w:name="_Hlk201051462"/>
      <w:bookmarkStart w:id="166" w:name="_Toc240301861"/>
      <w:bookmarkEnd w:id="164"/>
    </w:p>
    <w:p>
      <w:pPr>
        <w:pStyle w:val="Style41"/>
        <w:numPr>
          <w:ilvl w:val="1"/>
          <w:numId w:val="34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00000" w:themeColor="text1"/>
          <w:sz w:val="24"/>
          <w:szCs w:val="24"/>
        </w:rPr>
        <w:t>Система должна поддерживать работу со следующими СУБД</w:t>
      </w:r>
      <w:r>
        <w:rPr>
          <w:bCs/>
          <w:color w:val="0D0D0D"/>
          <w:sz w:val="24"/>
          <w:szCs w:val="24"/>
          <w:shd w:fill="FFFFFF" w:val="clear"/>
        </w:rPr>
        <w:t xml:space="preserve"> с СУБД PostgreSQL версии 16 (x64).</w:t>
      </w:r>
      <w:bookmarkStart w:id="167" w:name="_Toc240301862"/>
      <w:bookmarkEnd w:id="165"/>
      <w:bookmarkEnd w:id="166"/>
    </w:p>
    <w:p>
      <w:pPr>
        <w:pStyle w:val="Style41"/>
        <w:numPr>
          <w:ilvl w:val="1"/>
          <w:numId w:val="34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00000" w:themeColor="text1"/>
          <w:sz w:val="24"/>
          <w:szCs w:val="24"/>
        </w:rPr>
        <w:t xml:space="preserve">Система должна поддерживать работу на серверных компонентах под управлением следующих </w:t>
      </w:r>
      <w:r>
        <w:rPr>
          <w:bCs/>
          <w:color w:val="0D0D0D"/>
          <w:sz w:val="24"/>
          <w:szCs w:val="24"/>
        </w:rPr>
        <w:t>ОС:</w:t>
      </w:r>
      <w:bookmarkEnd w:id="167"/>
    </w:p>
    <w:p>
      <w:pPr>
        <w:pStyle w:val="Style41"/>
        <w:spacing w:lineRule="auto" w:line="240" w:before="0" w:after="0"/>
        <w:ind w:firstLine="709"/>
        <w:rPr>
          <w:rFonts w:ascii="Times New Roman" w:hAnsi="Times New Roman"/>
        </w:rPr>
      </w:pPr>
      <w:r>
        <w:rPr>
          <w:color w:val="0D0D0D"/>
          <w:sz w:val="24"/>
          <w:szCs w:val="24"/>
        </w:rPr>
        <w:t>Astra Linux 1.8.6 Special Edition — все серверные компоненты;</w:t>
      </w:r>
    </w:p>
    <w:p>
      <w:pPr>
        <w:pStyle w:val="Style41"/>
        <w:spacing w:lineRule="auto" w:line="240" w:before="0" w:after="0"/>
        <w:ind w:firstLine="709"/>
        <w:rPr>
          <w:rFonts w:ascii="Times New Roman" w:hAnsi="Times New Roman"/>
        </w:rPr>
      </w:pPr>
      <w:r>
        <w:rPr>
          <w:color w:val="0D0D0D"/>
          <w:sz w:val="24"/>
          <w:szCs w:val="24"/>
        </w:rPr>
        <w:t>Astra Linux 2.12.46 Common Edition — все серверные компоненты.</w:t>
      </w:r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bookmarkStart w:id="168" w:name="_Toc240301863"/>
      <w:r>
        <w:rPr>
          <w:bCs/>
          <w:color w:val="000000" w:themeColor="text1"/>
          <w:sz w:val="24"/>
          <w:szCs w:val="24"/>
        </w:rPr>
        <w:t>Система должна поддерживать инспекцию инфраструктуры под управлением следующих ОС: Windows Server 2012, 2012 R2, 2016, 2019, 2022, 2025 (в том числе в составе кластера); ОС семейства Linux (AlterOS, Astra Linux, RedOS, Red Hat, CentOS, Debian). Агенты сбора данных должны работать в ОС линеек Windows и Linux. Для интеграций с мессенджерами — Windows 7 x64 / Windows Server 2012 64 и выше с Windows PowerShell 5 и выше (рекомендуется Windows 10.1803 x64, Windows Server 2019, PowerShell 5.1).</w:t>
      </w:r>
      <w:bookmarkStart w:id="169" w:name="_Toc240301864"/>
      <w:bookmarkEnd w:id="168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00000" w:themeColor="text1"/>
          <w:sz w:val="24"/>
          <w:szCs w:val="24"/>
        </w:rPr>
        <w:t>Система должна иметь русскоязычный интерфейс.</w:t>
      </w:r>
      <w:bookmarkStart w:id="170" w:name="_Toc240301865"/>
      <w:bookmarkEnd w:id="169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иметь механизм импорта и экспорта конфигурации настроек Системы (формат JSON) с возможностью предоставления пользователю выбора экспортируемых данных (выборочная отметка разделов настроек либо выбор всех)</w:t>
      </w:r>
      <w:r>
        <w:rPr>
          <w:bCs/>
          <w:color w:val="000000" w:themeColor="text1"/>
          <w:sz w:val="24"/>
          <w:szCs w:val="24"/>
        </w:rPr>
        <w:t>.</w:t>
      </w:r>
      <w:bookmarkEnd w:id="170"/>
      <w:r>
        <w:rPr>
          <w:bCs/>
          <w:color w:val="000000" w:themeColor="text1"/>
          <w:sz w:val="24"/>
          <w:szCs w:val="24"/>
        </w:rPr>
        <w:t xml:space="preserve"> </w:t>
      </w:r>
      <w:bookmarkStart w:id="171" w:name="_Toc240301866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определять наличие/отсутствие риск-факторов при анализе профилей пользователей и групп пользователей, компьютеров, файлов, почтовых ящиков, событий и активов</w:t>
      </w:r>
      <w:r>
        <w:rPr>
          <w:bCs/>
          <w:color w:val="000000" w:themeColor="text1"/>
          <w:sz w:val="24"/>
          <w:szCs w:val="24"/>
        </w:rPr>
        <w:t>.</w:t>
      </w:r>
      <w:bookmarkStart w:id="172" w:name="_Toc240301867"/>
      <w:bookmarkEnd w:id="171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В Системе должна быть предусмотрена возможность настройки отправки почтовых уведомлений о событиях работы самой Системы и событиях, зафиксированных Системой (настройка SMTP-клиента с поддержкой SSL и функцией тестирования отправки)</w:t>
      </w:r>
      <w:r>
        <w:rPr>
          <w:bCs/>
          <w:color w:val="000000" w:themeColor="text1"/>
          <w:sz w:val="24"/>
          <w:szCs w:val="24"/>
        </w:rPr>
        <w:t>.</w:t>
      </w:r>
      <w:bookmarkStart w:id="173" w:name="_Toc240301868"/>
      <w:bookmarkEnd w:id="172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предоставлять возможность экспорта данных и отчётов в форматах CSV, XLSX, HTML, PDF, а также экспорта настроек и сущностей (аккаунты, фильтры, метки, действия, токены, приёмники) в формате JSO</w:t>
      </w:r>
      <w:r>
        <w:rPr>
          <w:bCs/>
          <w:color w:val="000000" w:themeColor="text1"/>
          <w:sz w:val="24"/>
          <w:szCs w:val="24"/>
        </w:rPr>
        <w:t>.</w:t>
      </w:r>
      <w:bookmarkStart w:id="174" w:name="_Toc240301869"/>
      <w:bookmarkEnd w:id="173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поддерживать резервирование данных посредством подключения резервной БД (с настройкой репликации средствами СУБД PostgreSQL) и переноса устаревших данных в архивную БД. Переключение на резервную БД должно выполняться при плановой или внеплановой недоступности основной и дополнительных БД</w:t>
      </w:r>
      <w:r>
        <w:rPr>
          <w:bCs/>
          <w:color w:val="000000" w:themeColor="text1"/>
          <w:sz w:val="24"/>
          <w:szCs w:val="24"/>
        </w:rPr>
        <w:t>.</w:t>
      </w:r>
      <w:bookmarkStart w:id="175" w:name="_Toc240301870"/>
      <w:bookmarkEnd w:id="174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иметь механизм глобального поиска объектов по всем разделам Системы (пользователи, компьютеры, файлы, почтовые ящики, события, агенты, аномалии, рекомендации, оповещения, внутренний аудит, активы, настройки, инциденты) с возможностью поиска по всем разделам одновременно или по выбранному разделу и с ведением истории поиска</w:t>
      </w:r>
      <w:r>
        <w:rPr>
          <w:bCs/>
          <w:color w:val="000000" w:themeColor="text1"/>
          <w:sz w:val="24"/>
          <w:szCs w:val="24"/>
        </w:rPr>
        <w:t>.</w:t>
      </w:r>
      <w:bookmarkStart w:id="176" w:name="_Toc240301871"/>
      <w:bookmarkEnd w:id="175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В Системе должен быть реализован инструмент автоматизации формирования регулярной отчетности по инспектируемым компонентам ИС — настройка отправки отчётов по расписанию (ежедневно, еженедельно, ежемесячно, настраиваемая периодичность, указание времени отправки) с отправкой по электронной почте или сохранением в сетевой папке</w:t>
      </w:r>
      <w:r>
        <w:rPr>
          <w:bCs/>
          <w:color w:val="000000" w:themeColor="text1"/>
          <w:sz w:val="24"/>
          <w:szCs w:val="24"/>
        </w:rPr>
        <w:t>.</w:t>
      </w:r>
      <w:bookmarkStart w:id="177" w:name="_Toc240301872"/>
      <w:bookmarkEnd w:id="176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В Системе должен быть реализован инструмент выявления аномалий в событиях, поведении пользователей, компьютеров и других объектов ИС (раздел «Аномалии» с привязкой к компьютерам, файлам, пользователям, почтовым ящикам, временным периодам, успехам и отказам), включая поведенческий анализ поступающих событий</w:t>
      </w:r>
      <w:r>
        <w:rPr>
          <w:bCs/>
          <w:color w:val="000000" w:themeColor="text1"/>
          <w:sz w:val="24"/>
          <w:szCs w:val="24"/>
        </w:rPr>
        <w:t>.</w:t>
      </w:r>
      <w:bookmarkStart w:id="178" w:name="_Toc240301873"/>
      <w:bookmarkEnd w:id="177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В Системе должен быть реализован инструмент выявления аномалий прав доступа УЗ пользователей: файлы и папки с открытым доступом, права, заданные напрямую по пользователям в обход групп, права, отличающиеся от прав родительской папки (ненаследуемые права)</w:t>
      </w:r>
      <w:r>
        <w:rPr>
          <w:bCs/>
          <w:color w:val="000000" w:themeColor="text1"/>
          <w:sz w:val="24"/>
          <w:szCs w:val="24"/>
        </w:rPr>
        <w:t>.</w:t>
      </w:r>
      <w:bookmarkStart w:id="179" w:name="_Toc240301874"/>
      <w:bookmarkEnd w:id="178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В Системе должен быть реализован инструмент изменения настроек и прав доступа пользователей, групп и компьютеров в службах каталогов посредством настраиваемых действий (скриптов), выполняемых на агентах Системы</w:t>
      </w:r>
      <w:r>
        <w:rPr>
          <w:bCs/>
          <w:color w:val="000000" w:themeColor="text1"/>
          <w:sz w:val="24"/>
          <w:szCs w:val="24"/>
        </w:rPr>
        <w:t>.</w:t>
      </w:r>
      <w:bookmarkStart w:id="180" w:name="_Toc240301875"/>
      <w:bookmarkEnd w:id="179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В Системе должен быть реализован инструмент изменения прав доступа к файлам, восстановления наследования и удаления некорректных прав доступа с предварительным моделированием последствий (инструмент «Песочница»): добавление и удаление прав, проверка рекомендаций платформы, применение изменений только после подтверждения администратором. Должна поддерживаться возможность удаления файлов из хранилищ общего доступа непосредственно из консоли управления</w:t>
      </w:r>
      <w:r>
        <w:rPr>
          <w:bCs/>
          <w:color w:val="000000" w:themeColor="text1"/>
          <w:sz w:val="24"/>
          <w:szCs w:val="24"/>
        </w:rPr>
        <w:t>.</w:t>
      </w:r>
      <w:bookmarkStart w:id="181" w:name="_Toc240301877"/>
      <w:bookmarkStart w:id="182" w:name="_Toc240301876"/>
      <w:bookmarkEnd w:id="180"/>
      <w:bookmarkEnd w:id="182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В Системе должен быть реализован инструмент внутреннего аудита действий пользователей Системы</w:t>
      </w:r>
      <w:r>
        <w:rPr>
          <w:bCs/>
          <w:color w:val="000000" w:themeColor="text1"/>
          <w:sz w:val="24"/>
          <w:szCs w:val="24"/>
        </w:rPr>
        <w:t>.</w:t>
      </w:r>
      <w:bookmarkStart w:id="183" w:name="_Toc240301878"/>
      <w:bookmarkEnd w:id="181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быть построена на базе программного обеспечения, включенного в Единый реестр российских программ для электронных вычислительных машин и баз данных и сертифицированного ФСТЭК России</w:t>
      </w:r>
      <w:r>
        <w:rPr>
          <w:bCs/>
          <w:color w:val="000000" w:themeColor="text1"/>
          <w:sz w:val="24"/>
          <w:szCs w:val="24"/>
        </w:rPr>
        <w:t>.</w:t>
      </w:r>
      <w:bookmarkStart w:id="184" w:name="_Toc240301879"/>
      <w:bookmarkEnd w:id="183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Сбор и обогащение данных в Системе должны быть реализованы в агентском режиме (встроенные агенты на сервере управления и внешние агенты на серверах-коллекторах) и в безагентском режиме (удалённая инспекция EventLog, LDAP, файловых ресурсов по SMB/NFS, приём SYSLOG, Windows Events Forwarding, PCAP-сниффер, FPolicy).</w:t>
      </w:r>
      <w:bookmarkStart w:id="185" w:name="_Toc240301880"/>
      <w:bookmarkEnd w:id="184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В Системе должна быть реализована возможность сохранения различных данных, в том числе паролей и токенов доступа, в виде глобальных переменных (типы «Строка» и «Пароль» со скрытым отображением значения), в целях упрощения процедуры их замены в скриптах и настройках</w:t>
      </w:r>
      <w:r>
        <w:rPr>
          <w:bCs/>
          <w:color w:val="000000" w:themeColor="text1"/>
          <w:sz w:val="24"/>
          <w:szCs w:val="24"/>
        </w:rPr>
        <w:t>.</w:t>
      </w:r>
      <w:bookmarkStart w:id="186" w:name="_Toc240301881"/>
      <w:bookmarkEnd w:id="185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В Системе должен быть реализован инструмент SWAGGER, предоставляющий возможность документирования и просмотра запросов к API Системы</w:t>
      </w:r>
      <w:r>
        <w:rPr>
          <w:bCs/>
          <w:color w:val="000000" w:themeColor="text1"/>
          <w:sz w:val="24"/>
          <w:szCs w:val="24"/>
        </w:rPr>
        <w:t>.</w:t>
      </w:r>
      <w:bookmarkStart w:id="187" w:name="_Toc240301882"/>
      <w:bookmarkEnd w:id="186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поддерживать автоматическое обнаружение сложных угроз посредством маркировки событий.</w:t>
      </w:r>
      <w:bookmarkStart w:id="188" w:name="_Toc240301883"/>
      <w:bookmarkEnd w:id="187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поддерживать работу в сетях с протоколами IPv4 и IPv6.</w:t>
      </w:r>
      <w:bookmarkStart w:id="189" w:name="_Toc240301884"/>
      <w:bookmarkEnd w:id="188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поддерживать развёртывание серверных компонентов в средах виртуализации при обязательном соблюдении аппаратных требований для каждого сервера</w:t>
      </w:r>
      <w:bookmarkEnd w:id="189"/>
      <w:r>
        <w:rPr>
          <w:bCs/>
          <w:color w:val="0D0D0D"/>
          <w:sz w:val="24"/>
          <w:szCs w:val="24"/>
        </w:rPr>
        <w:t>.</w:t>
      </w:r>
      <w:bookmarkStart w:id="190" w:name="_Toc240301885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поддерживать режим техобслуживания БД, при котором приостанавливается отправка запросов по отчётам и ограничивается взаимодействие с БД на период плановых работ.</w:t>
      </w:r>
      <w:bookmarkStart w:id="191" w:name="_Toc240301886"/>
      <w:bookmarkEnd w:id="190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поддерживать установку обновлений через графический интерфейс веб-консоли (форматы пакетов: *.rpm и *.deb для ОС семейства Linux, *.exe и *.msi для ОС семейства Windows), а также обновление ПО агентов сбора данных из консоли управления.</w:t>
      </w:r>
      <w:bookmarkStart w:id="192" w:name="_Toc240301887"/>
      <w:bookmarkEnd w:id="191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Система должна поддерживать повышение отказоустойчивости за счёт применения основного и резервного серверов управления с переключением на резервный сервер при недоступности основного, а также резервных соединений агентов сбора данных с сервером управления.</w:t>
      </w:r>
      <w:bookmarkEnd w:id="192"/>
    </w:p>
    <w:p>
      <w:pPr>
        <w:pStyle w:val="Style41"/>
        <w:numPr>
          <w:ilvl w:val="1"/>
          <w:numId w:val="35"/>
        </w:numPr>
        <w:spacing w:lineRule="auto" w:line="240" w:before="0" w:after="0"/>
        <w:ind w:firstLine="709" w:left="0"/>
        <w:rPr>
          <w:rFonts w:ascii="Times New Roman" w:hAnsi="Times New Roman"/>
        </w:rPr>
      </w:pPr>
      <w:r>
        <w:rPr>
          <w:bCs/>
          <w:color w:val="0D0D0D"/>
          <w:sz w:val="24"/>
          <w:szCs w:val="24"/>
        </w:rPr>
        <w:t>Аутентификация в Системе должна производиться с помощью используемой у Заказчика службы каталога или IDP, ролевая модель должна строиться на основе групп безопасности в службе каталога Заказчика.</w:t>
      </w:r>
    </w:p>
    <w:p>
      <w:pPr>
        <w:pStyle w:val="BodyTextIndent2"/>
        <w:numPr>
          <w:ilvl w:val="0"/>
          <w:numId w:val="28"/>
        </w:numPr>
        <w:spacing w:lineRule="auto" w:line="240" w:before="0" w:after="0"/>
        <w:ind w:firstLine="709" w:left="0"/>
        <w:rPr>
          <w:rFonts w:ascii="Times New Roman" w:hAnsi="Times New Roman"/>
        </w:rPr>
      </w:pPr>
      <w:bookmarkStart w:id="193" w:name="_Toc240301888"/>
      <w:bookmarkStart w:id="194" w:name="_Toc57640484"/>
      <w:bookmarkStart w:id="195" w:name="_Toc237435856"/>
      <w:r>
        <w:rPr>
          <w:b/>
          <w:sz w:val="24"/>
          <w:szCs w:val="24"/>
        </w:rPr>
        <w:t>Требования к консоли управления и администрирования (веб-консоль)</w:t>
      </w:r>
      <w:bookmarkEnd w:id="193"/>
      <w:bookmarkEnd w:id="194"/>
      <w:bookmarkEnd w:id="195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Системы должна поддерживать работу в браузерах Chromium, Yandex Browser,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Системы должна предоставлять интерфейс управления агентами сбора данных (создание, редактирование, мониторинг состояния, обновление ПО агентов)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Веб-консоль Системы должна поддерживать создание задач по сбору данных.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Системы должна предоставлять интерфейс для ручной загрузки данных в базу данных Системы (файлы формата JSON, файлы журналов EVTX), в том числе загрузки по сетевой ссылке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Системы должна поддерживать ролевую модель доступа с разграничением прав для групп пользователей Системы: Читатель, Инспектор, Старший инспектор, Администратор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Системы должна предоставлять возможность создания, изменения, копирования, временного отключения и удаления учетных записей для работы в Системе (включая «мягкое» удаление с возможностью восстановления и безвозвратное удаление), а также экспорта аккаунтов в формате JSON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Системы должна предоставлять возможность редактирования настроек базы данных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Системы должна предоставлять возможность создания, изменения и удаления пользовательских панелей (дашбордов), содержащих выбранные пользователем и настроенные под его требования виджеты, в разделе «Сводка»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bookmarkStart w:id="196" w:name="_Hlk161227202"/>
      <w:r>
        <w:rPr>
          <w:rFonts w:eastAsia="Times New Roman" w:ascii="Times New Roman" w:hAnsi="Times New Roman"/>
          <w:color w:val="0D0D0D"/>
        </w:rPr>
        <w:t>Веб-консоль Системы должна обеспечивать подключение нескольких баз данных с возможностью быстрого переключения для работы с выбранной базой (с повторной аутентификацией при смене БД)</w:t>
      </w:r>
      <w:r>
        <w:rPr>
          <w:rFonts w:ascii="Times New Roman" w:hAnsi="Times New Roman"/>
          <w:color w:val="000000" w:themeColor="text1"/>
        </w:rPr>
        <w:t>.</w:t>
      </w:r>
      <w:bookmarkEnd w:id="196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Системы должна обеспечивать подключение дополнительных баз данных с возможностью агрегации данных с основной базой данных (с визуальным различением агрегированных и неагрегированных БД)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Системы должна обеспечивать подключение резервной базы для сохранения работоспособности в случае невозможности работы с основной базой данных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Открытие сессии пользователя в консоли управления должно осуществляться посредством ввода идентификационных данных — логина и пароля (с выбором базы данных при наличии нескольких подключенных БД).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веб-консоли Системы должно быть реализовано визуальное отображение текущего состояния подключения к базе данных и занятого дискового пространства, с отображением полного текста ошибки при наведении на статус.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веб-консоли Системы должно быть реализовано визуальное отображение текущего состояния (включен или выключен) аккаунта пользователя платформы.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веб-консоли Системы должно быть реализовано визуальное отображение текущего состояния (включен или выключен) фильтров приёма событий.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веб-консоли Системы должно быть реализовано визуальное отображение текущего состояния (включено или выключено) оповещений.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веб-консоли Системы должно быть реализовано визуальное отображение текущего состояния (включены или выключены) политик, применяемых для выявления УЗ пользователей, компьютеров и групп с заданными признаками.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веб-консоли Системы должно быть реализовано визуальное отображение текущего состояния (включены или выключены) действий, применяемых в целях автоматического реагирования на угрозы.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должна предоставлять настраиваемое табличное отображение данных: выбор и порядок колонок, сортировку по возрастанию/убыванию, фильтрацию по условиям (равно, не равно, содержит, не содержит, начинается, оканчивается, заполнено, не заполнено, временной диапазон), сброс всех применённых фильтров одной кнопкой.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должна поддерживать интерактивные цифровые и текстовые значения с переходом к детализированным данным, полноэкранный режим, центр уведомлений о внутренних процессах платформы (со статусами выполнения и возможностью остановки пересчёта аналитики), а также быстрый доступ к инцидентам, назначенным текущему пользователю.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Веб-консоль должна обеспечивать настройку расписаний двумя способами: вводом выражения в формате CRON (для опытных пользователей) и с помощью встроенной формы (ежечасно, ежедневно, еженедельно, ежемесячно), не требующей специальных навыков.</w:t>
      </w:r>
    </w:p>
    <w:p>
      <w:pPr>
        <w:pStyle w:val="ListParagraph"/>
        <w:numPr>
          <w:ilvl w:val="0"/>
          <w:numId w:val="28"/>
        </w:numPr>
        <w:ind w:firstLine="709" w:left="0"/>
        <w:rPr>
          <w:rFonts w:ascii="Times New Roman" w:hAnsi="Times New Roman"/>
        </w:rPr>
      </w:pPr>
      <w:bookmarkStart w:id="197" w:name="_Toc237435857"/>
      <w:bookmarkStart w:id="198" w:name="_Toc240301889"/>
      <w:r>
        <w:rPr>
          <w:rFonts w:cs="Times New Roman" w:ascii="Times New Roman" w:hAnsi="Times New Roman"/>
          <w:b/>
        </w:rPr>
        <w:t>Требования к обеспечению информационной безопасности</w:t>
      </w:r>
      <w:bookmarkEnd w:id="197"/>
      <w:bookmarkEnd w:id="198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 xml:space="preserve">Администратор Системы должен иметь возможность задавать сложные пароли учётных записей; первичный пароль администратора, установленный по умолчанию, должен подлежать обязательной смене после первого входа. </w:t>
      </w:r>
      <w:r>
        <w:rPr>
          <w:rFonts w:ascii="Times New Roman" w:hAnsi="Times New Roman"/>
        </w:rPr>
        <w:t>Пароль пользователя Системы не должен содержать менее 12 символов.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Пароль пользователя Системы не должен сохраняться в настройках браузера.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отсутствии активности пользователя в течение заданного времени должна выполняться блокировка сеанса. Для возобновления работы пользователю нужно будет повторно ввести идентификационные данные.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Количество неверных вариантов ввода пароля пользователем должно определяться администратором Системы в настройках учётной записи пользователя Системы.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достижении максимального количества неверных попыток ввода пароля учётная запись пользователя Системы должна быть заблокирована. Полномочиями на разблокирование данной учётной записи должны обладать только администраторы Системы. 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интеграции с платформой Multifactor для подключения двухфакторной аутентификации пользователей. Включение и отключение двухфакторной аутентификации должно выполняться только администратором Системы.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Для связи внешних агентов сбора данных с сервером управления должна поддерживаться аутентификация по токенам (с указанием маски IP-адресов агентов и срока действия), исключающая прямую передачу параметров учётных записей.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FF0000"/>
        </w:rPr>
        <w:t xml:space="preserve"> </w:t>
      </w:r>
      <w:r>
        <w:rPr>
          <w:rFonts w:eastAsia="Times New Roman" w:ascii="Times New Roman" w:hAnsi="Times New Roman"/>
          <w:color w:val="0D0D0D"/>
        </w:rPr>
        <w:t>Система должна поддерживать защищённые соединения: SSL для почтового клиента, TLS/SSL при инспекции баз данных, сертификаты PEM для LDAP-соединений и Windows Events Forwarding, HTTPS (порт 8443) для доступа к консоли управления.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Все действия пользователей Системы должны фиксироваться в журнале внутреннего аудита.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Локальные УЗ должны использоваться в исключительных случаях, их количество должно быть минимально необходимым. Пользователи и администраторы системы должны работать по доменными учетными записями.</w:t>
      </w:r>
    </w:p>
    <w:p>
      <w:pPr>
        <w:pStyle w:val="ListParagraph"/>
        <w:numPr>
          <w:ilvl w:val="0"/>
          <w:numId w:val="28"/>
        </w:numPr>
        <w:ind w:firstLine="709" w:left="0"/>
        <w:rPr>
          <w:rFonts w:ascii="Times New Roman" w:hAnsi="Times New Roman"/>
        </w:rPr>
      </w:pPr>
      <w:bookmarkStart w:id="199" w:name="_Toc57640485"/>
      <w:bookmarkStart w:id="200" w:name="_Toc237435858"/>
      <w:bookmarkStart w:id="201" w:name="_Toc240301890"/>
      <w:r>
        <w:rPr>
          <w:rFonts w:cs="Times New Roman" w:ascii="Times New Roman" w:hAnsi="Times New Roman"/>
          <w:b/>
        </w:rPr>
        <w:t>Требования к компоненту управления СУБД</w:t>
      </w:r>
      <w:bookmarkEnd w:id="199"/>
      <w:bookmarkEnd w:id="200"/>
      <w:bookmarkEnd w:id="201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bookmarkStart w:id="202" w:name="_Hlk181876078"/>
      <w:r>
        <w:rPr>
          <w:rFonts w:eastAsia="Times New Roman" w:ascii="Times New Roman" w:hAnsi="Times New Roman"/>
          <w:color w:val="0D0D0D"/>
        </w:rPr>
        <w:t>Система должна поддерживать работу с СУБД PostgreSQL версии 16 (x64) с расширением TimescaleDB 2.10.1, а также подключение внешнего хранилища событий на базе СУБД ClickHouse.</w:t>
      </w:r>
      <w:bookmarkEnd w:id="202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веб-консоли Системы должна быть предусмотрена возможность задания параметров соединения с базой данных — сетевой адрес, имя базы данных, имя пользователя и пароль УЗ СУБД с достаточными правами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веб-консоли Системы должна быть предусмотрена возможность тестирования правильности задания параметров соединения с базой данных (кнопка «Проверить» с выводом результата проверки)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поддерживать агрегацию нескольких баз данных (агрегированный режим, при котором данные дополнительной БД отображаются совместно с данными основной БД) и самостоятельный режим работы с переключением между БД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вести аудит доступа (внутренний аудит действий пользователей и событий Системы)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предварительной проверки корректности подключения и возврата к стандартным настройкам (загрузка установочного файла настроек по умолчанию, импорт settings.json)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просмотра активных запросов к СУБД PostgreSQL с настраиваемой периодичностью обновления (15 секунд, 1, 2 или 5 минут) и ручным обновлением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ручной загрузки данных (файлы JSON, EVTX, загрузка по ссылке) и удаления записей аудита, а также загрузки настроек по умолчанию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загрузки файлов для анализа по прямой ссылке (сетевой путь, доступный серверу управления).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В Системе должна быть реализована поддержка </w:t>
      </w:r>
      <w:r>
        <w:rPr>
          <w:rFonts w:ascii="Times New Roman" w:hAnsi="Times New Roman"/>
          <w:color w:val="000000" w:themeColor="text1"/>
          <w:lang w:val="en-US"/>
        </w:rPr>
        <w:t>T</w:t>
      </w:r>
      <w:r>
        <w:rPr>
          <w:rFonts w:ascii="Times New Roman" w:hAnsi="Times New Roman"/>
          <w:color w:val="000000" w:themeColor="text1"/>
        </w:rPr>
        <w:t>imescale</w:t>
      </w:r>
      <w:r>
        <w:rPr>
          <w:rFonts w:ascii="Times New Roman" w:hAnsi="Times New Roman"/>
          <w:color w:val="000000" w:themeColor="text1"/>
          <w:lang w:val="en-US"/>
        </w:rPr>
        <w:t>DB</w:t>
      </w:r>
      <w:r>
        <w:rPr>
          <w:rFonts w:ascii="Times New Roman" w:hAnsi="Times New Roman"/>
          <w:color w:val="000000" w:themeColor="text1"/>
        </w:rPr>
        <w:t xml:space="preserve"> для PostgreSQL.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вести историю загрузки данных (вкладка «Загрузка более месяца назад» для приёмников, журнал внутреннего аудита).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интуитивно понятного, не требующего специальных навыков, управления расписанием вычислений и обогащения данных (форма «Ежечасно/Ежедневно/Еженедельно/Ежемесячно»), а также задания расписания в формате CRON для опытных пользователей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установки меток на все объекты, для которых подключен аудит, — пользователей и группы, компьютеры, почтовые ящики, файлы и папки, события, оповещения и инциденты, включая рекурсивное присвоение меток вложенным папкам, файлам, подгруппам и пользователям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сохранять собственные отчеты по объектам Системы — пользователям, компьютерам, почтовым ящикам, файлам и папкам, событиям (пользовательские дашборды, отчёты по расписанию, создание копий отчётов)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Д</w:t>
      </w:r>
      <w:r>
        <w:rPr>
          <w:rFonts w:eastAsia="Times New Roman" w:ascii="Times New Roman" w:hAnsi="Times New Roman"/>
          <w:color w:val="0D0D0D"/>
        </w:rPr>
        <w:t>олжна быть реализована возможность создания базы данных из интерфейса Системы (кнопка «Создать базу» при подключении БД).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настройки максимального срока хранения событий (ограничение дней хранения событий) и срока хранения записей аудита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настройки максимального количества хранимых событий (ограничение количества событий)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автоматического сохранения данных в долговременном архиве (архивной БД) при превышении заданного максимального количества хранимых событий или превышении максимального срока хранения событий</w:t>
      </w:r>
      <w:r>
        <w:rPr>
          <w:rFonts w:ascii="Times New Roman" w:hAnsi="Times New Roman"/>
          <w:color w:val="000000" w:themeColor="text1"/>
        </w:rPr>
        <w:t xml:space="preserve">.  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указания сетевого адреса и порта сервера СУБД PostgreSQL при подключении базы данных (по умолчанию — порт 5432)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просмотра и экспорта активных запросов к базе данных PostgreSQL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выполнения запросов к базе данных PostgreSQL в ручном режиме из веб-консоли (кнопка «Запрос к базе данных»).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настройки времени актуальности статистики (в часах) и максимального времени выполнения статистических запросов (в минутах).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включения режима техобслуживания БД на период плановых работ по оптимизации.</w:t>
      </w:r>
    </w:p>
    <w:p>
      <w:pPr>
        <w:pStyle w:val="ListParagraph"/>
        <w:numPr>
          <w:ilvl w:val="0"/>
          <w:numId w:val="28"/>
        </w:numPr>
        <w:ind w:firstLine="709" w:left="0"/>
        <w:rPr>
          <w:rFonts w:ascii="Times New Roman" w:hAnsi="Times New Roman"/>
        </w:rPr>
      </w:pPr>
      <w:bookmarkStart w:id="203" w:name="_Toc240301891"/>
      <w:bookmarkStart w:id="204" w:name="_Toc57640486"/>
      <w:bookmarkStart w:id="205" w:name="_Toc237435859"/>
      <w:r>
        <w:rPr>
          <w:rFonts w:cs="Times New Roman" w:ascii="Times New Roman" w:hAnsi="Times New Roman"/>
          <w:b/>
        </w:rPr>
        <w:t>Требования к компоненту управления сбором данных</w:t>
      </w:r>
      <w:bookmarkEnd w:id="203"/>
      <w:bookmarkEnd w:id="204"/>
      <w:bookmarkEnd w:id="205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должен быть интерфейс для управления агентами сбора данных (раздел «Агенты» с вкладками «Агенты» и «Задачи», сводной статистикой по состоянию агентов и задач)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создания расписания работы агентов сбора данных. Форма заполнения расписания должна быть интуитивно понятной и не требовать от пользователя специальных навыков, с возможностью использования CRON-выражений</w:t>
      </w:r>
      <w:r>
        <w:rPr>
          <w:rFonts w:ascii="Times New Roman" w:hAnsi="Times New Roman"/>
          <w:color w:val="000000" w:themeColor="text1"/>
        </w:rPr>
        <w:t xml:space="preserve">. 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должен быть реализован упрощенный модуль подключения доменов, папок и событий в консоль (динамические формы создания задач с проверкой корректности введённых данных кнопкой «Проверить»)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Системе должна быть реализована возможность разграничения работы агентов для сбора данных на следующие типы</w:t>
      </w:r>
      <w:r>
        <w:rPr>
          <w:rFonts w:ascii="Times New Roman" w:hAnsi="Times New Roman"/>
          <w:color w:val="000000" w:themeColor="text1"/>
        </w:rPr>
        <w:t>: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Сервис. Агент, используемый для управления внешними агентами (установленными на серверах-коллекторах): отправка запросов на сбор данных и отслеживание прогресса выполнения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Передатчик. При выборе этого типа агент должен только принимать данные;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Загрузчик. Агент, используемый для управления внутренними агентами (служба ОС сервера управления), которому назначаются задания на сбор данных вручную или по расписанию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rFonts w:ascii="Times New Roman" w:hAnsi="Times New Roman"/>
        </w:rPr>
      </w:pPr>
      <w:r>
        <w:rPr>
          <w:color w:val="0D0D0D"/>
          <w:sz w:val="24"/>
          <w:szCs w:val="24"/>
        </w:rPr>
        <w:t>По фактору исполнения агенты должны разделяться на встроенные (в рамках сервера управления) и внешние (отдельное приложение DCAP Agent на сервере-коллекторе с собственной веб-консолью управления).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 Системе должна быть возможность устанавливать различные режимы работы задач для агентов для сбора данных:</w:t>
      </w:r>
    </w:p>
    <w:p>
      <w:pPr>
        <w:pStyle w:val="ListParagraph"/>
        <w:numPr>
          <w:ilvl w:val="0"/>
          <w:numId w:val="30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Вручную — задача запускается непосредственно пользователем в консоли управления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30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Через заданный интервал времени — задача выполняется автоматически по истечении заданного промежутка времени</w:t>
      </w:r>
      <w:r>
        <w:rPr>
          <w:rFonts w:ascii="Times New Roman" w:hAnsi="Times New Roman"/>
          <w:color w:val="000000" w:themeColor="text1"/>
        </w:rPr>
        <w:t xml:space="preserve">; </w:t>
      </w:r>
    </w:p>
    <w:p>
      <w:pPr>
        <w:pStyle w:val="ListParagraph"/>
        <w:numPr>
          <w:ilvl w:val="0"/>
          <w:numId w:val="30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Постоянная работа и загрузка изменений — задача выполняется постоянно, отслеживая изменения в инспектируемых объектах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30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По расписанию в формате CRON.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rFonts w:ascii="Times New Roman" w:hAnsi="Times New Roman"/>
        </w:rPr>
      </w:pPr>
      <w:r>
        <w:rPr>
          <w:color w:val="0D0D0D"/>
          <w:sz w:val="24"/>
          <w:szCs w:val="24"/>
        </w:rPr>
        <w:t>Должен поддерживаться критерий остановки задачи: не задано или по истечении периода времени (в минутах).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должен быть реализован графический интерфейс, позволяющий отслеживать работоспособность агентов (статусы, загрузка CPU, RAM, дисков, количество запущенных задач, объёмы просмотренных и переданных объектов)</w:t>
      </w:r>
      <w:r>
        <w:rPr>
          <w:rFonts w:ascii="Times New Roman" w:hAnsi="Times New Roman"/>
          <w:color w:val="000000" w:themeColor="text1"/>
        </w:rPr>
        <w:t xml:space="preserve">. 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должен быть реализован графический интерфейс, позволяющий отслеживать ошибки при сборе данных (колонки «Ошибки», «Предупреждения», «Пропущено», «Проигнорировано» в таблице задач)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должен быть реализован графический интерфейс, позволяющий экспортировать и импортировать настройки агентов, задач, приёмников и токенов в формате JSON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Системе должна быть реализована связь агентов с сервером управления с применением токенов доступа (без прямой передачи учётных данных), с поддержкой резервных соединений и работы через прокси-сервер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должен быть реализован графический интерфейс добавления данных из файла (ручная загрузка JSON и EVTX)</w:t>
      </w:r>
      <w:r>
        <w:rPr>
          <w:rFonts w:ascii="Times New Roman" w:hAnsi="Times New Roman"/>
          <w:color w:val="000000" w:themeColor="text1"/>
        </w:rPr>
        <w:t>.</w:t>
      </w:r>
      <w:bookmarkStart w:id="206" w:name="_Toc57640487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подключения внешних модулей категоризации и извлечения сущностей (внешних классификаторов текстов и изображений) по REST API с указанием URL-адреса ресурса, а также использования встроенных модулей ИНС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управления расписанием вычислений и обогащения данных — запуск вручную, через заданный интервал времени, по CRON-расписанию. Создание расписания должно быть интуитивно понятным и не должно требовать от пользователя специальных навыков</w:t>
      </w:r>
      <w:r>
        <w:rPr>
          <w:rFonts w:ascii="Times New Roman" w:hAnsi="Times New Roman"/>
          <w:color w:val="000000" w:themeColor="text1"/>
        </w:rPr>
        <w:t xml:space="preserve">.  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должен быть реализован инструмент предобработки поступающих событий (фильтр приёма событий с условиями приёма, условиями исключения и автоматической заменой значений параметров событий при загрузке в БД)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задания приоритета выполнения задач по сбору данных (расширенный параметр common_first с числовым приоритетом)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должны быть обеспечены приём и обработка событий Windows из файлов журналов в формате EVTX (инспекция папки с логами, ручная загрузка), а также фильтрация событий с использованием XML-запросов (Windows Events Forwarding)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В </w:t>
      </w:r>
      <w:r>
        <w:rPr>
          <w:rFonts w:eastAsia="Times New Roman" w:ascii="Times New Roman" w:hAnsi="Times New Roman"/>
          <w:color w:val="0D0D0D"/>
        </w:rPr>
        <w:t>В Системе должен поддерживаться удаленный сбор событий с серверов Windows (инспекция EventLog с указанием компьютера, фильтра журналов и идентификаторов событий; Windows Events Forwarding с сервера-коллектора WEC).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должен быть обеспечен сбор событий в формате Syslog (задача «SYSLOG-сервер» с поддержкой протоколов TCP/UDP и форматов RFC5424, RFC3164, RFC6587, NXLog, автораспознавание формата)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должен быть обеспечен сбор и анализ зеркалированного сетевого трафика (PCAP-сниффер с фильтрацией пакетов по TCP-портам и протоколам SMBv1/SMBv2/SMBv3, NFS), включая получение данных от источников типа EMC Common Event Enabler (CEE)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Сбор данных о домене должен поддерживать протоколы LDAP/LDAPS (с сертификатом PEM) и интерфейс ADSI для служб каталогов без поддержки LDAP (например, FreeIPA), а также инспекцию Active Directory и файла NTDS.dit.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 Системе должен поддерживаться сбор информации о файлах, хранящихся в:</w:t>
      </w:r>
    </w:p>
    <w:p>
      <w:pPr>
        <w:pStyle w:val="ListParagraph"/>
        <w:numPr>
          <w:ilvl w:val="2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Сетевых папках общего доступа (SMB, NFS), включая кластерные конфигурации Windows Server, распределённую файловую систему Windows DFS, СХД NetApp (FPolicy) и источники Dell EMC (CEE)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2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FTP и SFTP</w:t>
      </w:r>
      <w:r>
        <w:rPr>
          <w:rFonts w:ascii="Times New Roman" w:hAnsi="Times New Roman"/>
          <w:color w:val="000000" w:themeColor="text1"/>
          <w:lang w:val="en-US"/>
        </w:rPr>
        <w:t>;</w:t>
      </w:r>
    </w:p>
    <w:p>
      <w:pPr>
        <w:pStyle w:val="ListParagraph"/>
        <w:numPr>
          <w:ilvl w:val="2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Облачных</w:t>
      </w:r>
      <w:r>
        <w:rPr>
          <w:rFonts w:eastAsia="Times New Roman" w:ascii="Times New Roman" w:hAnsi="Times New Roman"/>
          <w:color w:val="0D0D0D"/>
          <w:lang w:val="en-US"/>
        </w:rPr>
        <w:t xml:space="preserve"> </w:t>
      </w:r>
      <w:r>
        <w:rPr>
          <w:rFonts w:eastAsia="Times New Roman" w:ascii="Times New Roman" w:hAnsi="Times New Roman"/>
          <w:color w:val="0D0D0D"/>
        </w:rPr>
        <w:t>хранилищах</w:t>
      </w:r>
      <w:r>
        <w:rPr>
          <w:rFonts w:eastAsia="Times New Roman" w:ascii="Times New Roman" w:hAnsi="Times New Roman"/>
          <w:color w:val="0D0D0D"/>
          <w:lang w:val="en-US"/>
        </w:rPr>
        <w:t xml:space="preserve"> </w:t>
      </w:r>
      <w:r>
        <w:rPr>
          <w:rFonts w:eastAsia="Times New Roman" w:ascii="Times New Roman" w:hAnsi="Times New Roman"/>
          <w:color w:val="0D0D0D"/>
        </w:rPr>
        <w:t>и</w:t>
      </w:r>
      <w:r>
        <w:rPr>
          <w:rFonts w:eastAsia="Times New Roman" w:ascii="Times New Roman" w:hAnsi="Times New Roman"/>
          <w:color w:val="0D0D0D"/>
          <w:lang w:val="en-US"/>
        </w:rPr>
        <w:t xml:space="preserve"> </w:t>
      </w:r>
      <w:r>
        <w:rPr>
          <w:rFonts w:eastAsia="Times New Roman" w:ascii="Times New Roman" w:hAnsi="Times New Roman"/>
          <w:color w:val="0D0D0D"/>
        </w:rPr>
        <w:t>сервисах</w:t>
      </w:r>
      <w:r>
        <w:rPr>
          <w:rFonts w:eastAsia="Times New Roman" w:ascii="Times New Roman" w:hAnsi="Times New Roman"/>
          <w:color w:val="0D0D0D"/>
          <w:lang w:val="en-US"/>
        </w:rPr>
        <w:t xml:space="preserve">: Amazon S3, Atlassian Confluence, Atlassian Jira, Microsoft SharePoint, R7 Office, Nextcloud, GitLab, </w:t>
      </w:r>
      <w:r>
        <w:rPr>
          <w:rFonts w:eastAsia="Times New Roman" w:ascii="Times New Roman" w:hAnsi="Times New Roman"/>
          <w:color w:val="0D0D0D"/>
        </w:rPr>
        <w:t>Яндекс</w:t>
      </w:r>
      <w:r>
        <w:rPr>
          <w:rFonts w:eastAsia="Times New Roman" w:ascii="Times New Roman" w:hAnsi="Times New Roman"/>
          <w:color w:val="0D0D0D"/>
          <w:lang w:val="en-US"/>
        </w:rPr>
        <w:t xml:space="preserve"> </w:t>
      </w:r>
      <w:r>
        <w:rPr>
          <w:rFonts w:eastAsia="Times New Roman" w:ascii="Times New Roman" w:hAnsi="Times New Roman"/>
          <w:color w:val="0D0D0D"/>
        </w:rPr>
        <w:t>Диск</w:t>
      </w:r>
      <w:r>
        <w:rPr>
          <w:rFonts w:eastAsia="Times New Roman" w:ascii="Times New Roman" w:hAnsi="Times New Roman"/>
          <w:color w:val="0D0D0D"/>
          <w:lang w:val="en-US"/>
        </w:rPr>
        <w:t>, MinIO</w:t>
      </w:r>
      <w:r>
        <w:rPr>
          <w:rFonts w:ascii="Times New Roman" w:hAnsi="Times New Roman"/>
          <w:color w:val="000000" w:themeColor="text1"/>
          <w:lang w:val="en-US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обеспечивать приём логов сервера FPolicy, являющегося инфраструктурным компонентом системы Data ONTAP (NetApp) и предназначенного для организации правил доступа к файлам и контроля их исполнения, с возможностью автоматического перезапуска политики FPolicy посредством настраиваемого действия (SSH-скрипт)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поддерживаться инспекция событий ОС Linux посредством AUDITD-агента (Linux Audit Daemon) с указанием файла логов подсистемы аудита.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поддерживаться возможность запуска готовых скриптов из командной строки как тип задачи сбора данных.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. В Системе должна поддерживаться инспекция баз данных PostgreSQL и Microsoft SQL Server (с поддержкой TLS/SSL, проверкой на соответствие стандартам и подключением внешних классификаторов).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поддерживаться загрузка данных из БД SharePoint и БД Nextcloud.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поддерживаться работа фильтр-драйвера аудита файловой системы для ОС Windows Server 2012–2025, обеспечивающего фиксацию событий перемещения файлов как единого события, с возможностью аудита изменённых файлов в режиме реального времени.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настройка приёмников данных от агентов с указанием маски IP-адресов и целевой БД, с выявлением неактивных приёмников (без поступления данных более месяца).</w:t>
      </w:r>
    </w:p>
    <w:p>
      <w:pPr>
        <w:pStyle w:val="ListParagraph"/>
        <w:numPr>
          <w:ilvl w:val="0"/>
          <w:numId w:val="28"/>
        </w:numPr>
        <w:ind w:firstLine="709" w:left="0"/>
        <w:jc w:val="both"/>
        <w:rPr>
          <w:rFonts w:ascii="Times New Roman" w:hAnsi="Times New Roman"/>
        </w:rPr>
      </w:pPr>
      <w:bookmarkStart w:id="207" w:name="_Toc237435860"/>
      <w:bookmarkStart w:id="208" w:name="_Toc240301892"/>
      <w:r>
        <w:rPr>
          <w:rFonts w:cs="Times New Roman" w:ascii="Times New Roman" w:hAnsi="Times New Roman"/>
          <w:b/>
        </w:rPr>
        <w:t>Требования к компоненту автоматизированного анализа профилей и групп пользователей</w:t>
      </w:r>
      <w:bookmarkEnd w:id="206"/>
      <w:bookmarkEnd w:id="207"/>
      <w:bookmarkEnd w:id="208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собирать данные о профилях пользователей и группах пользователей (инспекция Active Directory, LDAP, ADSI, NTDS.dit)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хранения следующих данных о пользователях и группах пользователей</w:t>
      </w:r>
      <w:r>
        <w:rPr>
          <w:rFonts w:ascii="Times New Roman" w:hAnsi="Times New Roman"/>
          <w:color w:val="000000" w:themeColor="text1"/>
        </w:rPr>
        <w:t xml:space="preserve">: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идентификатор пользователя в домене;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почтовый адрес пользователя;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информация о наличии доступа к файлам, соответствующим стандартам;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контактный номер телефона пользователя;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уникальное имя пользователя для аутентификации в домене;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имя пользователя в NT-домене;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время последнего входа пользователя в УЗ;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раз, которое пользователь входил в УЗ;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дата и время создания УЗ пользователя в домене;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УЗ пользователей в группах безопасности;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время последнего изменения данных УЗ пользователя в домене;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дата истечения срока действия пароля УЗ пользователя;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дата и время последней попытки ввести неверный пароль;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попыток ввести пароль для авторизации в домене, закончившихся неудачей;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количество УЗ пользователей в группе;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перечень компьютеров, на которых используется учетная запись;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история изменений параметров пользователей </w:t>
      </w:r>
      <w:r>
        <w:rPr>
          <w:rFonts w:eastAsia="Times New Roman" w:ascii="Times New Roman" w:hAnsi="Times New Roman"/>
          <w:color w:val="0D0D0D"/>
        </w:rPr>
        <w:t>(с настраиваемой глубиной истории)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Система должна иметь графический интерфейс сводных отчетов по данным пользователей и групп пользователей, на основе собранной информации.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Система должна отображать дерево пользователей по организационным единицам.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 Системе должна быть возможность отображения подробных отчетов по данным пользователей и групп пользователей с помощью фильтров и запросов по следующим параметрам: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Изменению за период: сутки, 7 дней, 30 дней, 365 дней;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Пустые группы;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Пользователи с подключенными почтовыми ящиками;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Все пользователи и группы, а также только пользователи или только группы;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Непустые или пустые группы пользователей;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Отключенные пользователи;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Отключённые пользователи, имеющие прямой доступ к файлам;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Заблокированные пользователи;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Включенные пользователи;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Административные учетные записи;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Сервисные учетные записи;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Учётные записи руководителей;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Активные или неактивные пользователи;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Пользователи с высоким, средним или низким риском;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Пользователи с просроченным паролем;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Пользователи с необязательным паролем;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Пользователи с паролем без срока действия;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Служебные аккаунты;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Междоменные учетные записи;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Пользователи без </w:t>
      </w:r>
      <w:r>
        <w:rPr>
          <w:rFonts w:ascii="Times New Roman" w:hAnsi="Times New Roman"/>
          <w:color w:val="000000" w:themeColor="text1"/>
          <w:lang w:val="en-US"/>
        </w:rPr>
        <w:t>Kerberos</w:t>
      </w:r>
      <w:r>
        <w:rPr>
          <w:rFonts w:ascii="Times New Roman" w:hAnsi="Times New Roman"/>
          <w:color w:val="000000" w:themeColor="text1"/>
        </w:rPr>
        <w:t>-авторизации.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В Системе должна быть возможность создания новых фильтров и запросов для сводных отчетов по данным пользователей и групп пользователей. 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 Системе должна быть реализована возможность предоставления статистики по отфильтрованным параметрам пользователей и групп пользователей.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Система должна предоставлять возможность просмотра подробных данных о пользователях и группах пользователей.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</w:t>
      </w:r>
      <w:r>
        <w:rPr>
          <w:rFonts w:eastAsia="Times New Roman" w:ascii="Times New Roman" w:hAnsi="Times New Roman"/>
          <w:color w:val="0D0D0D"/>
        </w:rPr>
        <w:t>Система должна предоставлять возможность осуществлять управление УЗ пользователей и группами пользователей (включение, выключение, смена пароля, блокировка, разблокировка и др.) посредством предустановленных и пользовательских действий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определять риск-факторы, связанные с УЗ пользователей, на основе собранных данных и оценивать текущий уровень опасности — незначительный, средний или критический (уровень риска в условных единицах от 1 до 100 с возможностью изменения показателей администратором)</w:t>
      </w:r>
      <w:r>
        <w:rPr>
          <w:rFonts w:ascii="Times New Roman" w:hAnsi="Times New Roman"/>
          <w:color w:val="000000" w:themeColor="text1"/>
        </w:rPr>
        <w:t xml:space="preserve">. 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моделировать последствия изменения прав пользователей в Системе (инструмент «Песочница» в карточке пользователя и группы с просмотром доступных файлов, добавлением и удалением доступа без применения изменений до подтверждения).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Система должна выявлять аномальность параметров пользователя в разрезах его подразделения и должности. Система должна иметь функцию отображения аномальных значения параметров.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выполнять проверку паролей пользователей по базам скомпрометированных паролей (задача «Инспекция NTDS.dit» с загрузкой файла раскрытых паролей)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давать возможность задавать и изменять в интерфейсе политики для определенных пользователей или групп пользователей (с назначением риска при соответствии и риска при нарушении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установки кастомизированных пользовательских меток для профилей и групп пользователей, включая рекурсивное присвоение меток вложенным подгруппам и УЗ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0"/>
          <w:numId w:val="28"/>
        </w:numPr>
        <w:ind w:firstLine="709" w:left="0"/>
        <w:jc w:val="both"/>
        <w:rPr>
          <w:rFonts w:ascii="Times New Roman" w:hAnsi="Times New Roman"/>
        </w:rPr>
      </w:pPr>
      <w:bookmarkStart w:id="209" w:name="_Toc237435862"/>
      <w:bookmarkStart w:id="210" w:name="_Toc57640490"/>
      <w:bookmarkStart w:id="211" w:name="_Toc240301894"/>
      <w:r>
        <w:rPr>
          <w:rFonts w:cs="Times New Roman" w:ascii="Times New Roman" w:hAnsi="Times New Roman"/>
          <w:b/>
        </w:rPr>
        <w:t>Требования к компоненту управления инцидентами информационной безопасности (при наличии лицензии на модуль ИНС).</w:t>
      </w:r>
      <w:bookmarkEnd w:id="209"/>
      <w:bookmarkEnd w:id="210"/>
      <w:bookmarkEnd w:id="211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</w:t>
      </w:r>
      <w:r>
        <w:rPr>
          <w:rFonts w:eastAsia="Times New Roman" w:ascii="Times New Roman" w:hAnsi="Times New Roman"/>
          <w:color w:val="0D0D0D"/>
        </w:rPr>
        <w:t xml:space="preserve"> Система должна иметь возможность автоматически создавать инциденты ИБ (опция «Создавать инцидент» в настройках оповещений, при наличии лицензии на модуль ИНС).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предусматривать возможность назначать ответственных (исполнителей по умолчанию для категорий инцидентов) и делегировать расследование инцидентов специалистам по ИБ, с отображением инцидентов, назначенных текущему пользователю, на панели инструментов консоли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управления исследуемыми объектами инфраструктуры из интерфейса консоли управления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настройка жизненного цикла инцидентов: пользовательские статусы (с признаком окончания обработки и цветовым маркером), категории (с важностью по умолчанию: критическая, высокая, средняя, низкая, незначительная; с исполнителем по умолчанию и инструкциями в текстовом или HTML-редакторе), действия при инцидентах, сценарии реагирования (блокировка рабочей станции, опрос пользователя, проверка в песочнице, проведение инструктажа.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настройка логики уведомлений при обновлении инцидента (уведомлять автора, уведомлять исполнителя, уведомлять наблюдателей).</w:t>
      </w:r>
    </w:p>
    <w:p>
      <w:pPr>
        <w:pStyle w:val="ListParagraph"/>
        <w:tabs>
          <w:tab w:val="clear" w:pos="708"/>
          <w:tab w:val="left" w:pos="0" w:leader="none"/>
        </w:tabs>
        <w:ind w:firstLine="709" w:left="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</w:p>
    <w:p>
      <w:pPr>
        <w:pStyle w:val="ListParagraph"/>
        <w:numPr>
          <w:ilvl w:val="0"/>
          <w:numId w:val="28"/>
        </w:numPr>
        <w:ind w:firstLine="709" w:left="0"/>
        <w:rPr>
          <w:rFonts w:ascii="Times New Roman" w:hAnsi="Times New Roman"/>
        </w:rPr>
      </w:pPr>
      <w:bookmarkStart w:id="212" w:name="_Toc237435863"/>
      <w:bookmarkStart w:id="213" w:name="_Toc240301895"/>
      <w:r>
        <w:rPr>
          <w:rFonts w:cs="Times New Roman" w:ascii="Times New Roman" w:hAnsi="Times New Roman"/>
          <w:b/>
        </w:rPr>
        <w:t>Требования к модулю выдачи и управления правами пользователей</w:t>
      </w:r>
      <w:bookmarkEnd w:id="212"/>
      <w:bookmarkEnd w:id="213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Система должна вести единый реестр всех выданных прав доступа, предоставленных сотруднику: аккаунтов, электронных сертификатов, пропусков физического доступа и других прав.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Система должна получать информацию об учетных записях из корпоративного домена (Active Directory, Open LDAP, Astralinux D</w:t>
      </w:r>
      <w:r>
        <w:rPr>
          <w:rFonts w:ascii="Times New Roman" w:hAnsi="Times New Roman"/>
          <w:color w:val="000000" w:themeColor="text1"/>
          <w:lang w:val="en-US"/>
        </w:rPr>
        <w:t>irectory</w:t>
      </w:r>
      <w:r>
        <w:rPr>
          <w:rFonts w:ascii="Times New Roman" w:hAnsi="Times New Roman"/>
          <w:color w:val="000000" w:themeColor="text1"/>
        </w:rPr>
        <w:t xml:space="preserve">, </w:t>
      </w:r>
      <w:r>
        <w:rPr>
          <w:rFonts w:ascii="Times New Roman" w:hAnsi="Times New Roman"/>
          <w:color w:val="000000" w:themeColor="text1"/>
          <w:lang w:val="en-US"/>
        </w:rPr>
        <w:t>FreeIPA</w:t>
      </w:r>
      <w:r>
        <w:rPr>
          <w:rFonts w:ascii="Times New Roman" w:hAnsi="Times New Roman"/>
          <w:color w:val="000000" w:themeColor="text1"/>
        </w:rPr>
        <w:t>), импортировать из внешней базы данных (1С, кадрового ПО, СКУД) и других сервисов.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Система должна сравнивать данные, полученные из корпоративного домена, с информацией, импортированной из кадровой Системы.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 Системе должна быть предусмотрена возможность занесения данных вручную через панель управления.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Система должна иметь возможность фильтрации и поиска данных о правах пользователей по любым доступным атрибутам.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Система должна иметь графический интерфейс с отображением подробной информации о пользователе: тип сотрудника, Ф.И.О., табельный номер, куратор, организация, контракты, ресурсы, выданные сертификаты и токены.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Система должна иметь возможность назначать и изменять права в соответствии с ролевой моделью в интерфейсе Системы.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 Система должна быть реализована возможность создания и удаления нескольких учетных записей для одного пользователя.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 w:themeColor="text1"/>
        </w:rPr>
        <w:t>Система должна фиксировать историю получения прав доступа для каждого пользователя.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 w:themeColor="text1"/>
        </w:rPr>
        <w:t>В Системе должен быть реализован портал самообслуживания для самостоятельного запроса необходимого уровня прав доступа.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 w:themeColor="text1"/>
        </w:rPr>
        <w:t>В Системе должна быть реализована возможность делегирования задач по предоставлению прав бизнес-менеджерам.</w:t>
      </w:r>
    </w:p>
    <w:p>
      <w:pPr>
        <w:pStyle w:val="ListParagraph"/>
        <w:tabs>
          <w:tab w:val="clear" w:pos="708"/>
          <w:tab w:val="left" w:pos="0" w:leader="none"/>
        </w:tabs>
        <w:ind w:firstLine="709" w:left="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</w:p>
    <w:p>
      <w:pPr>
        <w:pStyle w:val="ListParagraph"/>
        <w:numPr>
          <w:ilvl w:val="0"/>
          <w:numId w:val="28"/>
        </w:numPr>
        <w:rPr>
          <w:rFonts w:ascii="Times New Roman" w:hAnsi="Times New Roman"/>
        </w:rPr>
      </w:pPr>
      <w:bookmarkStart w:id="214" w:name="_Toc240301897"/>
      <w:bookmarkStart w:id="215" w:name="_Toc57640493"/>
      <w:bookmarkStart w:id="216" w:name="_Toc237435866"/>
      <w:r>
        <w:rPr>
          <w:rFonts w:ascii="Times New Roman" w:hAnsi="Times New Roman"/>
        </w:rPr>
        <w:t>Требования к компоненту автоматизированного анализа событий журналов</w:t>
      </w:r>
      <w:bookmarkEnd w:id="214"/>
      <w:bookmarkEnd w:id="215"/>
      <w:bookmarkEnd w:id="216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собирать данные о событиях журналов на инспектируемых рабочих станциях и серверах (EventLog, EVTX-файлы, Windows Events Forwarding, Syslog, AUDITD, FPolicy, PCAP)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хранения следующих данных о событиях журналов</w:t>
      </w:r>
      <w:r>
        <w:rPr>
          <w:rFonts w:ascii="Times New Roman" w:hAnsi="Times New Roman"/>
          <w:color w:val="000000" w:themeColor="text1"/>
        </w:rPr>
        <w:t xml:space="preserve">: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Время регистрации события в журнале событий;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Категория события в журнале событий;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Уникальный номер </w:t>
      </w:r>
      <w:r>
        <w:rPr>
          <w:rFonts w:eastAsia="Times New Roman" w:ascii="Times New Roman" w:hAnsi="Times New Roman"/>
          <w:color w:val="0D0D0D"/>
        </w:rPr>
        <w:t>(идентификатор)</w:t>
      </w:r>
      <w:r>
        <w:rPr>
          <w:rFonts w:ascii="Times New Roman" w:hAnsi="Times New Roman"/>
          <w:color w:val="000000" w:themeColor="text1"/>
        </w:rPr>
        <w:t xml:space="preserve"> события;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Действие, которое было выполнено во время события;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Наименование компьютера, на котором произошло событие;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Пользователь, на чьей УЗ произошло событие;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Домен, в котором произошло событие;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Специфичной для каждого типа события информации.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графический интерфейс создания и отображения сводных отчетов по данным о событиях журналов на основе собранной информации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изменения параметров фильтрации событий (фильтры приёма событий с операторами объединения условий И/ИЛИ, высоким приоритетом и режимом «только для замены»)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предоставлять возможность просмотра подробных данных о событиях журналов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альтернативные способы сбора событий, не опрашивая стандартные журналы системы: приём по Syslog, перехват сетевого трафика (PCAP-сниффер), приём от FPolicy-сервера NetApp, фильтр-драйвер аудита файловой системы, Windows Events Forwarding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установки кастомизированных пользовательских меток для событий журналов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 xml:space="preserve">Система должна обеспечивать непрерывный контроль системных событий, </w:t>
      </w:r>
      <w:r>
        <w:rPr>
          <w:rFonts w:eastAsia="Times New Roman" w:cs="Times New Roman" w:ascii="Times New Roman" w:hAnsi="Times New Roman"/>
          <w:color w:val="0D0D0D"/>
        </w:rPr>
        <w:t>инициированных пользователями (чтение, модификация, копирование, удаление), посредством мониторинга файлов формата EVTX.</w:t>
      </w:r>
    </w:p>
    <w:p>
      <w:pPr>
        <w:pStyle w:val="ListParagraph"/>
        <w:numPr>
          <w:ilvl w:val="0"/>
          <w:numId w:val="28"/>
        </w:numPr>
        <w:ind w:firstLine="709" w:left="0"/>
        <w:jc w:val="both"/>
        <w:rPr>
          <w:rFonts w:ascii="Times New Roman" w:hAnsi="Times New Roman"/>
        </w:rPr>
      </w:pPr>
      <w:bookmarkStart w:id="217" w:name="_Toc237435867"/>
      <w:bookmarkStart w:id="218" w:name="_Toc57640494"/>
      <w:bookmarkStart w:id="219" w:name="_Toc240301898"/>
      <w:r>
        <w:rPr>
          <w:rFonts w:cs="Times New Roman" w:ascii="Times New Roman" w:hAnsi="Times New Roman"/>
          <w:b/>
        </w:rPr>
        <w:t>Требования к компоненту автоматизированного анализа файловых ресурсов</w:t>
      </w:r>
      <w:bookmarkEnd w:id="217"/>
      <w:bookmarkEnd w:id="218"/>
      <w:bookmarkEnd w:id="219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собирать данные о файлах на инспектируемых серверах и хранилищах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Анализ файлов должен происходить непосредственно в месте их хранения (агентский режим на файловом сервере либо удалённая инспекция по SMB/NFS)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поддерживать анализ файлов в архивах (zip, tar, rar, 7z и др.) с настраиваемым максимальным уровнем вложенности «архив в архиве».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автоматически распознавать и отображать в графическом интерфейсе все папки на инспектируемом компьютере, к которым организован общий доступ</w:t>
      </w:r>
      <w:r>
        <w:rPr>
          <w:rFonts w:ascii="Times New Roman" w:hAnsi="Times New Roman"/>
          <w:color w:val="000000" w:themeColor="text1"/>
        </w:rPr>
        <w:t xml:space="preserve">. 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графический интерфейс создания и отображения отчета об ошибках в чтении параметров файлов агентом (колонки «Ошибки», «Предупреждения» в задачах сбора)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осуществлять анализ файловых ресурсов с использованием и без использования встроенного аудита Windows (штатный агент либо фильтр-драйвер файловой системы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предусмотрена возможность хранения следующих данных о файлах на инспектируемых ресурсах</w:t>
      </w:r>
      <w:r>
        <w:rPr>
          <w:rFonts w:ascii="Times New Roman" w:hAnsi="Times New Roman"/>
          <w:color w:val="000000" w:themeColor="text1"/>
        </w:rPr>
        <w:t>: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Тип файла;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Компьютер, на котором расположен файл;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Папка, в которой расположен файл;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Имя файла;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Время последнего изменения файла;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Время последнего обращения к файлу;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Тип документа;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Размер файла;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Содержимое файла;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УЗ пользователей и групп, которые имеют доступ к файлу;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копий файлов (дубликатов).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графический интерфейс создания и отображения сводных отчетов по данным о файлах на основании собранной информации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возможность отображения подробных отчетов по данным о файлах с помощью фильтров и запросов по следующим параметрам</w:t>
      </w:r>
      <w:r>
        <w:rPr>
          <w:rFonts w:ascii="Times New Roman" w:hAnsi="Times New Roman"/>
          <w:color w:val="000000" w:themeColor="text1"/>
        </w:rPr>
        <w:t>: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Все файлы и папки;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Все файлы;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Все папки;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 событиями;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Удаленные файлы и папки;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Изменению за период: сутки, 7 дней, 30 дней, 365 дней, не изменялось 5 лет; 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Прочтению за период: сутки, 7 дней, 30 дней, 365 дней, не использовалось 5 лет;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Большие файлы (</w:t>
      </w:r>
      <w:r>
        <w:rPr>
          <w:rFonts w:ascii="Times New Roman" w:hAnsi="Times New Roman"/>
          <w:color w:val="000000" w:themeColor="text1"/>
          <w:lang w:val="en-US"/>
        </w:rPr>
        <w:t>&gt; 5</w:t>
      </w:r>
      <w:r>
        <w:rPr>
          <w:rFonts w:ascii="Times New Roman" w:hAnsi="Times New Roman"/>
          <w:color w:val="000000" w:themeColor="text1"/>
        </w:rPr>
        <w:t>МБ);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Файлы, имеющие дубликаты;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Файлы и папки с открытым доступом;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Файлы с ненаследуемыми правами;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Файлы и папки с прямыми правами;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Папки с политиками;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Самые большие файлы;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Самые большие папки;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Текстовые файлы;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Неделовые файлы;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Исполняемые файлы;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Почтовые файлы;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lang w:val="en-US"/>
        </w:rPr>
        <w:t>CAD</w:t>
      </w:r>
      <w:r>
        <w:rPr>
          <w:rFonts w:ascii="Times New Roman" w:hAnsi="Times New Roman"/>
          <w:color w:val="000000" w:themeColor="text1"/>
        </w:rPr>
        <w:t>-файлы;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Файлы баз данных;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Аудио файлы;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Видео файлы;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Регулируются стандартами;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Содержат банковскую тайну;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Соответствует </w:t>
      </w:r>
      <w:r>
        <w:rPr>
          <w:rFonts w:ascii="Times New Roman" w:hAnsi="Times New Roman"/>
          <w:color w:val="000000" w:themeColor="text1"/>
          <w:lang w:val="en-US"/>
        </w:rPr>
        <w:t>PII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Соответствует </w:t>
      </w:r>
      <w:r>
        <w:rPr>
          <w:rFonts w:ascii="Times New Roman" w:hAnsi="Times New Roman"/>
          <w:color w:val="000000" w:themeColor="text1"/>
          <w:lang w:val="en-US"/>
        </w:rPr>
        <w:t>GDPR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Соответствует </w:t>
      </w:r>
      <w:r>
        <w:rPr>
          <w:rFonts w:ascii="Times New Roman" w:hAnsi="Times New Roman"/>
          <w:color w:val="000000" w:themeColor="text1"/>
          <w:lang w:val="en-US"/>
        </w:rPr>
        <w:t>PHI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Соответствует 152-ФЗ;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Соответствует </w:t>
      </w:r>
      <w:r>
        <w:rPr>
          <w:rFonts w:ascii="Times New Roman" w:hAnsi="Times New Roman"/>
          <w:color w:val="000000" w:themeColor="text1"/>
          <w:lang w:val="en-US"/>
        </w:rPr>
        <w:t>GLBI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Соответствует </w:t>
      </w:r>
      <w:r>
        <w:rPr>
          <w:rFonts w:ascii="Times New Roman" w:hAnsi="Times New Roman"/>
          <w:color w:val="000000" w:themeColor="text1"/>
          <w:lang w:val="en-US"/>
        </w:rPr>
        <w:t>HIPAA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Соответствует </w:t>
      </w:r>
      <w:r>
        <w:rPr>
          <w:rFonts w:ascii="Times New Roman" w:hAnsi="Times New Roman"/>
          <w:color w:val="000000" w:themeColor="text1"/>
          <w:lang w:val="en-US"/>
        </w:rPr>
        <w:t>PCI DSS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Соответствует </w:t>
      </w:r>
      <w:r>
        <w:rPr>
          <w:rFonts w:ascii="Times New Roman" w:hAnsi="Times New Roman"/>
          <w:color w:val="000000" w:themeColor="text1"/>
          <w:lang w:val="en-US"/>
        </w:rPr>
        <w:t>Financial Records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Система должна предоставлять возможность просмотра подробных данных о файлах и папках: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Отчет о файлах, регулируемых стандартами, с возможностью подробной детализации;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Отчет о файлах, регулируемых стандартами, в открытом доступе;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Отчет о дубликатах с детализацией по типам;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Отчет о владельцах</w:t>
      </w:r>
      <w:r>
        <w:rPr>
          <w:rFonts w:ascii="Times New Roman" w:hAnsi="Times New Roman"/>
          <w:color w:val="000000" w:themeColor="text1"/>
          <w:lang w:val="en-US"/>
        </w:rPr>
        <w:t xml:space="preserve"> </w:t>
      </w:r>
      <w:r>
        <w:rPr>
          <w:rFonts w:ascii="Times New Roman" w:hAnsi="Times New Roman"/>
          <w:color w:val="000000" w:themeColor="text1"/>
        </w:rPr>
        <w:t>файлов.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В Системе должна быть возможность создания новых фильтров и запросов для сводных отчетов по данным о файлах. 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предоставления статистики по отфильтрованным параметрам файлов и папок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предоставлять возможность управления файлами и папками (удаление файлов из хранилищ общего доступа непосредственно из консоли управления, изменение прав доступа посредством «Песочницы» и действий).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интерфейс для выдачи прав доступа УЗ пользователей к файлам и папкам (добавление доступа в «Песочнице» с предварительным моделированием последствий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определять риск-факторы, связанные с файлами и папками, на основе собранных данных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не должна копировать и хранить содержимое анализируемых файлов в БД (по умолчанию); должна поддерживаться настройка длины хэша файла для выявления дубликатов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опционального сохранения анализируемого контента (сохранение текста, извлечённого из файлов, по переключателю в задаче инспекции)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функциональность анализа владельцев файлов и папок с возможностью выявления эффективных владельцев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 xml:space="preserve">Система должна иметь возможность анализа реального использования установленных прав доступа (количество обращений к файлу/папке на основе событий </w:t>
      </w:r>
      <w:r>
        <w:rPr>
          <w:rFonts w:ascii="Times New Roman" w:hAnsi="Times New Roman"/>
          <w:color w:val="333333"/>
          <w:shd w:fill="FFFFFF" w:val="clear"/>
        </w:rPr>
        <w:t>— </w:t>
      </w:r>
      <w:r>
        <w:rPr>
          <w:rFonts w:eastAsia="Times New Roman" w:ascii="Times New Roman" w:hAnsi="Times New Roman"/>
          <w:color w:val="0D0D0D"/>
        </w:rPr>
        <w:t xml:space="preserve"> колонка «# использований» в «Песочнице»)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функциональность выявления дубликатов файлов, их количества и объема, вне зависимости от названия и расширения файлов (на основе хэш-кода с настраиваемой длиной)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функциональность отображения файлов и папок с ненаследуемыми правами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задавать и изменять политики для папок в интерфейсе с установкой степени уровня риска при наличии файлов, соответствующих стандартам, дубликатов, файлов с открытым и прямым доступом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следующей настройки прав доступа к файлам и папкам в интерфейсе: запрет доступа, исправление прямого доступа, устранение ненаследуемых прав, устранение открытого доступа, устранение прямого доступа (с предварительной проверкой в «Песочнице» и рекомендациями платформы)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установки кастомизированных пользовательских меток для файлов и папок, включая рекурсивное присвоение меток всем вложенным папкам и файлам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поддерживать аудит доступа к файлам на основе зеркалирования сетевого трафика по протоколам SMB (v1/v2/v3) и NFS (PCAP-сниффер).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Систему должен быть интегрирован инструмент для моделирования изменения прав доступа к файлам или папкам («Песочница»), функционирующий на основе анализа событий, относящихся к файлам или папкам и хранящихся в базе данных Системы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1418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 xml:space="preserve">Система должна поддерживать сохранение истории сканирования файловых ресурсов (файл истории анализа на локальном диске сервера агента) с возобновлением </w:t>
      </w:r>
      <w:r>
        <w:rPr>
          <w:rFonts w:eastAsia="Times New Roman" w:cs="Times New Roman" w:ascii="Times New Roman" w:hAnsi="Times New Roman"/>
          <w:color w:val="0D0D0D"/>
        </w:rPr>
        <w:t>сканирования с точки останова после сбоев.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1418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D0D0D"/>
        </w:rPr>
        <w:t>Система должна поддерживать сбор информации только о структуре папок (без анализа файлов), задание игнорируемых папок и файлов, исключения для извлечения текста по расширениям, использование привилегий групп Backup Operators для доступа к файлам, а также настройку количества одновременных потоков сканирования.</w:t>
      </w:r>
    </w:p>
    <w:p>
      <w:pPr>
        <w:pStyle w:val="Normal"/>
        <w:tabs>
          <w:tab w:val="clear" w:pos="708"/>
          <w:tab w:val="left" w:pos="1418" w:leader="none"/>
        </w:tabs>
        <w:ind w:firstLine="709"/>
        <w:jc w:val="both"/>
        <w:rPr>
          <w:rFonts w:ascii="Times New Roman" w:hAnsi="Times New Roman"/>
        </w:rPr>
      </w:pPr>
      <w:r>
        <w:rPr/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1418" w:leader="none"/>
        </w:tabs>
        <w:ind w:firstLine="709" w:left="0"/>
        <w:jc w:val="both"/>
        <w:rPr>
          <w:rFonts w:ascii="Times New Roman" w:hAnsi="Times New Roman"/>
        </w:rPr>
      </w:pPr>
      <w:bookmarkStart w:id="220" w:name="_Toc237435868"/>
      <w:bookmarkStart w:id="221" w:name="_Toc240301899"/>
      <w:bookmarkStart w:id="222" w:name="_Toc57640495"/>
      <w:bookmarkStart w:id="223" w:name="_Hlk57388374"/>
      <w:bookmarkEnd w:id="223"/>
      <w:r>
        <w:rPr>
          <w:rFonts w:cs="Times New Roman" w:ascii="Times New Roman" w:hAnsi="Times New Roman"/>
          <w:b/>
        </w:rPr>
        <w:t>Требования к компоненту автоматизированного анализа документов, регулируемых стандартами</w:t>
      </w:r>
      <w:bookmarkEnd w:id="222"/>
      <w:r>
        <w:rPr>
          <w:rFonts w:cs="Times New Roman" w:ascii="Times New Roman" w:hAnsi="Times New Roman"/>
          <w:b/>
        </w:rPr>
        <w:t xml:space="preserve"> и регуляторами</w:t>
      </w:r>
      <w:bookmarkEnd w:id="220"/>
      <w:bookmarkEnd w:id="221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D0D0D"/>
        </w:rPr>
        <w:t>Система должна автоматически определять наличие данных, регулируемых корпоративными, отраслевыми стандартами и регуляторами, в файлах форматов DOC, DOCX, XLS, XLSX и PDF (в формате текста), размещённых в директориях общего доступа серверов Windows и Linux, на устройствах NAS и в облачных хранилищах</w:t>
      </w:r>
      <w:r>
        <w:rPr>
          <w:rFonts w:cs="Times New Roman"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D0D0D"/>
        </w:rPr>
        <w:t>Система должна иметь</w:t>
      </w:r>
      <w:r>
        <w:rPr>
          <w:rFonts w:eastAsia="Times New Roman" w:ascii="Times New Roman" w:hAnsi="Times New Roman"/>
          <w:color w:val="0D0D0D"/>
        </w:rPr>
        <w:t xml:space="preserve"> возможность подключения внешних модулей категоризации и извлечения сущностей по REST API (внешние классификаторы текстов и изображений с указанием URL)</w:t>
      </w:r>
      <w:r>
        <w:rPr>
          <w:rFonts w:ascii="Times New Roman" w:hAnsi="Times New Roman"/>
          <w:color w:val="000000" w:themeColor="text1"/>
        </w:rPr>
        <w:t xml:space="preserve">. 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определять наличие данных, регулируемых следующими стандартами и требованиями —  Федеральный закон «О персональных данных» 152-ФЗ, статья 857 ГК РФ (банковская тайна), Федеральный закон 323-ФЗ (врачебная тайна), PII (Personally Identifiable Information), PHI (Protected Health Information), GDPR (General Data Protection Regulation):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Паспортные данные: паспорт гражданина Российской Федерации, заграничный паспорт гражданина Российской Федерации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Водительское удостоверение Российской Федерации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Идентификационный номер налогоплательщика (ИНН)</w:t>
      </w:r>
      <w:r>
        <w:rPr>
          <w:rFonts w:ascii="Times New Roman" w:hAnsi="Times New Roman"/>
          <w:color w:val="000000" w:themeColor="text1"/>
        </w:rPr>
        <w:t>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Военный билет</w:t>
      </w:r>
      <w:r>
        <w:rPr>
          <w:rFonts w:ascii="Times New Roman" w:hAnsi="Times New Roman"/>
          <w:color w:val="000000" w:themeColor="text1"/>
        </w:rPr>
        <w:t xml:space="preserve"> Вооружённых сил России;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Свидетельство о рождении РФ;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Страховой номер индивидуального лицевого счета СНИЛС;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Номер полиса обязательного медицинского страхования ОМС;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Номера телефонов в различных форматах, применимых на территории Российской Федерации;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Различные форматы номеров банковских платежных карт;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Банковские реквизиты: расчётный счёт, корреспондентский счёт, банковский идентификационный код (БИК), наименование организации;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Государственный регистрационный номер записи о создании юридического лица ОГРН;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Основной государственный регистрационный номер индивидуального предпринимателя ОГРНИП;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Общероссийский классификатор видов экономической деятельности ОКВЭД;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Общероссийский классификатор предприятий и организаций ОКПО;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Банковский идентификационный код БИК;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Корреспондентский счет;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Расчетный счет;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Паспорта и водительские удостоверения стран-членов Европейского союза.</w:t>
      </w:r>
    </w:p>
    <w:p>
      <w:pPr>
        <w:pStyle w:val="ListParagraph"/>
        <w:numPr>
          <w:ilvl w:val="0"/>
          <w:numId w:val="29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Документы государств-участников СНГ: паспорта и заграничные паспорта (Беларусь, Кыргызстан, Россия, Таджикистан, Узбекистан), водительские удостоверения (Беларусь, Кыргызстан, Россия, Узбекистан), ID-карты (Казахстан, Кыргызстан, Узбекистан), военные билеты (Россия, Узбекистан), пенсионные удостоверения (Россия, Узбекистан).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интерфейсе Системы должна быть реализована возможность выбора/фильтрации стандартов для анализа (переключатель «Проверка соответствия стандартам» в задачах инспекции файлов с отображением списка стандартов и выбором нужных посредством установки флажков; фильтрация файлов по колонке «Регулируется стандартами»)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создания пользовательских стандартов для анализа содержимого файлов (Конструктор стандартов) с функцией добавления слов, фраз и регулярных выражений, с настройкой параметров маски (описание, тип, маска, проверка, количество вхождений, вес) и встроенной проверкой работы поиска по маске на тестовом тексте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отслеживать реальные изменения в содержании файлов (посредством отслеживания истории изменений файлов и папок с настраиваемой глубиной истории)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анализировать содержимое графических файлов путём их распознавания и выделения текстовой составляющей (OCR) с возможностью включения/отключения данной функции в настройках задачи инспекции и задания исключений по расширениям файлов</w:t>
      </w:r>
      <w:r>
        <w:rPr>
          <w:rFonts w:ascii="Times New Roman" w:hAnsi="Times New Roman"/>
          <w:color w:val="000000" w:themeColor="text1"/>
        </w:rPr>
        <w:t>).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Система должна иметь возможность распознавать графические образы следующих типов изображений: паспорт гражданина Российской Федерации, заграничный паспорт гражданина Российской Федерации, водительское удостоверение Российской Федерации, военный билет, свидетельство о рождении, СНИЛС, полис обязательного медицинского страхования, банковская карта, документы об образовании, трудовая книжка, пенсионное удостоверение, а также документы государств-участников СНГ (паспорта, заграничные паспорта, водительские удостоверения, ID-карты, военные билеты, пенсионные удостоверения Беларуси, Кыргызстана, России, Таджикистана, Узбекистана, Казахстана). Система должна распознавать элементы документов: печати (гербовая, круглая, треугольная, прямоугольная), электронную цифровую подпись, штампы, бланки, подписи, реквизиты, графики, фотографии, таблицы, официальные государственные бланки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 w:val="false"/>
        <w:jc w:val="both"/>
        <w:rPr>
          <w:color w:val="000000" w:themeColor="text1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задавать гибкие параметры поиска и классификации данных в соответствии с отраслевыми и внутренними стандартами информационной безопасности организации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игнорировать при анализе определённые администратором директории и файлы (поле «Игнорируемые папки» в задачах инспекции файлов, исключения для извлечения текста по расширениям)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 системе должно быть реализовано ограничение предельной нагрузки на сервере при анализе файлов в месте хранения.</w:t>
      </w:r>
    </w:p>
    <w:p>
      <w:pPr>
        <w:pStyle w:val="ListParagraph"/>
        <w:numPr>
          <w:ilvl w:val="0"/>
          <w:numId w:val="28"/>
        </w:numPr>
        <w:ind w:firstLine="709" w:left="0"/>
        <w:rPr>
          <w:rFonts w:ascii="Times New Roman" w:hAnsi="Times New Roman"/>
        </w:rPr>
      </w:pPr>
      <w:bookmarkStart w:id="224" w:name="_Toc57640496"/>
      <w:bookmarkStart w:id="225" w:name="_Toc237435869"/>
      <w:bookmarkStart w:id="226" w:name="_Toc240301900"/>
      <w:r>
        <w:rPr>
          <w:rFonts w:cs="Times New Roman" w:ascii="Times New Roman" w:hAnsi="Times New Roman"/>
          <w:b/>
        </w:rPr>
        <w:t>Требования к компоненту формирования и отправки уведомлений</w:t>
      </w:r>
      <w:bookmarkEnd w:id="224"/>
      <w:bookmarkEnd w:id="225"/>
      <w:bookmarkEnd w:id="226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</w:t>
      </w: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отправки уведомлений о событиях Системы и событиях, зафиксированных Системой, на электронную почту (через настроенный SMTP-клиент с поддержкой SSL), в мессенджеры (через бота с API-токеном), а также в системы класса SIEM в формате SYSLOG-сообщений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настройки логики уведомлений при изменении инцидента (уведомлять автора, исполнителя, наблюдателей — при наличии модуля ИНС)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должен быть предусмотрен графический интерфейс для добавления пользователей в список адресатов (поля «Получатели» в настройках оповещений и отчётов по расписанию)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функция запуска настраиваемых действий при создании оповещения (блок «Действия» в форме создания оповещения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настройки темы и тела письма-уведомления с использованием переменных (Who, Where, What, Time, Priority, Category, Source) для автоматической подстановки данных события.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отправки отчётов по электронной почте по расписанию и сохранения в сетевой папке.</w:t>
      </w:r>
    </w:p>
    <w:p>
      <w:pPr>
        <w:pStyle w:val="ListParagraph"/>
        <w:tabs>
          <w:tab w:val="clear" w:pos="708"/>
          <w:tab w:val="left" w:pos="0" w:leader="none"/>
        </w:tabs>
        <w:ind w:firstLine="709" w:left="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</w:p>
    <w:p>
      <w:pPr>
        <w:pStyle w:val="ListParagraph"/>
        <w:numPr>
          <w:ilvl w:val="0"/>
          <w:numId w:val="28"/>
        </w:numPr>
        <w:ind w:firstLine="709" w:left="0"/>
        <w:rPr>
          <w:rFonts w:ascii="Times New Roman" w:hAnsi="Times New Roman"/>
        </w:rPr>
      </w:pPr>
      <w:bookmarkStart w:id="227" w:name="_Toc237435873"/>
      <w:bookmarkStart w:id="228" w:name="_Toc57640501"/>
      <w:bookmarkStart w:id="229" w:name="_Toc240301901"/>
      <w:r>
        <w:rPr>
          <w:rFonts w:cs="Times New Roman" w:ascii="Times New Roman" w:hAnsi="Times New Roman"/>
          <w:b/>
        </w:rPr>
        <w:t>Требования к компоненту визуального отображения отчетов</w:t>
      </w:r>
      <w:bookmarkEnd w:id="227"/>
      <w:bookmarkEnd w:id="228"/>
      <w:bookmarkEnd w:id="229"/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должно быть реализовано визуальное представление общей отчётности на основе проанализированных данных (раздел «Сводка» с предустановленными и пользовательскими дашбордами)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должно быть реализовано визуальное представление статистической отчётности на основании собранных данных по компьютерам</w:t>
      </w:r>
      <w:r>
        <w:rPr>
          <w:rFonts w:ascii="Times New Roman" w:hAnsi="Times New Roman"/>
          <w:color w:val="000000" w:themeColor="text1"/>
        </w:rPr>
        <w:t>: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Общее количество компьютеров в Системе;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Общее количество групп компьютеров в Системе;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Количество рисков по компьютерам;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 xml:space="preserve">Статистика по используемым операционным </w:t>
      </w:r>
      <w:r>
        <w:rPr>
          <w:iCs/>
          <w:color w:val="000000" w:themeColor="text1"/>
          <w:sz w:val="24"/>
          <w:szCs w:val="24"/>
          <w:lang w:val="en-US"/>
        </w:rPr>
        <w:t>c</w:t>
      </w:r>
      <w:r>
        <w:rPr>
          <w:iCs/>
          <w:color w:val="000000" w:themeColor="text1"/>
          <w:sz w:val="24"/>
          <w:szCs w:val="24"/>
        </w:rPr>
        <w:t>истемам;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Распределение событий по компьютерам за отрезок времени;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Количество компьютеров, зарегистрированных в каждом домене;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Риски по компьютерам;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Карта параметров и функционирования компьютеров.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 w:val="false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 Системе должно быть реализовано визуальное представление статистической отчетности на основании собранных данных по пользователям: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Общее количество пользователей;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Количество групп пользователей;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Количество рисков, связанных с пользователями;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Отключенные пользователи;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Неактивные пользователи;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Пользователи с просроченным паролем;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Пользователи с паролем без срока действия;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Пользователи с необязательным паролем;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Пустые группы;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Заблокированные пользователи;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Междоменные учетные записи;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Служебные аккаунты;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>Количество доменов, на которых группа защищенных пользователей не существует;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iCs/>
          <w:color w:val="000000" w:themeColor="text1"/>
          <w:sz w:val="24"/>
          <w:szCs w:val="24"/>
        </w:rPr>
        <w:t xml:space="preserve">Пользователи без </w:t>
      </w:r>
      <w:r>
        <w:rPr>
          <w:iCs/>
          <w:color w:val="000000" w:themeColor="text1"/>
          <w:sz w:val="24"/>
          <w:szCs w:val="24"/>
          <w:lang w:val="en-US"/>
        </w:rPr>
        <w:t>Kerberos</w:t>
      </w:r>
      <w:r>
        <w:rPr>
          <w:iCs/>
          <w:color w:val="000000" w:themeColor="text1"/>
          <w:sz w:val="24"/>
          <w:szCs w:val="24"/>
        </w:rPr>
        <w:t>-авторизации;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color w:val="000000" w:themeColor="text1"/>
          <w:sz w:val="24"/>
          <w:szCs w:val="24"/>
        </w:rPr>
        <w:t>Количество доменов, для которых пароль учетной записи Kerberos не был недавно изменен;</w:t>
      </w:r>
    </w:p>
    <w:p>
      <w:pPr>
        <w:pStyle w:val="Normal"/>
        <w:numPr>
          <w:ilvl w:val="0"/>
          <w:numId w:val="31"/>
        </w:numPr>
        <w:tabs>
          <w:tab w:val="clear" w:pos="708"/>
          <w:tab w:val="left" w:pos="0" w:leader="none"/>
        </w:tabs>
        <w:suppressAutoHyphens w:val="false"/>
        <w:spacing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color w:val="000000" w:themeColor="text1"/>
          <w:sz w:val="24"/>
          <w:szCs w:val="24"/>
        </w:rPr>
        <w:t>Сервисные учетные записи;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Административные учетные записи;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Самые активные пользователи;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Пользователи с самыми большими рисками;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пользователей по подразделениям;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пользователей по должностям;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Распределение пользователей по должностям и подразделениям;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Карта параметров и поведения пользователей;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Карта параметров и поведения групп пользователей;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Статистика по последнему входу в Систему;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Статистика по времени последнего изменения паролей пользователей в домене;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Статистика по времени последнего изменения пользователей в домене;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пользователей и групп, зарегистрированных в каждом домене;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Риски по пользователям;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Критические отклонения количества событий на дневном отрезке;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Критические отклонения количества событий на часовом отрезке.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 Системе должно быть реализовано визуальное представление статистической отчетности на основании собранных данных по файлам: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Общее количество файлов в информационной Системе;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файлов, регулируемых стандартами;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дубликатов файлов;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неиспользуемых файлов;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файлов в открытом доступе;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файлов с прямым доступом;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файлов с ненаследуемыми правами;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Статистика по типам файлов;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Статистика по дубликатам на основе типов файлов;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Файлы, содержимое которых должно контролироваться в соответствии со стандартами;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Информация, регулируемая стандартами;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Подробная статистика об информации, регулируемой стандартами;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Риски по файлам и папкам;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Размер файлов по компьютеру;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Риски по файлам и папкам;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Информация о владельцах файлов, идентификатор домена которых не определяется в Системе;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Информация о владельцах файлов, которые не являются активными в Системе;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Информация о владельцах файлов, которые являются отключенными в Системе;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файлов и папок по компьютеру;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файлов по набору доступа;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файлов по его владельцу;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Топ папок с ненаследуемыми правами;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Топ файлов по рискам;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Карта папок по размерам и категориям;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Топ дубликатов по количеству;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Топ неделовых файлов;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Прирост размера файлов по времени (рассчитывается по времени создания);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График по времени создания файла или папки;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График по времени изменения файла или папки;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График по времени чтения файла или папки.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 Системе должно быть реализовано визуальное представление статистической отчетности на основании собранных данных по событиям: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событий;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событий, регулируемых стандартами;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событий за заданный период;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Распределение событий по действиям;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Распределение событий по важности;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Распределение событий по компьютерам;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Распределение событий по пользователям;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Распределение событий по категориям;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Распределение событий по типу объекта;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Распределение событий по контролирующим стандартам;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событий по дням;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Критические отклонения по событиям на дневном отрезке;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событий по часам;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Критические отклонения по событиям на часовом отрезке.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В Системе должно быть реализовано визуальное представление рисковой отчетности на основании собранных данных по проблемам и стандартным угрозам для объектов анализа с указанием уровня опасности — незначительный, средний или критический: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и детализация рисков по пользователями;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и детализация рисков по компьютерам;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и детализация рисков по файлам и папкам;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Количество и детализация рисков по файлам и папкам;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Количество и детализация рисков по почтовым ящикам;</w:t>
      </w:r>
    </w:p>
    <w:p>
      <w:pPr>
        <w:pStyle w:val="ListParagraph"/>
        <w:numPr>
          <w:ilvl w:val="0"/>
          <w:numId w:val="31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Количество и детализация рисков по активам.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должно быть реализовано визуальное представление отчётности по приросту хранилища на основании собранных данных по времени создания файлов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создания кастомизированных сводок (дашбордов) на основе проанализированных данных для контроля параметров в рамках единой панели (раздел «Сводка»)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экспорта статистической отчётности по всем объектам анализа в форматах HTML, CSV, XLSX, PDF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ListParagraph"/>
        <w:numPr>
          <w:ilvl w:val="1"/>
          <w:numId w:val="28"/>
        </w:numPr>
        <w:shd w:val="clear" w:color="auto" w:fill="FFFFFF" w:themeFill="background1"/>
        <w:tabs>
          <w:tab w:val="clear" w:pos="708"/>
          <w:tab w:val="left" w:pos="0" w:leader="none"/>
        </w:tabs>
        <w:suppressAutoHyphens w:val="false"/>
        <w:ind w:firstLine="709" w:left="0"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color w:val="0D0D0D"/>
        </w:rPr>
        <w:t>В Системе должна быть реализована возможность отправки статистической отчётности по всем объектам анализа на электронную почту по расписанию</w:t>
      </w:r>
      <w:r>
        <w:rPr>
          <w:rFonts w:ascii="Times New Roman" w:hAnsi="Times New Roman"/>
          <w:color w:val="000000" w:themeColor="text1"/>
        </w:rPr>
        <w:t>.</w:t>
      </w:r>
    </w:p>
    <w:sectPr>
      <w:headerReference w:type="default" r:id="rId33"/>
      <w:headerReference w:type="first" r:id="rId34"/>
      <w:footerReference w:type="default" r:id="rId35"/>
      <w:footerReference w:type="first" r:id="rId36"/>
      <w:footnotePr>
        <w:numFmt w:val="decimal"/>
        <w:numRestart w:val="eachPage"/>
      </w:footnotePr>
      <w:type w:val="nextPage"/>
      <w:pgSz w:w="11906" w:h="16838"/>
      <w:pgMar w:left="1418" w:right="851" w:gutter="0" w:header="709" w:top="1134" w:footer="709" w:bottom="22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PT Mono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  <w:t> </w:t>
      </w:r>
      <w:r>
        <w:rPr>
          <w:spacing w:val="-10"/>
        </w:rPr>
        <w:t>Федеральный закон от 27.07.2006 № 149-ФЗ «Об информации, информационных технологиях и о защите информации» (ст. 2.)</w:t>
      </w:r>
    </w:p>
  </w:footnote>
  <w:footnote w:id="3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  <w:t> </w:t>
      </w:r>
      <w:hyperlink r:id="rId1">
        <w:r>
          <w:rPr>
            <w:rStyle w:val="Hyperlink"/>
          </w:rPr>
          <w:t>http://www.rushydro.ru/company/</w:t>
        </w:r>
      </w:hyperlink>
    </w:p>
  </w:footnote>
  <w:footnote w:id="4">
    <w:p>
      <w:pPr>
        <w:pStyle w:val="FootnoteText"/>
        <w:widowControl w:val="false"/>
        <w:rPr>
          <w:rFonts w:ascii="Times New Roman" w:hAnsi="Times New Roman" w:cs="Times New Roman"/>
        </w:rPr>
      </w:pPr>
      <w:r>
        <w:rPr>
          <w:rStyle w:val="Style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Далее - Система</w:t>
      </w:r>
    </w:p>
  </w:footnote>
  <w:footnote w:id="5">
    <w:p>
      <w:pPr>
        <w:pStyle w:val="FootnoteText"/>
        <w:widowControl w:val="false"/>
        <w:rPr>
          <w:rFonts w:ascii="Times New Roman" w:hAnsi="Times New Roman"/>
          <w:sz w:val="20"/>
          <w:szCs w:val="20"/>
        </w:rPr>
      </w:pPr>
      <w:r>
        <w:rPr>
          <w:rStyle w:val="Style"/>
        </w:rPr>
        <w:footnoteRef/>
      </w:r>
      <w:r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spacing w:val="-4"/>
          <w:sz w:val="20"/>
          <w:szCs w:val="20"/>
        </w:rPr>
        <w:t>Здесь и далее: дата</w:t>
      </w:r>
      <w:r>
        <w:rPr>
          <w:rFonts w:ascii="Times New Roman" w:hAnsi="Times New Roman"/>
          <w:sz w:val="20"/>
          <w:szCs w:val="20"/>
        </w:rPr>
        <w:t>, следующая за датой</w:t>
      </w:r>
      <w:r>
        <w:rPr>
          <w:rFonts w:ascii="Times New Roman" w:hAnsi="Times New Roman"/>
          <w:spacing w:val="-4"/>
          <w:sz w:val="20"/>
          <w:szCs w:val="20"/>
        </w:rPr>
        <w:t xml:space="preserve"> заключения Договора</w:t>
      </w:r>
      <w:r>
        <w:rPr>
          <w:rFonts w:ascii="Times New Roman" w:hAnsi="Times New Roman"/>
          <w:sz w:val="20"/>
          <w:szCs w:val="20"/>
        </w:rPr>
        <w:t>.</w:t>
      </w:r>
    </w:p>
  </w:footnote>
  <w:footnote w:id="6">
    <w:p>
      <w:pPr>
        <w:pStyle w:val="FootnoteText"/>
        <w:widowControl w:val="false"/>
        <w:jc w:val="both"/>
        <w:rPr/>
      </w:pPr>
      <w:r>
        <w:rPr>
          <w:rStyle w:val="Style"/>
        </w:rPr>
        <w:footnoteRef/>
      </w:r>
      <w:r>
        <w:rPr/>
        <w:t xml:space="preserve"> </w:t>
      </w:r>
      <w:r>
        <w:rPr>
          <w:spacing w:val="-4"/>
        </w:rPr>
        <w:t xml:space="preserve">Пункт </w:t>
      </w:r>
      <w:r>
        <w:rPr>
          <w:spacing w:val="-4"/>
        </w:rPr>
        <w:fldChar w:fldCharType="begin"/>
      </w:r>
      <w:r>
        <w:rPr>
          <w:spacing w:val="-4"/>
        </w:rPr>
        <w:instrText xml:space="preserve"> REF _Ref19086149 \r \h </w:instrText>
      </w:r>
      <w:r>
        <w:rPr>
          <w:spacing w:val="-4"/>
        </w:rPr>
        <w:fldChar w:fldCharType="separate"/>
      </w:r>
      <w:r>
        <w:rPr>
          <w:spacing w:val="-4"/>
        </w:rPr>
        <w:t>Ошибка: источник перекрёстной ссылки не найден</w:t>
      </w:r>
      <w:r>
        <w:rPr>
          <w:spacing w:val="-4"/>
        </w:rPr>
        <w:fldChar w:fldCharType="end"/>
      </w:r>
      <w:r>
        <w:rPr>
          <w:spacing w:val="-4"/>
        </w:rPr>
        <w:t xml:space="preserve"> учитывается при указании соответствующих услуг, предоставляемых ПАО «РусГидро» подрядным организациям в разделе технических требований «Иные условия поставки товаров, выполнения работ, оказания услуг».</w:t>
      </w:r>
    </w:p>
  </w:footnote>
  <w:footnote w:id="7">
    <w:p>
      <w:pPr>
        <w:pStyle w:val="FootnoteText"/>
        <w:widowControl w:val="false"/>
        <w:jc w:val="both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 xml:space="preserve">Стоимость электроэнергии определять в соответствии с рекомендациями, изложенными по ссылке </w:t>
      </w:r>
      <w:hyperlink r:id="rId2">
        <w:r>
          <w:rPr>
            <w:rStyle w:val="Hyperlink"/>
          </w:rPr>
          <w:t>http://grandsmeta82.ru/znaj-kak/grand-smeta-baza-znanij/109-raschet-zatrat-na-energonositeli-elektroenergiyu-toplivo-i-pr-v-grand-smete.html</w:t>
        </w:r>
      </w:hyperlink>
    </w:p>
  </w:footnote>
  <w:footnote w:id="8">
    <w:p>
      <w:pPr>
        <w:pStyle w:val="Normal"/>
        <w:widowControl w:val="false"/>
        <w:jc w:val="both"/>
        <w:rPr>
          <w:rFonts w:eastAsia="Calibri"/>
          <w:sz w:val="20"/>
          <w:szCs w:val="20"/>
        </w:rPr>
      </w:pPr>
      <w:r>
        <w:rPr>
          <w:rStyle w:val="Style"/>
        </w:rPr>
        <w:footnoteRef/>
      </w:r>
      <w:r>
        <w:rPr/>
        <w:t xml:space="preserve"> </w:t>
      </w:r>
      <w:r>
        <w:rPr>
          <w:rFonts w:eastAsia="Calibri"/>
          <w:sz w:val="20"/>
          <w:szCs w:val="20"/>
        </w:rPr>
        <w:t>Размер коэффициента корректируется в соответствии с перечнем предоставляемых услуг, указанным в разделе Технических требований «Иные условия поставки товаров, выполнения работ, оказания услуг». Образец расчета приведен в приложении к приказу от 17.06.2019 № 498.</w:t>
      </w:r>
    </w:p>
  </w:footnote>
  <w:footnote w:id="9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Если в организации функции главного бухгалтера выполняет генеральный директор–ставится только его виза.</w:t>
      </w:r>
    </w:p>
    <w:p>
      <w:pPr>
        <w:pStyle w:val="FootnoteText"/>
        <w:widowControl w:val="false"/>
        <w:rPr/>
      </w:pPr>
      <w:r>
        <w:rPr/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>
        <w:i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92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bullet"/>
      <w:lvlText w:val=""/>
      <w:lvlJc w:val="left"/>
      <w:pPr>
        <w:tabs>
          <w:tab w:val="num" w:pos="0"/>
        </w:tabs>
        <w:ind w:left="149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51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14">
    <w:lvl w:ilvl="0">
      <w:numFmt w:val="bullet"/>
      <w:lvlText w:val=""/>
      <w:lvlJc w:val="left"/>
      <w:pPr>
        <w:tabs>
          <w:tab w:val="num" w:pos="1298"/>
        </w:tabs>
        <w:ind w:left="907" w:hanging="346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>
        <w:i w:val="false"/>
        <w:b w:val="false"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i w:val="false"/>
        <w:b w:val="false"/>
        <w:szCs w:val="22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sz w:val="22"/>
        <w:b w:val="false"/>
        <w:szCs w:val="22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0"/>
        </w:tabs>
        <w:ind w:left="34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14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6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8">
    <w:lvl w:ilvl="0">
      <w:start w:val="2"/>
      <w:numFmt w:val="decimal"/>
      <w:lvlText w:val="%1."/>
      <w:lvlJc w:val="left"/>
      <w:pPr>
        <w:tabs>
          <w:tab w:val="num" w:pos="0"/>
        </w:tabs>
        <w:ind w:left="5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50" w:hanging="57"/>
      </w:pPr>
      <w:rPr>
        <w:sz w:val="24"/>
        <w:b w:val="false"/>
        <w:szCs w:val="24"/>
        <w:bCs w:val="false"/>
        <w:rFonts w:ascii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8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8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9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9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0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0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80" w:hanging="1440"/>
      </w:pPr>
      <w:rPr/>
    </w:lvl>
  </w:abstractNum>
  <w:abstractNum w:abstractNumId="29"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0"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1">
    <w:lvl w:ilvl="0">
      <w:start w:val="1"/>
      <w:numFmt w:val="bullet"/>
      <w:lvlText w:val=""/>
      <w:lvlJc w:val="left"/>
      <w:pPr>
        <w:tabs>
          <w:tab w:val="num" w:pos="0"/>
        </w:tabs>
        <w:ind w:left="131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5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7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1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3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79" w:hanging="360"/>
      </w:pPr>
      <w:rPr>
        <w:rFonts w:ascii="Wingdings" w:hAnsi="Wingdings" w:cs="Wingdings" w:hint="default"/>
      </w:rPr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520" w:hanging="360"/>
      </w:pPr>
      <w:rPr>
        <w:rFonts w:ascii="Times New Roman" w:hAnsi="Times New Roman" w:eastAsia="MS Mincho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50" w:hanging="57"/>
      </w:pPr>
      <w:rPr>
        <w:sz w:val="24"/>
        <w:b w:val="false"/>
        <w:szCs w:val="24"/>
        <w:bCs w:val="false"/>
        <w:rFonts w:ascii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8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8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9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9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0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0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80" w:hanging="1440"/>
      </w:pPr>
      <w:rPr/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  <w:rPr>
        <w:color w:val="000000" w:themeColor="text1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895" w:hanging="375"/>
      </w:pPr>
      <w:rPr>
        <w:sz w:val="24"/>
        <w:szCs w:val="24"/>
        <w:rFonts w:ascii="Times New Roman" w:hAnsi="Times New Roman"/>
        <w:color w:val="000000" w:themeColor="text1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60" w:hanging="720"/>
      </w:pPr>
      <w:rPr>
        <w:color w:val="000000" w:themeColor="text1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640" w:hanging="1080"/>
      </w:pPr>
      <w:rPr>
        <w:color w:val="000000" w:themeColor="text1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160" w:hanging="1080"/>
      </w:pPr>
      <w:rPr>
        <w:color w:val="000000" w:themeColor="text1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040" w:hanging="1440"/>
      </w:pPr>
      <w:rPr>
        <w:color w:val="000000" w:themeColor="text1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560" w:hanging="1440"/>
      </w:pPr>
      <w:rPr>
        <w:color w:val="000000" w:themeColor="text1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40" w:hanging="1800"/>
      </w:pPr>
      <w:rPr>
        <w:color w:val="000000" w:themeColor="text1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20" w:hanging="2160"/>
      </w:pPr>
      <w:rPr>
        <w:color w:val="000000" w:themeColor="text1"/>
      </w:rPr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color w:val="000000" w:themeColor="text1"/>
      </w:rPr>
    </w:lvl>
    <w:lvl w:ilvl="1">
      <w:start w:val="9"/>
      <w:numFmt w:val="decimal"/>
      <w:lvlText w:val="%1.%2."/>
      <w:lvlJc w:val="left"/>
      <w:pPr>
        <w:tabs>
          <w:tab w:val="num" w:pos="0"/>
        </w:tabs>
        <w:ind w:left="1240" w:hanging="720"/>
      </w:pPr>
      <w:rPr>
        <w:sz w:val="24"/>
        <w:szCs w:val="24"/>
        <w:rFonts w:ascii="Times New Roman" w:hAnsi="Times New Roman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60" w:hanging="720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40" w:hanging="1080"/>
      </w:pPr>
      <w:rPr>
        <w:color w:val="000000" w:themeColor="text1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160" w:hanging="1080"/>
      </w:pPr>
      <w:rPr>
        <w:color w:val="000000" w:themeColor="text1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040" w:hanging="1440"/>
      </w:pPr>
      <w:rPr>
        <w:color w:val="000000" w:themeColor="text1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20" w:hanging="1800"/>
      </w:pPr>
      <w:rPr>
        <w:color w:val="000000" w:themeColor="text1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40" w:hanging="1800"/>
      </w:pPr>
      <w:rPr>
        <w:color w:val="000000" w:themeColor="text1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20" w:hanging="2160"/>
      </w:pPr>
      <w:rPr>
        <w:color w:val="000000" w:themeColor="text1"/>
      </w:rPr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986"/>
        </w:tabs>
        <w:ind w:left="98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46"/>
        </w:tabs>
        <w:ind w:left="134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06"/>
        </w:tabs>
        <w:ind w:left="170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66"/>
        </w:tabs>
        <w:ind w:left="206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426"/>
        </w:tabs>
        <w:ind w:left="242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786"/>
        </w:tabs>
        <w:ind w:left="278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46"/>
        </w:tabs>
        <w:ind w:left="314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06"/>
        </w:tabs>
        <w:ind w:left="350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66"/>
        </w:tabs>
        <w:ind w:left="3866" w:hanging="360"/>
      </w:pPr>
      <w:rPr>
        <w:rFonts w:ascii="OpenSymbol" w:hAnsi="OpenSymbol" w:cs="OpenSymbol" w:hint="default"/>
      </w:rPr>
    </w:lvl>
  </w:abstractNum>
  <w:abstractNum w:abstractNumId="3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w="http://schemas.openxmlformats.org/wordprocessingml/2006/main">
  <w:zoom w:percent="104"/>
  <w:revisionView w:insDel="0" w:formatting="0"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semiHidden="1" w:unhideWhenUsed="1"/>
    <w:lsdException w:name="footer" w:semiHidden="1" w:unhideWhenUsed="1"/>
    <w:lsdException w:name="index heading" w:uiPriority="0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 w:qFormat="1"/>
    <w:lsdException w:name="line number" w:uiPriority="0" w:semiHidden="1" w:unhideWhenUsed="1"/>
    <w:lsdException w:name="page number" w:uiPriority="0" w:semiHidden="1" w:unhideWhenUsed="1" w:qFormat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uiPriority="0" w:semiHidden="1" w:unhideWhenUsed="1" w:qFormat="1"/>
    <w:lsdException w:name="Body Text Indent 2" w:uiPriority="0" w:semiHidden="1" w:unhideWhenUsed="1" w:qFormat="1"/>
    <w:lsdException w:name="Body Text Indent 3" w:uiPriority="0" w:semiHidden="1" w:unhideWhenUsed="1" w:qFormat="1"/>
    <w:lsdException w:name="Block Text" w:uiPriority="0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343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uiPriority w:val="9"/>
    <w:qFormat/>
    <w:rsid w:val="00943433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uiPriority w:val="9"/>
    <w:qFormat/>
    <w:rsid w:val="00943433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uiPriority w:val="9"/>
    <w:qFormat/>
    <w:rsid w:val="00943433"/>
    <w:pPr>
      <w:keepNext w:val="true"/>
      <w:numPr>
        <w:ilvl w:val="2"/>
        <w:numId w:val="3"/>
      </w:numPr>
      <w:tabs>
        <w:tab w:val="clear" w:pos="708"/>
        <w:tab w:val="left" w:pos="567" w:leader="none"/>
      </w:tabs>
      <w:spacing w:lineRule="auto" w:line="276" w:before="120" w:after="60"/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uiPriority w:val="9"/>
    <w:qFormat/>
    <w:rsid w:val="00943433"/>
    <w:pPr>
      <w:numPr>
        <w:ilvl w:val="0"/>
        <w:numId w:val="0"/>
      </w:numPr>
      <w:tabs>
        <w:tab w:val="left" w:pos="0" w:leader="none"/>
        <w:tab w:val="left" w:pos="567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943433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943433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943433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943433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943433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943433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uiPriority w:val="9"/>
    <w:qFormat/>
    <w:rsid w:val="00943433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uiPriority w:val="9"/>
    <w:qFormat/>
    <w:rsid w:val="00943433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uiPriority w:val="9"/>
    <w:qFormat/>
    <w:rsid w:val="00943433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943433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943433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943433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943433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943433"/>
    <w:rPr>
      <w:rFonts w:ascii="Arial" w:hAnsi="Arial" w:eastAsia="Times New Roman" w:cs="Times New Roman"/>
      <w:lang w:val="x-none" w:eastAsia="x-none"/>
    </w:rPr>
  </w:style>
  <w:style w:type="character" w:styleId="Style" w:customStyle="1">
    <w:name w:val="Символ сноски"/>
    <w:qFormat/>
    <w:rsid w:val="0094343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943433"/>
    <w:rPr/>
  </w:style>
  <w:style w:type="character" w:styleId="Hyperlink">
    <w:name w:val="Hyperlink"/>
    <w:uiPriority w:val="99"/>
    <w:rsid w:val="00943433"/>
    <w:rPr>
      <w:color w:val="0000FF"/>
      <w:u w:val="single"/>
    </w:rPr>
  </w:style>
  <w:style w:type="character" w:styleId="Annotationreference">
    <w:name w:val="annotation reference"/>
    <w:qFormat/>
    <w:rsid w:val="00943433"/>
    <w:rPr>
      <w:sz w:val="16"/>
      <w:szCs w:val="16"/>
    </w:rPr>
  </w:style>
  <w:style w:type="character" w:styleId="Strong">
    <w:name w:val="Strong"/>
    <w:uiPriority w:val="22"/>
    <w:qFormat/>
    <w:rsid w:val="00943433"/>
    <w:rPr>
      <w:b/>
      <w:bCs/>
    </w:rPr>
  </w:style>
  <w:style w:type="character" w:styleId="Style1" w:customStyle="1">
    <w:name w:val="Название Знак"/>
    <w:link w:val="119"/>
    <w:uiPriority w:val="10"/>
    <w:qFormat/>
    <w:rsid w:val="00943433"/>
    <w:rPr>
      <w:sz w:val="28"/>
    </w:rPr>
  </w:style>
  <w:style w:type="character" w:styleId="Style2" w:customStyle="1">
    <w:name w:val="Подзаголовок Знак"/>
    <w:uiPriority w:val="11"/>
    <w:qFormat/>
    <w:rsid w:val="00943433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943433"/>
    <w:rPr>
      <w:i/>
      <w:iCs/>
    </w:rPr>
  </w:style>
  <w:style w:type="character" w:styleId="21" w:customStyle="1">
    <w:name w:val="Цитата 2 Знак"/>
    <w:link w:val="Quote"/>
    <w:uiPriority w:val="29"/>
    <w:qFormat/>
    <w:rsid w:val="00943433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943433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943433"/>
    <w:rPr>
      <w:i/>
      <w:iCs/>
      <w:color w:val="808080"/>
    </w:rPr>
  </w:style>
  <w:style w:type="character" w:styleId="IntenseEmphasis">
    <w:name w:val="Intense Emphasis"/>
    <w:uiPriority w:val="21"/>
    <w:qFormat/>
    <w:rsid w:val="00943433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943433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943433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943433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943433"/>
    <w:rPr>
      <w:rFonts w:eastAsia="Calibri"/>
      <w:sz w:val="24"/>
      <w:szCs w:val="24"/>
    </w:rPr>
  </w:style>
  <w:style w:type="character" w:styleId="11" w:customStyle="1">
    <w:name w:val="Подпункт Знак1"/>
    <w:link w:val="Style29"/>
    <w:qFormat/>
    <w:locked/>
    <w:rsid w:val="00943433"/>
    <w:rPr>
      <w:sz w:val="28"/>
    </w:rPr>
  </w:style>
  <w:style w:type="character" w:styleId="Style5" w:customStyle="1">
    <w:name w:val="Текст сноски Знак"/>
    <w:uiPriority w:val="99"/>
    <w:qFormat/>
    <w:rsid w:val="00943433"/>
    <w:rPr/>
  </w:style>
  <w:style w:type="character" w:styleId="Style6" w:customStyle="1">
    <w:name w:val="Основной текст Знак"/>
    <w:qFormat/>
    <w:rsid w:val="00943433"/>
    <w:rPr>
      <w:sz w:val="28"/>
      <w:szCs w:val="28"/>
    </w:rPr>
  </w:style>
  <w:style w:type="character" w:styleId="Blk" w:customStyle="1">
    <w:name w:val="blk"/>
    <w:qFormat/>
    <w:rsid w:val="00943433"/>
    <w:rPr/>
  </w:style>
  <w:style w:type="character" w:styleId="Style7" w:customStyle="1">
    <w:name w:val="Абзац списка Знак"/>
    <w:link w:val="ListParagraph"/>
    <w:uiPriority w:val="34"/>
    <w:qFormat/>
    <w:locked/>
    <w:rsid w:val="00943433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943433"/>
    <w:rPr>
      <w:b/>
      <w:i/>
      <w:shd w:fill="FFFF99" w:val="clear"/>
    </w:rPr>
  </w:style>
  <w:style w:type="character" w:styleId="Style9" w:customStyle="1">
    <w:name w:val="Подподпункт Знак"/>
    <w:link w:val="Style37"/>
    <w:qFormat/>
    <w:locked/>
    <w:rsid w:val="00943433"/>
    <w:rPr>
      <w:sz w:val="26"/>
      <w:szCs w:val="26"/>
    </w:rPr>
  </w:style>
  <w:style w:type="character" w:styleId="31" w:customStyle="1">
    <w:name w:val="УРОВЕНЬ_Абзац_тип3 Знак"/>
    <w:link w:val="37"/>
    <w:qFormat/>
    <w:rsid w:val="00943433"/>
    <w:rPr>
      <w:rFonts w:eastAsia="Calibri"/>
      <w:sz w:val="26"/>
      <w:szCs w:val="28"/>
    </w:rPr>
  </w:style>
  <w:style w:type="character" w:styleId="Style10" w:customStyle="1">
    <w:name w:val="Верхний колонтитул Знак"/>
    <w:uiPriority w:val="99"/>
    <w:qFormat/>
    <w:rsid w:val="00943433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943433"/>
    <w:rPr/>
  </w:style>
  <w:style w:type="character" w:styleId="Style12" w:customStyle="1">
    <w:name w:val="Текст концевой сноски Знак"/>
    <w:basedOn w:val="DefaultParagraphFont"/>
    <w:qFormat/>
    <w:rsid w:val="00943433"/>
    <w:rPr/>
  </w:style>
  <w:style w:type="character" w:styleId="Style13" w:customStyle="1">
    <w:name w:val="Символ концевой сноски"/>
    <w:qFormat/>
    <w:rsid w:val="00943433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7"/>
    <w:qFormat/>
    <w:rsid w:val="00943433"/>
    <w:rPr>
      <w:b/>
      <w:sz w:val="28"/>
    </w:rPr>
  </w:style>
  <w:style w:type="character" w:styleId="12" w:customStyle="1">
    <w:name w:val="УРОВЕНЬ_1. Знак"/>
    <w:link w:val="123"/>
    <w:qFormat/>
    <w:rsid w:val="00943433"/>
    <w:rPr>
      <w:rFonts w:eastAsia="Calibri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943433"/>
    <w:rPr>
      <w:color w:val="605E5C"/>
      <w:shd w:fill="E1DFDD" w:val="clear"/>
    </w:rPr>
  </w:style>
  <w:style w:type="character" w:styleId="Lst" w:customStyle="1">
    <w:name w:val="lst Знак"/>
    <w:basedOn w:val="DefaultParagraphFont"/>
    <w:link w:val="Lst1"/>
    <w:qFormat/>
    <w:rsid w:val="00943433"/>
    <w:rPr>
      <w:sz w:val="24"/>
    </w:rPr>
  </w:style>
  <w:style w:type="character" w:styleId="T3" w:customStyle="1">
    <w:name w:val="t3 Знак"/>
    <w:link w:val="T31"/>
    <w:qFormat/>
    <w:locked/>
    <w:rsid w:val="00943433"/>
    <w:rPr>
      <w:rFonts w:eastAsia="Calibri"/>
      <w:color w:val="000000"/>
      <w:sz w:val="24"/>
      <w:szCs w:val="24"/>
    </w:rPr>
  </w:style>
  <w:style w:type="character" w:styleId="Rtext" w:customStyle="1">
    <w:name w:val="r_text Знак"/>
    <w:basedOn w:val="DefaultParagraphFont"/>
    <w:link w:val="Rtext1"/>
    <w:qFormat/>
    <w:rsid w:val="00943433"/>
    <w:rPr>
      <w:color w:val="000000"/>
      <w:sz w:val="24"/>
      <w:szCs w:val="26"/>
    </w:rPr>
  </w:style>
  <w:style w:type="character" w:styleId="Style14" w:customStyle="1">
    <w:name w:val="Нижний колонтитул Знак"/>
    <w:basedOn w:val="DefaultParagraphFont"/>
    <w:uiPriority w:val="99"/>
    <w:qFormat/>
    <w:rsid w:val="00943433"/>
    <w:rPr>
      <w:sz w:val="28"/>
      <w:szCs w:val="28"/>
    </w:rPr>
  </w:style>
  <w:style w:type="character" w:styleId="Tn" w:customStyle="1">
    <w:name w:val="t_n Знак"/>
    <w:basedOn w:val="DefaultParagraphFont"/>
    <w:link w:val="Tn1"/>
    <w:qFormat/>
    <w:rsid w:val="00943433"/>
    <w:rPr>
      <w:sz w:val="24"/>
      <w:szCs w:val="28"/>
    </w:rPr>
  </w:style>
  <w:style w:type="character" w:styleId="-lst" w:customStyle="1">
    <w:name w:val="-lst Знак"/>
    <w:basedOn w:val="DefaultParagraphFont"/>
    <w:link w:val="-lst1"/>
    <w:qFormat/>
    <w:rsid w:val="00943433"/>
    <w:rPr>
      <w:rFonts w:eastAsia="Calibri"/>
      <w:sz w:val="24"/>
      <w:szCs w:val="24"/>
    </w:rPr>
  </w:style>
  <w:style w:type="character" w:styleId="Style15" w:customStyle="1">
    <w:name w:val="Текст выноски Знак"/>
    <w:link w:val="BalloonText"/>
    <w:semiHidden/>
    <w:qFormat/>
    <w:rsid w:val="00943433"/>
    <w:rPr>
      <w:rFonts w:ascii="Tahoma" w:hAnsi="Tahoma" w:cs="Tahoma"/>
      <w:sz w:val="16"/>
      <w:szCs w:val="16"/>
    </w:rPr>
  </w:style>
  <w:style w:type="character" w:styleId="Apple-style-span" w:customStyle="1">
    <w:name w:val="apple-style-span"/>
    <w:basedOn w:val="DefaultParagraphFont"/>
    <w:qFormat/>
    <w:rsid w:val="00943433"/>
    <w:rPr/>
  </w:style>
  <w:style w:type="character" w:styleId="Apple-converted-space" w:customStyle="1">
    <w:name w:val="apple-converted-space"/>
    <w:basedOn w:val="DefaultParagraphFont"/>
    <w:qFormat/>
    <w:rsid w:val="00943433"/>
    <w:rPr/>
  </w:style>
  <w:style w:type="character" w:styleId="Linenumber1" w:customStyle="1">
    <w:name w:val="line number1"/>
    <w:basedOn w:val="DefaultParagraphFont"/>
    <w:uiPriority w:val="99"/>
    <w:semiHidden/>
    <w:unhideWhenUsed/>
    <w:qFormat/>
    <w:rsid w:val="00943433"/>
    <w:rPr/>
  </w:style>
  <w:style w:type="character" w:styleId="Style16" w:customStyle="1">
    <w:name w:val="Схема документа Знак"/>
    <w:basedOn w:val="DefaultParagraphFont"/>
    <w:link w:val="DocumentMap"/>
    <w:uiPriority w:val="99"/>
    <w:semiHidden/>
    <w:qFormat/>
    <w:rsid w:val="00943433"/>
    <w:rPr>
      <w:rFonts w:ascii="Tahoma" w:hAnsi="Tahoma" w:cs="Tahoma"/>
      <w:sz w:val="16"/>
      <w:szCs w:val="16"/>
    </w:rPr>
  </w:style>
  <w:style w:type="character" w:styleId="Style17" w:customStyle="1">
    <w:name w:val="Тема примечания Знак"/>
    <w:link w:val="Annotationsubject"/>
    <w:semiHidden/>
    <w:qFormat/>
    <w:rsid w:val="00943433"/>
    <w:rPr>
      <w:b/>
      <w:bCs/>
    </w:rPr>
  </w:style>
  <w:style w:type="character" w:styleId="Style18" w:customStyle="1">
    <w:name w:val="Основной текст с отступом Знак"/>
    <w:qFormat/>
    <w:rsid w:val="00943433"/>
    <w:rPr>
      <w:sz w:val="24"/>
      <w:szCs w:val="24"/>
    </w:rPr>
  </w:style>
  <w:style w:type="character" w:styleId="FollowedHyperlink">
    <w:name w:val="FollowedHyperlink"/>
    <w:uiPriority w:val="99"/>
    <w:semiHidden/>
    <w:unhideWhenUsed/>
    <w:rsid w:val="00943433"/>
    <w:rPr>
      <w:color w:val="954F72"/>
      <w:u w:val="single"/>
    </w:rPr>
  </w:style>
  <w:style w:type="character" w:styleId="61" w:customStyle="1">
    <w:name w:val="Основной текст (6)_"/>
    <w:basedOn w:val="DefaultParagraphFont"/>
    <w:link w:val="62"/>
    <w:qFormat/>
    <w:rsid w:val="00943433"/>
    <w:rPr>
      <w:shd w:fill="FFFFFF" w:val="clear"/>
    </w:rPr>
  </w:style>
  <w:style w:type="character" w:styleId="Style19" w:customStyle="1">
    <w:name w:val="Колонтитул_"/>
    <w:basedOn w:val="DefaultParagraphFont"/>
    <w:link w:val="Style28"/>
    <w:qFormat/>
    <w:rsid w:val="00943433"/>
    <w:rPr>
      <w:shd w:fill="FFFFFF" w:val="clear"/>
    </w:rPr>
  </w:style>
  <w:style w:type="character" w:styleId="ConsPlusNormal" w:customStyle="1">
    <w:name w:val="ConsPlusNormal Знак"/>
    <w:link w:val="ConsPlusNormal1"/>
    <w:qFormat/>
    <w:rsid w:val="00943433"/>
    <w:rPr>
      <w:rFonts w:ascii="Arial" w:hAnsi="Arial" w:cs="Arial"/>
    </w:rPr>
  </w:style>
  <w:style w:type="character" w:styleId="14" w:customStyle="1">
    <w:name w:val="Абзац списка Знак1"/>
    <w:basedOn w:val="DefaultParagraphFont"/>
    <w:uiPriority w:val="34"/>
    <w:qFormat/>
    <w:rsid w:val="00943433"/>
    <w:rPr>
      <w:rFonts w:ascii="Calibri" w:hAnsi="Calibri"/>
      <w:sz w:val="22"/>
    </w:rPr>
  </w:style>
  <w:style w:type="character" w:styleId="23" w:customStyle="1">
    <w:name w:val="Неразрешенное упоминание2"/>
    <w:basedOn w:val="DefaultParagraphFont"/>
    <w:uiPriority w:val="99"/>
    <w:semiHidden/>
    <w:unhideWhenUsed/>
    <w:qFormat/>
    <w:rsid w:val="00943433"/>
    <w:rPr>
      <w:color w:val="605E5C"/>
      <w:shd w:fill="E1DFDD" w:val="clear"/>
    </w:rPr>
  </w:style>
  <w:style w:type="character" w:styleId="Style20" w:customStyle="1">
    <w:name w:val="Ссылка указателя"/>
    <w:qFormat/>
    <w:rsid w:val="00943433"/>
    <w:rPr/>
  </w:style>
  <w:style w:type="character" w:styleId="Linenumber2" w:customStyle="1">
    <w:name w:val="line number2"/>
    <w:qFormat/>
    <w:rsid w:val="00943433"/>
    <w:rPr/>
  </w:style>
  <w:style w:type="character" w:styleId="Linenumber3" w:customStyle="1">
    <w:name w:val="line number3"/>
    <w:qFormat/>
    <w:rsid w:val="00943433"/>
    <w:rPr/>
  </w:style>
  <w:style w:type="character" w:styleId="Style21" w:customStyle="1">
    <w:name w:val="Заголовок Знак"/>
    <w:basedOn w:val="DefaultParagraphFont"/>
    <w:qFormat/>
    <w:rsid w:val="00943433"/>
    <w:rPr>
      <w:rFonts w:ascii="Liberation Sans" w:hAnsi="Liberation Sans" w:eastAsia="Arial Unicode MS" w:cs="Arial Unicode MS"/>
      <w:sz w:val="28"/>
      <w:szCs w:val="28"/>
      <w:lang w:eastAsia="ru-RU"/>
    </w:rPr>
  </w:style>
  <w:style w:type="character" w:styleId="15" w:customStyle="1">
    <w:name w:val="Основной текст Знак1"/>
    <w:basedOn w:val="DefaultParagraphFont"/>
    <w:uiPriority w:val="99"/>
    <w:semiHidden/>
    <w:qFormat/>
    <w:rsid w:val="0094343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6" w:customStyle="1">
    <w:name w:val="Текст сноски Знак1"/>
    <w:basedOn w:val="DefaultParagraphFont"/>
    <w:uiPriority w:val="99"/>
    <w:semiHidden/>
    <w:qFormat/>
    <w:rsid w:val="0094343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7" w:customStyle="1">
    <w:name w:val="Верхний колонтитул Знак1"/>
    <w:basedOn w:val="DefaultParagraphFont"/>
    <w:uiPriority w:val="99"/>
    <w:semiHidden/>
    <w:qFormat/>
    <w:rsid w:val="0094343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8" w:customStyle="1">
    <w:name w:val="Основной текст с отступом Знак1"/>
    <w:basedOn w:val="DefaultParagraphFont"/>
    <w:uiPriority w:val="99"/>
    <w:semiHidden/>
    <w:qFormat/>
    <w:rsid w:val="0094343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9" w:customStyle="1">
    <w:name w:val="Нижний колонтитул Знак1"/>
    <w:basedOn w:val="DefaultParagraphFont"/>
    <w:uiPriority w:val="99"/>
    <w:semiHidden/>
    <w:qFormat/>
    <w:rsid w:val="0094343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4" w:customStyle="1">
    <w:name w:val="Основной текст с отступом 2 Знак"/>
    <w:basedOn w:val="DefaultParagraphFont"/>
    <w:link w:val="BodyTextIndent2"/>
    <w:qFormat/>
    <w:rsid w:val="0094343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2" w:customStyle="1">
    <w:name w:val="Основной текст 3 Знак"/>
    <w:basedOn w:val="DefaultParagraphFont"/>
    <w:link w:val="BodyText3"/>
    <w:qFormat/>
    <w:rsid w:val="00943433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3" w:customStyle="1">
    <w:name w:val="Основной текст с отступом 3 Знак"/>
    <w:basedOn w:val="DefaultParagraphFont"/>
    <w:link w:val="BodyTextIndent3"/>
    <w:qFormat/>
    <w:rsid w:val="00943433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5" w:customStyle="1">
    <w:name w:val="Основной текст 2 Знак"/>
    <w:basedOn w:val="DefaultParagraphFont"/>
    <w:link w:val="BodyText2"/>
    <w:qFormat/>
    <w:rsid w:val="0094343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10" w:customStyle="1">
    <w:name w:val="Текст выноски Знак1"/>
    <w:basedOn w:val="DefaultParagraphFont"/>
    <w:uiPriority w:val="99"/>
    <w:semiHidden/>
    <w:qFormat/>
    <w:rsid w:val="00943433"/>
    <w:rPr>
      <w:rFonts w:ascii="Segoe UI" w:hAnsi="Segoe UI" w:eastAsia="Times New Roman" w:cs="Segoe UI"/>
      <w:sz w:val="18"/>
      <w:szCs w:val="18"/>
      <w:lang w:eastAsia="ru-RU"/>
    </w:rPr>
  </w:style>
  <w:style w:type="character" w:styleId="111" w:customStyle="1">
    <w:name w:val="Текст примечания Знак1"/>
    <w:basedOn w:val="DefaultParagraphFont"/>
    <w:uiPriority w:val="99"/>
    <w:semiHidden/>
    <w:qFormat/>
    <w:rsid w:val="0094343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12" w:customStyle="1">
    <w:name w:val="Тема примечания Знак1"/>
    <w:basedOn w:val="111"/>
    <w:uiPriority w:val="99"/>
    <w:semiHidden/>
    <w:qFormat/>
    <w:rsid w:val="00943433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113" w:customStyle="1">
    <w:name w:val="Подзаголовок Знак1"/>
    <w:basedOn w:val="DefaultParagraphFont"/>
    <w:uiPriority w:val="11"/>
    <w:qFormat/>
    <w:rsid w:val="00943433"/>
    <w:rPr>
      <w:rFonts w:eastAsia="" w:eastAsiaTheme="minorEastAsia"/>
      <w:color w:val="5A5A5A" w:themeColor="text1" w:themeTint="a5"/>
      <w:spacing w:val="15"/>
      <w:lang w:eastAsia="ru-RU"/>
    </w:rPr>
  </w:style>
  <w:style w:type="character" w:styleId="211" w:customStyle="1">
    <w:name w:val="Цитата 2 Знак1"/>
    <w:basedOn w:val="DefaultParagraphFont"/>
    <w:uiPriority w:val="29"/>
    <w:qFormat/>
    <w:rsid w:val="00943433"/>
    <w:rPr>
      <w:rFonts w:ascii="Times New Roman" w:hAnsi="Times New Roman" w:eastAsia="Times New Roman" w:cs="Times New Roman"/>
      <w:i/>
      <w:iCs/>
      <w:color w:val="404040" w:themeColor="text1" w:themeTint="bf"/>
      <w:sz w:val="28"/>
      <w:szCs w:val="28"/>
      <w:lang w:eastAsia="ru-RU"/>
    </w:rPr>
  </w:style>
  <w:style w:type="character" w:styleId="114" w:customStyle="1">
    <w:name w:val="Выделенная цитата Знак1"/>
    <w:basedOn w:val="DefaultParagraphFont"/>
    <w:uiPriority w:val="30"/>
    <w:qFormat/>
    <w:rsid w:val="00943433"/>
    <w:rPr>
      <w:rFonts w:ascii="Times New Roman" w:hAnsi="Times New Roman" w:eastAsia="Times New Roman" w:cs="Times New Roman"/>
      <w:i/>
      <w:iCs/>
      <w:color w:val="5B9BD5" w:themeColor="accent1"/>
      <w:sz w:val="28"/>
      <w:szCs w:val="28"/>
      <w:lang w:eastAsia="ru-RU"/>
    </w:rPr>
  </w:style>
  <w:style w:type="character" w:styleId="115" w:customStyle="1">
    <w:name w:val="Электронная подпись Знак1"/>
    <w:basedOn w:val="DefaultParagraphFont"/>
    <w:uiPriority w:val="99"/>
    <w:semiHidden/>
    <w:qFormat/>
    <w:rsid w:val="0094343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16" w:customStyle="1">
    <w:name w:val="Текст концевой сноски Знак1"/>
    <w:basedOn w:val="DefaultParagraphFont"/>
    <w:uiPriority w:val="99"/>
    <w:semiHidden/>
    <w:qFormat/>
    <w:rsid w:val="0094343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17" w:customStyle="1">
    <w:name w:val="Схема документа Знак1"/>
    <w:basedOn w:val="DefaultParagraphFont"/>
    <w:uiPriority w:val="99"/>
    <w:semiHidden/>
    <w:qFormat/>
    <w:rsid w:val="00943433"/>
    <w:rPr>
      <w:rFonts w:ascii="Segoe UI" w:hAnsi="Segoe UI" w:eastAsia="Times New Roman" w:cs="Segoe UI"/>
      <w:sz w:val="16"/>
      <w:szCs w:val="16"/>
      <w:lang w:eastAsia="ru-RU"/>
    </w:rPr>
  </w:style>
  <w:style w:type="character" w:styleId="Linenumber4" w:customStyle="1">
    <w:name w:val="line number4"/>
    <w:qFormat/>
    <w:rPr/>
  </w:style>
  <w:style w:type="character" w:styleId="Linenumber5" w:customStyle="1">
    <w:name w:val="line number5"/>
    <w:qFormat/>
    <w:rPr/>
  </w:style>
  <w:style w:type="character" w:styleId="Linenumber6" w:customStyle="1">
    <w:name w:val="line number6"/>
    <w:qFormat/>
    <w:rPr/>
  </w:style>
  <w:style w:type="character" w:styleId="Linenumber">
    <w:name w:val="line number"/>
    <w:qFormat/>
    <w:rPr/>
  </w:style>
  <w:style w:type="character" w:styleId="Style22">
    <w:name w:val="Маркеры"/>
    <w:qFormat/>
    <w:rPr>
      <w:rFonts w:ascii="OpenSymbol" w:hAnsi="OpenSymbol" w:eastAsia="OpenSymbol" w:cs="OpenSymbol"/>
    </w:rPr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943433"/>
    <w:pPr>
      <w:spacing w:before="0" w:after="120"/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List">
    <w:name w:val="List"/>
    <w:basedOn w:val="BodyText"/>
    <w:rsid w:val="00943433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Style21"/>
    <w:qFormat/>
    <w:rsid w:val="00943433"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rsid w:val="0094343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943433"/>
    <w:pPr>
      <w:ind w:hanging="280" w:left="280"/>
    </w:pPr>
    <w:rPr/>
  </w:style>
  <w:style w:type="paragraph" w:styleId="Indexheading11111" w:customStyle="1">
    <w:name w:val="index heading11111"/>
    <w:basedOn w:val="Title"/>
    <w:qFormat/>
    <w:rsid w:val="00943433"/>
    <w:pPr/>
    <w:rPr/>
  </w:style>
  <w:style w:type="paragraph" w:styleId="Caption111111" w:customStyle="1">
    <w:name w:val="caption111111"/>
    <w:basedOn w:val="Normal"/>
    <w:qFormat/>
    <w:rsid w:val="00943433"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rsid w:val="00943433"/>
    <w:pPr/>
    <w:rPr/>
  </w:style>
  <w:style w:type="paragraph" w:styleId="Style25" w:customStyle="1">
    <w:name w:val="Название раздела инструкции"/>
    <w:basedOn w:val="Normal"/>
    <w:autoRedefine/>
    <w:qFormat/>
    <w:rsid w:val="00943433"/>
    <w:pPr>
      <w:jc w:val="center"/>
    </w:pPr>
    <w:rPr>
      <w:b/>
    </w:rPr>
  </w:style>
  <w:style w:type="paragraph" w:styleId="Style26" w:customStyle="1">
    <w:name w:val="Раздел положения"/>
    <w:basedOn w:val="Normal"/>
    <w:autoRedefine/>
    <w:qFormat/>
    <w:rsid w:val="00943433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7" w:customStyle="1">
    <w:name w:val="Подраздел раздела положения"/>
    <w:basedOn w:val="Normal"/>
    <w:autoRedefine/>
    <w:qFormat/>
    <w:rsid w:val="00943433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943433"/>
    <w:pPr/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118" w:customStyle="1">
    <w:name w:val="Шапка 1"/>
    <w:basedOn w:val="Normal"/>
    <w:qFormat/>
    <w:rsid w:val="00943433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6" w:customStyle="1">
    <w:name w:val="Шапка 2"/>
    <w:basedOn w:val="Normal"/>
    <w:qFormat/>
    <w:rsid w:val="00943433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943433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19" w:customStyle="1">
    <w:name w:val="Название1"/>
    <w:basedOn w:val="Normal"/>
    <w:link w:val="Style1"/>
    <w:uiPriority w:val="10"/>
    <w:qFormat/>
    <w:rsid w:val="00943433"/>
    <w:pPr>
      <w:jc w:val="center"/>
    </w:pPr>
    <w:rPr>
      <w:rFonts w:ascii="Calibri" w:hAnsi="Calibri" w:eastAsia="Calibri" w:cs="" w:asciiTheme="minorHAnsi" w:cstheme="minorBidi" w:eastAsiaTheme="minorHAnsi" w:hAnsiTheme="minorHAnsi"/>
      <w:szCs w:val="22"/>
      <w:lang w:eastAsia="en-US"/>
    </w:rPr>
  </w:style>
  <w:style w:type="paragraph" w:styleId="Style28" w:customStyle="1">
    <w:name w:val="Колонтитул"/>
    <w:basedOn w:val="Normal"/>
    <w:link w:val="Style19"/>
    <w:qFormat/>
    <w:rsid w:val="00943433"/>
    <w:pPr>
      <w:widowControl w:val="false"/>
      <w:shd w:val="clear" w:color="auto" w:fill="FFFFFF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Header">
    <w:name w:val="Header"/>
    <w:basedOn w:val="Normal"/>
    <w:link w:val="Style10"/>
    <w:uiPriority w:val="99"/>
    <w:rsid w:val="00943433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" w:asciiTheme="minorHAnsi" w:cstheme="minorBidi" w:eastAsiaTheme="minorHAnsi" w:hAnsiTheme="minorHAnsi"/>
      <w:sz w:val="24"/>
      <w:szCs w:val="24"/>
      <w:lang w:eastAsia="en-US"/>
    </w:rPr>
  </w:style>
  <w:style w:type="paragraph" w:styleId="BodyTextIndent">
    <w:name w:val="Body Text Indent"/>
    <w:basedOn w:val="Normal"/>
    <w:link w:val="Style18"/>
    <w:rsid w:val="00943433"/>
    <w:pPr>
      <w:ind w:left="360"/>
    </w:pPr>
    <w:rPr>
      <w:rFonts w:ascii="Calibri" w:hAnsi="Calibri" w:eastAsia="Calibri" w:cs="" w:asciiTheme="minorHAnsi" w:cstheme="minorBidi" w:eastAsiaTheme="minorHAnsi" w:hAnsiTheme="minorHAnsi"/>
      <w:sz w:val="24"/>
      <w:szCs w:val="24"/>
      <w:lang w:eastAsia="en-US"/>
    </w:rPr>
  </w:style>
  <w:style w:type="paragraph" w:styleId="Footer">
    <w:name w:val="Footer"/>
    <w:basedOn w:val="Normal"/>
    <w:link w:val="Style14"/>
    <w:uiPriority w:val="99"/>
    <w:rsid w:val="00943433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BodyTextIndent2">
    <w:name w:val="Body Text Indent 2"/>
    <w:basedOn w:val="Normal"/>
    <w:link w:val="24"/>
    <w:qFormat/>
    <w:rsid w:val="00943433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link w:val="32"/>
    <w:qFormat/>
    <w:rsid w:val="00943433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3"/>
    <w:qFormat/>
    <w:rsid w:val="00943433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link w:val="25"/>
    <w:qFormat/>
    <w:rsid w:val="00943433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943433"/>
    <w:pPr>
      <w:ind w:left="-567" w:right="-766"/>
      <w:jc w:val="center"/>
    </w:pPr>
    <w:rPr>
      <w:b/>
      <w:bCs/>
      <w:sz w:val="24"/>
      <w:szCs w:val="20"/>
    </w:rPr>
  </w:style>
  <w:style w:type="paragraph" w:styleId="Style29" w:customStyle="1">
    <w:name w:val="Подпункт"/>
    <w:basedOn w:val="Normal"/>
    <w:link w:val="11"/>
    <w:qFormat/>
    <w:rsid w:val="00943433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ascii="Calibri" w:hAnsi="Calibri" w:eastAsia="Calibri" w:cs="" w:asciiTheme="minorHAnsi" w:cstheme="minorBidi" w:eastAsiaTheme="minorHAnsi" w:hAnsiTheme="minorHAnsi"/>
      <w:szCs w:val="22"/>
      <w:lang w:eastAsia="en-US"/>
    </w:rPr>
  </w:style>
  <w:style w:type="paragraph" w:styleId="27" w:customStyle="1">
    <w:name w:val="Пункт2"/>
    <w:basedOn w:val="Normal"/>
    <w:link w:val="22"/>
    <w:qFormat/>
    <w:rsid w:val="00943433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ascii="Calibri" w:hAnsi="Calibri" w:eastAsia="Calibri" w:cs="" w:asciiTheme="minorHAnsi" w:cstheme="minorBidi" w:eastAsiaTheme="minorHAnsi" w:hAnsiTheme="minorHAnsi"/>
      <w:b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rsid w:val="00943433"/>
    <w:pPr>
      <w:tabs>
        <w:tab w:val="clear" w:pos="708"/>
        <w:tab w:val="left" w:pos="567" w:leader="none"/>
        <w:tab w:val="right" w:pos="10204" w:leader="dot"/>
      </w:tabs>
      <w:jc w:val="both"/>
    </w:pPr>
    <w:rPr>
      <w:rFonts w:eastAsia="Calibri"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943433"/>
    <w:pPr>
      <w:tabs>
        <w:tab w:val="clear" w:pos="708"/>
        <w:tab w:val="left" w:pos="1120" w:leader="none"/>
        <w:tab w:val="right" w:pos="9911" w:leader="dot"/>
      </w:tabs>
      <w:ind w:left="113"/>
    </w:pPr>
    <w:rPr>
      <w:rFonts w:cs="Calibri" w:cstheme="minorHAnsi"/>
      <w:sz w:val="20"/>
      <w:szCs w:val="20"/>
    </w:rPr>
  </w:style>
  <w:style w:type="paragraph" w:styleId="Style30" w:customStyle="1">
    <w:name w:val="Раздел регламента"/>
    <w:basedOn w:val="Normal"/>
    <w:qFormat/>
    <w:rsid w:val="00943433"/>
    <w:pPr/>
    <w:rPr/>
  </w:style>
  <w:style w:type="paragraph" w:styleId="Style31" w:customStyle="1">
    <w:name w:val="Приложение к регламенту"/>
    <w:basedOn w:val="Normal"/>
    <w:qFormat/>
    <w:rsid w:val="00943433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943433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15"/>
    <w:semiHidden/>
    <w:qFormat/>
    <w:rsid w:val="00943433"/>
    <w:pPr/>
    <w:rPr>
      <w:rFonts w:ascii="Tahoma" w:hAnsi="Tahoma" w:eastAsia="Calibri" w:cs="Tahoma" w:eastAsiaTheme="minorHAnsi"/>
      <w:sz w:val="16"/>
      <w:szCs w:val="16"/>
      <w:lang w:eastAsia="en-US"/>
    </w:rPr>
  </w:style>
  <w:style w:type="paragraph" w:styleId="Annotationtext">
    <w:name w:val="annotation text"/>
    <w:basedOn w:val="Normal"/>
    <w:link w:val="Style11"/>
    <w:qFormat/>
    <w:rsid w:val="00943433"/>
    <w:pPr/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Annotationsubject">
    <w:name w:val="annotation subject"/>
    <w:basedOn w:val="Annotationtext"/>
    <w:next w:val="Annotationtext"/>
    <w:link w:val="Style17"/>
    <w:semiHidden/>
    <w:qFormat/>
    <w:rsid w:val="00943433"/>
    <w:pPr/>
    <w:rPr>
      <w:b/>
      <w:bCs/>
    </w:rPr>
  </w:style>
  <w:style w:type="paragraph" w:styleId="120" w:customStyle="1">
    <w:name w:val="Обычный (веб)1"/>
    <w:basedOn w:val="Normal"/>
    <w:uiPriority w:val="99"/>
    <w:qFormat/>
    <w:rsid w:val="00943433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943433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943433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943433"/>
    <w:pPr>
      <w:tabs>
        <w:tab w:val="clear" w:pos="708"/>
        <w:tab w:val="left" w:pos="1120" w:leader="none"/>
        <w:tab w:val="right" w:pos="9911" w:leader="dot"/>
      </w:tabs>
      <w:ind w:left="113"/>
    </w:pPr>
    <w:rPr>
      <w:rFonts w:cs="Calibri" w:cstheme="minorHAnsi"/>
      <w:spacing w:val="-8"/>
      <w:sz w:val="20"/>
      <w:szCs w:val="20"/>
    </w:rPr>
  </w:style>
  <w:style w:type="paragraph" w:styleId="28" w:customStyle="1">
    <w:name w:val="Раздел положения 2"/>
    <w:basedOn w:val="Normal"/>
    <w:qFormat/>
    <w:rsid w:val="00943433"/>
    <w:pPr>
      <w:pageBreakBefore/>
      <w:jc w:val="both"/>
      <w:outlineLvl w:val="0"/>
    </w:pPr>
    <w:rPr>
      <w:b/>
    </w:rPr>
  </w:style>
  <w:style w:type="paragraph" w:styleId="Style32" w:customStyle="1">
    <w:name w:val="Знак Знак Знак Знак Знак Знак Знак Знак Знак"/>
    <w:basedOn w:val="Normal"/>
    <w:qFormat/>
    <w:rsid w:val="00943433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943433"/>
    <w:pPr>
      <w:spacing w:lineRule="auto" w:line="360"/>
    </w:pPr>
    <w:rPr>
      <w:rFonts w:eastAsia="Calibri"/>
      <w:sz w:val="24"/>
      <w:szCs w:val="24"/>
    </w:rPr>
  </w:style>
  <w:style w:type="paragraph" w:styleId="Caption1111111" w:customStyle="1">
    <w:name w:val="caption1111111"/>
    <w:basedOn w:val="Normal"/>
    <w:next w:val="Normal"/>
    <w:uiPriority w:val="35"/>
    <w:qFormat/>
    <w:rsid w:val="00943433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943433"/>
    <w:pPr>
      <w:numPr>
        <w:ilvl w:val="1"/>
      </w:numPr>
      <w:ind w:firstLine="709" w:left="1066"/>
    </w:pPr>
    <w:rPr>
      <w:rFonts w:ascii="Cambria" w:hAnsi="Cambria" w:eastAsia="Calibri" w:cs="" w:cstheme="minorBidi" w:eastAsiaTheme="minorHAnsi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943433"/>
    <w:pPr>
      <w:spacing w:before="0" w:after="0"/>
      <w:ind w:left="720"/>
      <w:contextualSpacing/>
    </w:pPr>
    <w:rPr>
      <w:rFonts w:ascii="Calibri" w:hAnsi="Calibri" w:eastAsia="Calibri" w:cs="" w:asciiTheme="minorHAnsi" w:cstheme="minorBidi" w:hAnsiTheme="minorHAnsi"/>
      <w:sz w:val="24"/>
      <w:szCs w:val="24"/>
      <w:lang w:eastAsia="en-US"/>
    </w:rPr>
  </w:style>
  <w:style w:type="paragraph" w:styleId="Quote">
    <w:name w:val="Quote"/>
    <w:basedOn w:val="Normal"/>
    <w:next w:val="Normal"/>
    <w:link w:val="21"/>
    <w:uiPriority w:val="29"/>
    <w:qFormat/>
    <w:rsid w:val="00943433"/>
    <w:pPr/>
    <w:rPr>
      <w:rFonts w:ascii="Calibri" w:hAnsi="Calibri" w:eastAsia="Calibri" w:cs="" w:cstheme="minorBidi"/>
      <w:i/>
      <w:iCs/>
      <w:color w:val="000000"/>
      <w:sz w:val="22"/>
      <w:szCs w:val="22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943433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 w:cs="" w:cstheme="minorBidi"/>
      <w:b/>
      <w:bCs/>
      <w:i/>
      <w:iCs/>
      <w:color w:val="4F81BD"/>
      <w:sz w:val="22"/>
      <w:szCs w:val="22"/>
      <w:lang w:val="x-none" w:eastAsia="x-none"/>
    </w:rPr>
  </w:style>
  <w:style w:type="paragraph" w:styleId="IndexHeading">
    <w:name w:val="Index Heading"/>
    <w:basedOn w:val="Style23"/>
    <w:pPr/>
    <w:rPr/>
  </w:style>
  <w:style w:type="paragraph" w:styleId="TOCHeading">
    <w:name w:val="TOC Heading"/>
    <w:basedOn w:val="Heading1"/>
    <w:next w:val="Normal"/>
    <w:uiPriority w:val="39"/>
    <w:qFormat/>
    <w:rsid w:val="00943433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943433"/>
    <w:pPr/>
    <w:rPr>
      <w:rFonts w:ascii="Calibri" w:hAnsi="Calibri" w:eastAsia="Calibri" w:cs="" w:asciiTheme="minorHAnsi" w:cstheme="minorBidi" w:hAnsiTheme="minorHAnsi"/>
      <w:sz w:val="24"/>
      <w:szCs w:val="24"/>
      <w:lang w:eastAsia="en-US"/>
    </w:rPr>
  </w:style>
  <w:style w:type="paragraph" w:styleId="Style33" w:customStyle="1">
    <w:name w:val="Знак"/>
    <w:basedOn w:val="Normal"/>
    <w:qFormat/>
    <w:rsid w:val="00943433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943433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943433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9" w:customStyle="1">
    <w:name w:val="Нумерованный список ур2"/>
    <w:basedOn w:val="Normal"/>
    <w:qFormat/>
    <w:rsid w:val="00943433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94343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943433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Calibri" w:cs="Arial" w:eastAsiaTheme="minorHAnsi"/>
      <w:color w:val="auto"/>
      <w:kern w:val="0"/>
      <w:sz w:val="22"/>
      <w:szCs w:val="22"/>
      <w:lang w:val="ru-RU" w:eastAsia="en-US" w:bidi="ar-SA"/>
    </w:rPr>
  </w:style>
  <w:style w:type="paragraph" w:styleId="36" w:customStyle="1">
    <w:name w:val="Знак Знак3 Знак Знак"/>
    <w:basedOn w:val="Normal"/>
    <w:qFormat/>
    <w:rsid w:val="00943433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4" w:customStyle="1">
    <w:name w:val="Пункт"/>
    <w:basedOn w:val="Normal"/>
    <w:qFormat/>
    <w:rsid w:val="00943433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21" w:customStyle="1">
    <w:name w:val="Абзац списка1"/>
    <w:basedOn w:val="Normal"/>
    <w:qFormat/>
    <w:rsid w:val="00943433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5" w:customStyle="1">
    <w:name w:val="Таблица"/>
    <w:basedOn w:val="Normal"/>
    <w:qFormat/>
    <w:rsid w:val="00943433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6" w:customStyle="1">
    <w:name w:val="Таблица шапка"/>
    <w:basedOn w:val="Normal"/>
    <w:qFormat/>
    <w:rsid w:val="00943433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7" w:customStyle="1">
    <w:name w:val="Подподпункт"/>
    <w:basedOn w:val="Style29"/>
    <w:link w:val="Style9"/>
    <w:qFormat/>
    <w:rsid w:val="00943433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</w:rPr>
  </w:style>
  <w:style w:type="paragraph" w:styleId="Style38" w:customStyle="1">
    <w:name w:val="УРОВЕНЬ_(а)"/>
    <w:basedOn w:val="ListParagraph"/>
    <w:qFormat/>
    <w:rsid w:val="00943433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rsid w:val="00943433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</w:rPr>
  </w:style>
  <w:style w:type="paragraph" w:styleId="210" w:customStyle="1">
    <w:name w:val="УРОВЕНЬ_Абзац_тип2"/>
    <w:basedOn w:val="ListParagraph"/>
    <w:qFormat/>
    <w:rsid w:val="00943433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</w:rPr>
  </w:style>
  <w:style w:type="paragraph" w:styleId="37" w:customStyle="1">
    <w:name w:val="УРОВЕНЬ_Абзац_тип3"/>
    <w:basedOn w:val="ListParagraph"/>
    <w:link w:val="31"/>
    <w:qFormat/>
    <w:rsid w:val="00943433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</w:rPr>
  </w:style>
  <w:style w:type="paragraph" w:styleId="Style39" w:customStyle="1">
    <w:name w:val="УРОВЕНЬ_Подпись"/>
    <w:basedOn w:val="ListParagraph"/>
    <w:qFormat/>
    <w:rsid w:val="00943433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</w:rPr>
  </w:style>
  <w:style w:type="paragraph" w:styleId="122" w:customStyle="1">
    <w:name w:val="Стиль Заголовок 1 + по ширине"/>
    <w:basedOn w:val="Heading1"/>
    <w:qFormat/>
    <w:rsid w:val="00943433"/>
    <w:pPr>
      <w:keepLines/>
      <w:numPr>
        <w:ilvl w:val="0"/>
        <w:numId w:val="0"/>
      </w:numPr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943433"/>
    <w:pPr/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212" w:customStyle="1">
    <w:name w:val="Заголовок 2 КВВ"/>
    <w:basedOn w:val="Normal"/>
    <w:qFormat/>
    <w:rsid w:val="00943433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0" w:customStyle="1">
    <w:name w:val="Таблица текст"/>
    <w:basedOn w:val="Normal"/>
    <w:qFormat/>
    <w:rsid w:val="00943433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943433"/>
    <w:pPr>
      <w:spacing w:beforeAutospacing="1" w:afterAutospacing="1"/>
    </w:pPr>
    <w:rPr>
      <w:sz w:val="24"/>
      <w:szCs w:val="24"/>
    </w:rPr>
  </w:style>
  <w:style w:type="paragraph" w:styleId="123" w:customStyle="1">
    <w:name w:val="УРОВЕНЬ_1."/>
    <w:basedOn w:val="ListParagraph"/>
    <w:link w:val="12"/>
    <w:qFormat/>
    <w:rsid w:val="00943433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autoRedefine/>
    <w:unhideWhenUsed/>
    <w:rsid w:val="00943433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943433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943433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Lst1" w:customStyle="1">
    <w:name w:val="lst"/>
    <w:basedOn w:val="ListParagraph"/>
    <w:link w:val="Lst"/>
    <w:qFormat/>
    <w:rsid w:val="00943433"/>
    <w:pPr>
      <w:numPr>
        <w:ilvl w:val="0"/>
        <w:numId w:val="12"/>
      </w:numPr>
      <w:tabs>
        <w:tab w:val="clear" w:pos="708"/>
        <w:tab w:val="left" w:pos="851" w:leader="none"/>
      </w:tabs>
      <w:jc w:val="both"/>
    </w:pPr>
    <w:rPr>
      <w:rFonts w:eastAsia="Calibri" w:eastAsiaTheme="minorHAnsi"/>
      <w:szCs w:val="22"/>
    </w:rPr>
  </w:style>
  <w:style w:type="paragraph" w:styleId="T31" w:customStyle="1">
    <w:name w:val="t3"/>
    <w:basedOn w:val="Normal"/>
    <w:link w:val="T3"/>
    <w:qFormat/>
    <w:rsid w:val="00943433"/>
    <w:pPr>
      <w:spacing w:lineRule="auto" w:line="276"/>
      <w:ind w:hanging="504" w:left="1224"/>
      <w:jc w:val="both"/>
    </w:pPr>
    <w:rPr>
      <w:rFonts w:ascii="Calibri" w:hAnsi="Calibri" w:eastAsia="Calibri" w:cs="" w:asciiTheme="minorHAnsi" w:cstheme="minorBidi" w:hAnsiTheme="minorHAnsi"/>
      <w:color w:val="000000"/>
      <w:sz w:val="24"/>
      <w:szCs w:val="24"/>
      <w:lang w:eastAsia="en-US"/>
    </w:rPr>
  </w:style>
  <w:style w:type="paragraph" w:styleId="ListBullet">
    <w:name w:val="List Bullet"/>
    <w:basedOn w:val="ListParagraph"/>
    <w:uiPriority w:val="99"/>
    <w:qFormat/>
    <w:rsid w:val="00943433"/>
    <w:pPr>
      <w:numPr>
        <w:ilvl w:val="0"/>
        <w:numId w:val="14"/>
      </w:numPr>
      <w:spacing w:lineRule="auto" w:line="276"/>
      <w:jc w:val="both"/>
    </w:pPr>
    <w:rPr>
      <w:szCs w:val="22"/>
    </w:rPr>
  </w:style>
  <w:style w:type="paragraph" w:styleId="Rtext1" w:customStyle="1">
    <w:name w:val="r_text"/>
    <w:basedOn w:val="Normal"/>
    <w:link w:val="Rtext"/>
    <w:qFormat/>
    <w:rsid w:val="00943433"/>
    <w:pPr>
      <w:spacing w:lineRule="auto" w:line="276"/>
      <w:ind w:firstLine="567"/>
      <w:jc w:val="both"/>
    </w:pPr>
    <w:rPr>
      <w:rFonts w:ascii="Calibri" w:hAnsi="Calibri" w:eastAsia="Calibri" w:cs="" w:asciiTheme="minorHAnsi" w:cstheme="minorBidi" w:eastAsiaTheme="minorHAnsi" w:hAnsiTheme="minorHAnsi"/>
      <w:color w:val="000000"/>
      <w:sz w:val="24"/>
      <w:szCs w:val="26"/>
      <w:shd w:fill="FFFFFF" w:val="clear"/>
      <w:lang w:eastAsia="en-US"/>
    </w:rPr>
  </w:style>
  <w:style w:type="paragraph" w:styleId="S1" w:customStyle="1">
    <w:name w:val="S_ЗаголовкиТаблицы1"/>
    <w:basedOn w:val="Normal"/>
    <w:qFormat/>
    <w:rsid w:val="00943433"/>
    <w:pPr>
      <w:keepNext w:val="true"/>
      <w:widowControl w:val="false"/>
      <w:jc w:val="center"/>
    </w:pPr>
    <w:rPr>
      <w:rFonts w:ascii="Arial" w:hAnsi="Arial"/>
      <w:b/>
      <w:caps/>
      <w:sz w:val="16"/>
      <w:szCs w:val="16"/>
    </w:rPr>
  </w:style>
  <w:style w:type="paragraph" w:styleId="Tn1" w:customStyle="1">
    <w:name w:val="t_n"/>
    <w:basedOn w:val="Normal"/>
    <w:link w:val="Tn"/>
    <w:qFormat/>
    <w:rsid w:val="00943433"/>
    <w:pPr>
      <w:spacing w:before="240" w:after="240"/>
      <w:jc w:val="right"/>
    </w:pPr>
    <w:rPr>
      <w:rFonts w:ascii="Calibri" w:hAnsi="Calibri" w:eastAsia="Calibri" w:cs="" w:asciiTheme="minorHAnsi" w:cstheme="minorBidi" w:eastAsiaTheme="minorHAnsi" w:hAnsiTheme="minorHAnsi"/>
      <w:sz w:val="24"/>
      <w:lang w:eastAsia="en-US"/>
    </w:rPr>
  </w:style>
  <w:style w:type="paragraph" w:styleId="-lst1" w:customStyle="1">
    <w:name w:val="-lst"/>
    <w:basedOn w:val="ListParagraph"/>
    <w:link w:val="-lst"/>
    <w:qFormat/>
    <w:rsid w:val="00943433"/>
    <w:pPr>
      <w:numPr>
        <w:ilvl w:val="0"/>
        <w:numId w:val="18"/>
      </w:numPr>
      <w:spacing w:lineRule="auto" w:line="276"/>
      <w:jc w:val="both"/>
    </w:pPr>
    <w:rPr/>
  </w:style>
  <w:style w:type="paragraph" w:styleId="Style41" w:customStyle="1">
    <w:name w:val="Обычный+ без отступа"/>
    <w:basedOn w:val="Normal"/>
    <w:qFormat/>
    <w:rsid w:val="00943433"/>
    <w:pPr>
      <w:spacing w:lineRule="auto" w:line="360" w:before="120" w:after="0"/>
      <w:jc w:val="both"/>
    </w:pPr>
    <w:rPr>
      <w:rFonts w:eastAsia="MS Mincho"/>
    </w:rPr>
  </w:style>
  <w:style w:type="paragraph" w:styleId="Style42" w:customStyle="1">
    <w:name w:val="Текст таблицы"/>
    <w:basedOn w:val="Normal"/>
    <w:qFormat/>
    <w:rsid w:val="00943433"/>
    <w:pPr>
      <w:spacing w:before="40" w:after="40"/>
      <w:ind w:left="57" w:right="57"/>
    </w:pPr>
    <w:rPr>
      <w:sz w:val="24"/>
      <w:szCs w:val="24"/>
    </w:rPr>
  </w:style>
  <w:style w:type="paragraph" w:styleId="Style43" w:customStyle="1">
    <w:name w:val="Пункт Знак"/>
    <w:basedOn w:val="Normal"/>
    <w:qFormat/>
    <w:rsid w:val="00943433"/>
    <w:pPr>
      <w:tabs>
        <w:tab w:val="clear" w:pos="708"/>
        <w:tab w:val="left" w:pos="851" w:leader="none"/>
        <w:tab w:val="left" w:pos="1134" w:leader="none"/>
        <w:tab w:val="left" w:pos="1844" w:leader="none"/>
      </w:tabs>
      <w:spacing w:lineRule="auto" w:line="360"/>
      <w:ind w:hanging="567" w:left="1844"/>
      <w:jc w:val="both"/>
    </w:pPr>
    <w:rPr>
      <w:b/>
      <w:szCs w:val="20"/>
    </w:rPr>
  </w:style>
  <w:style w:type="paragraph" w:styleId="Style44" w:customStyle="1">
    <w:name w:val="Подподподпункт"/>
    <w:basedOn w:val="Normal"/>
    <w:qFormat/>
    <w:rsid w:val="00943433"/>
    <w:pPr>
      <w:tabs>
        <w:tab w:val="clear" w:pos="708"/>
        <w:tab w:val="left" w:pos="1134" w:leader="none"/>
        <w:tab w:val="left" w:pos="1701" w:leader="none"/>
      </w:tabs>
      <w:spacing w:lineRule="auto" w:line="360"/>
      <w:ind w:hanging="1008" w:left="1718"/>
      <w:jc w:val="both"/>
    </w:pPr>
    <w:rPr>
      <w:szCs w:val="20"/>
    </w:rPr>
  </w:style>
  <w:style w:type="paragraph" w:styleId="124" w:customStyle="1">
    <w:name w:val="Пункт1"/>
    <w:basedOn w:val="Normal"/>
    <w:qFormat/>
    <w:rsid w:val="00943433"/>
    <w:pPr>
      <w:tabs>
        <w:tab w:val="clear" w:pos="708"/>
        <w:tab w:val="left" w:pos="567" w:leader="none"/>
      </w:tabs>
      <w:spacing w:lineRule="auto" w:line="360" w:before="240" w:after="0"/>
      <w:ind w:hanging="279" w:left="567"/>
      <w:jc w:val="center"/>
    </w:pPr>
    <w:rPr>
      <w:rFonts w:ascii="Arial" w:hAnsi="Arial"/>
      <w:b/>
    </w:rPr>
  </w:style>
  <w:style w:type="paragraph" w:styleId="38" w:customStyle="1">
    <w:name w:val="Пункт_3"/>
    <w:basedOn w:val="Normal"/>
    <w:uiPriority w:val="99"/>
    <w:qFormat/>
    <w:rsid w:val="00943433"/>
    <w:pPr>
      <w:tabs>
        <w:tab w:val="clear" w:pos="708"/>
        <w:tab w:val="left" w:pos="1134" w:leader="none"/>
      </w:tabs>
      <w:spacing w:lineRule="auto" w:line="360"/>
      <w:ind w:hanging="1133" w:left="1134"/>
      <w:jc w:val="both"/>
    </w:pPr>
    <w:rPr>
      <w:szCs w:val="20"/>
    </w:rPr>
  </w:style>
  <w:style w:type="paragraph" w:styleId="DocumentMap">
    <w:name w:val="Document Map"/>
    <w:basedOn w:val="Normal"/>
    <w:link w:val="Style16"/>
    <w:uiPriority w:val="99"/>
    <w:semiHidden/>
    <w:unhideWhenUsed/>
    <w:qFormat/>
    <w:rsid w:val="00943433"/>
    <w:pPr/>
    <w:rPr>
      <w:rFonts w:ascii="Tahoma" w:hAnsi="Tahoma" w:eastAsia="Calibri" w:cs="Tahoma" w:eastAsiaTheme="minorHAnsi"/>
      <w:sz w:val="16"/>
      <w:szCs w:val="16"/>
      <w:lang w:eastAsia="en-US"/>
    </w:rPr>
  </w:style>
  <w:style w:type="paragraph" w:styleId="Style45" w:customStyle="1">
    <w:name w:val="Знак Знак"/>
    <w:basedOn w:val="Normal"/>
    <w:qFormat/>
    <w:rsid w:val="00943433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62" w:customStyle="1">
    <w:name w:val="Основной текст (6)"/>
    <w:basedOn w:val="Normal"/>
    <w:link w:val="61"/>
    <w:qFormat/>
    <w:rsid w:val="00943433"/>
    <w:pPr>
      <w:widowControl w:val="false"/>
      <w:shd w:val="clear" w:color="auto" w:fill="FFFFFF"/>
      <w:ind w:firstLine="720"/>
      <w:jc w:val="both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TableListParagraph" w:customStyle="1">
    <w:name w:val="Table List Paragraph"/>
    <w:basedOn w:val="Normal"/>
    <w:qFormat/>
    <w:rsid w:val="00943433"/>
    <w:pPr>
      <w:numPr>
        <w:ilvl w:val="0"/>
        <w:numId w:val="26"/>
      </w:numPr>
      <w:tabs>
        <w:tab w:val="clear" w:pos="708"/>
        <w:tab w:val="left" w:pos="360" w:leader="none"/>
      </w:tabs>
      <w:jc w:val="both"/>
    </w:pPr>
    <w:rPr>
      <w:sz w:val="24"/>
      <w:szCs w:val="24"/>
    </w:rPr>
  </w:style>
  <w:style w:type="paragraph" w:styleId="Style46" w:customStyle="1">
    <w:name w:val="Содержимое врезки"/>
    <w:basedOn w:val="Normal"/>
    <w:qFormat/>
    <w:rsid w:val="00943433"/>
    <w:pPr/>
    <w:rPr/>
  </w:style>
  <w:style w:type="paragraph" w:styleId="-1" w:customStyle="1">
    <w:name w:val="Таблица - текст"/>
    <w:basedOn w:val="Normal"/>
    <w:qFormat/>
    <w:rsid w:val="00943433"/>
    <w:pPr>
      <w:spacing w:before="0" w:after="0"/>
      <w:contextualSpacing/>
    </w:pPr>
    <w:rPr>
      <w:sz w:val="20"/>
    </w:rPr>
  </w:style>
  <w:style w:type="paragraph" w:styleId="-2" w:customStyle="1">
    <w:name w:val="Таблица - заголовки"/>
    <w:basedOn w:val="-1"/>
    <w:qFormat/>
    <w:rsid w:val="00943433"/>
    <w:pPr>
      <w:jc w:val="center"/>
    </w:pPr>
    <w:rPr>
      <w:b/>
      <w:bCs/>
    </w:rPr>
  </w:style>
  <w:style w:type="paragraph" w:styleId="-11" w:customStyle="1">
    <w:name w:val="Таблица - список 1"/>
    <w:basedOn w:val="ListParagraph"/>
    <w:qFormat/>
    <w:rsid w:val="00943433"/>
    <w:pPr>
      <w:tabs>
        <w:tab w:val="clear" w:pos="708"/>
        <w:tab w:val="left" w:pos="0" w:leader="none"/>
      </w:tabs>
      <w:ind w:hanging="360" w:left="-207"/>
    </w:pPr>
    <w:rPr>
      <w:sz w:val="20"/>
    </w:rPr>
  </w:style>
  <w:style w:type="paragraph" w:styleId="125" w:customStyle="1">
    <w:name w:val="Таблица (список маркерованный 1)"/>
    <w:basedOn w:val="-1"/>
    <w:qFormat/>
    <w:rsid w:val="00943433"/>
    <w:pPr>
      <w:numPr>
        <w:ilvl w:val="0"/>
        <w:numId w:val="9"/>
      </w:numPr>
    </w:pPr>
    <w:rPr/>
  </w:style>
  <w:style w:type="paragraph" w:styleId="213" w:customStyle="1">
    <w:name w:val="Таблица (список маркированный 2"/>
    <w:basedOn w:val="125"/>
    <w:qFormat/>
    <w:rsid w:val="00943433"/>
    <w:pPr>
      <w:numPr>
        <w:ilvl w:val="1"/>
        <w:numId w:val="10"/>
      </w:numPr>
    </w:pPr>
    <w:rPr/>
  </w:style>
  <w:style w:type="paragraph" w:styleId="Style47" w:customStyle="1">
    <w:name w:val="Текст в заданном формате"/>
    <w:basedOn w:val="Normal"/>
    <w:qFormat/>
    <w:pPr/>
    <w:rPr>
      <w:rFonts w:ascii="PT Mono" w:hAnsi="PT Mono" w:eastAsia="PT Mono" w:cs="PT Mono"/>
      <w:sz w:val="20"/>
      <w:szCs w:val="20"/>
    </w:rPr>
  </w:style>
  <w:style w:type="paragraph" w:styleId="Tl">
    <w:name w:val="t_l"/>
    <w:basedOn w:val="Normal"/>
    <w:qFormat/>
    <w:pPr>
      <w:suppressAutoHyphens w:val="true"/>
    </w:pPr>
    <w:rPr>
      <w:iCs/>
      <w:sz w:val="24"/>
      <w:szCs w:val="24"/>
    </w:rPr>
  </w:style>
  <w:style w:type="paragraph" w:styleId="Style48">
    <w:name w:val="Содержимое таблицы"/>
    <w:basedOn w:val="Normal"/>
    <w:qFormat/>
    <w:pPr>
      <w:widowControl w:val="false"/>
      <w:suppressLineNumbers/>
    </w:pPr>
    <w:rPr/>
  </w:style>
  <w:style w:type="paragraph" w:styleId="Style49">
    <w:name w:val="Заголовок таблицы"/>
    <w:basedOn w:val="Style4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26" w:customStyle="1">
    <w:name w:val="Стиль1"/>
    <w:uiPriority w:val="99"/>
    <w:qFormat/>
    <w:rsid w:val="00943433"/>
  </w:style>
  <w:style w:type="numbering" w:styleId="214" w:customStyle="1">
    <w:name w:val="Стиль2"/>
    <w:uiPriority w:val="99"/>
    <w:qFormat/>
    <w:rsid w:val="00943433"/>
  </w:style>
  <w:style w:type="numbering" w:styleId="40747409961">
    <w:name w:val="40747409961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6">
    <w:name w:val="Table Grid"/>
    <w:basedOn w:val="a6"/>
    <w:uiPriority w:val="39"/>
    <w:rsid w:val="0094343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d">
    <w:name w:val="Сетка таблицы1"/>
    <w:basedOn w:val="a6"/>
    <w:uiPriority w:val="39"/>
    <w:rsid w:val="00943433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1">
    <w:name w:val="Сетка таблицы GR1"/>
    <w:basedOn w:val="a6"/>
    <w:uiPriority w:val="59"/>
    <w:rsid w:val="0094343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1.jpeg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footer" Target="footer5.xml"/><Relationship Id="rId14" Type="http://schemas.openxmlformats.org/officeDocument/2006/relationships/footer" Target="footer6.xml"/><Relationship Id="rId15" Type="http://schemas.openxmlformats.org/officeDocument/2006/relationships/header" Target="header7.xml"/><Relationship Id="rId16" Type="http://schemas.openxmlformats.org/officeDocument/2006/relationships/header" Target="header8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header" Target="header9.xml"/><Relationship Id="rId20" Type="http://schemas.openxmlformats.org/officeDocument/2006/relationships/header" Target="header10.xml"/><Relationship Id="rId21" Type="http://schemas.openxmlformats.org/officeDocument/2006/relationships/footer" Target="footer9.xml"/><Relationship Id="rId22" Type="http://schemas.openxmlformats.org/officeDocument/2006/relationships/footer" Target="footer10.xml"/><Relationship Id="rId23" Type="http://schemas.openxmlformats.org/officeDocument/2006/relationships/header" Target="header11.xml"/><Relationship Id="rId24" Type="http://schemas.openxmlformats.org/officeDocument/2006/relationships/header" Target="header12.xml"/><Relationship Id="rId25" Type="http://schemas.openxmlformats.org/officeDocument/2006/relationships/footer" Target="footer11.xml"/><Relationship Id="rId26" Type="http://schemas.openxmlformats.org/officeDocument/2006/relationships/footer" Target="footer12.xml"/><Relationship Id="rId27" Type="http://schemas.openxmlformats.org/officeDocument/2006/relationships/header" Target="header13.xml"/><Relationship Id="rId28" Type="http://schemas.openxmlformats.org/officeDocument/2006/relationships/header" Target="header14.xml"/><Relationship Id="rId29" Type="http://schemas.openxmlformats.org/officeDocument/2006/relationships/footer" Target="footer13.xml"/><Relationship Id="rId30" Type="http://schemas.openxmlformats.org/officeDocument/2006/relationships/footer" Target="footer14.xml"/><Relationship Id="rId31" Type="http://schemas.openxmlformats.org/officeDocument/2006/relationships/package" Target="embeddings/oleObject1.xlsx"/><Relationship Id="rId32" Type="http://schemas.openxmlformats.org/officeDocument/2006/relationships/image" Target="media/image2.wmf"/><Relationship Id="rId33" Type="http://schemas.openxmlformats.org/officeDocument/2006/relationships/header" Target="header15.xml"/><Relationship Id="rId34" Type="http://schemas.openxmlformats.org/officeDocument/2006/relationships/header" Target="header16.xml"/><Relationship Id="rId35" Type="http://schemas.openxmlformats.org/officeDocument/2006/relationships/footer" Target="footer15.xml"/><Relationship Id="rId36" Type="http://schemas.openxmlformats.org/officeDocument/2006/relationships/footer" Target="footer16.xml"/><Relationship Id="rId37" Type="http://schemas.openxmlformats.org/officeDocument/2006/relationships/footnotes" Target="footnotes.xml"/><Relationship Id="rId38" Type="http://schemas.openxmlformats.org/officeDocument/2006/relationships/numbering" Target="numbering.xml"/><Relationship Id="rId39" Type="http://schemas.openxmlformats.org/officeDocument/2006/relationships/fontTable" Target="fontTable.xml"/><Relationship Id="rId40" Type="http://schemas.openxmlformats.org/officeDocument/2006/relationships/settings" Target="settings.xml"/><Relationship Id="rId41" Type="http://schemas.openxmlformats.org/officeDocument/2006/relationships/theme" Target="theme/theme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http://www.rushydro.ru/company/" TargetMode="External"/><Relationship Id="rId2" Type="http://schemas.openxmlformats.org/officeDocument/2006/relationships/hyperlink" Target="http://grandsmeta82.ru/znaj-kak/grand-smeta-baza-znanij/109-raschet-zatrat-na-energonositeli-elektroenergiyu-toplivo-i-pr-v-grand-smete.html" TargetMode="Externa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Application>AlterOffice/2026.2.0.0$Linux_X86_64 LibreOffice_project/bc4ef1adf80b36c7a6365f8ed6cbf29021361edd</Application>
  <AppVersion>15.0000</AppVersion>
  <Pages>60</Pages>
  <Words>13744</Words>
  <Characters>95628</Characters>
  <CharactersWithSpaces>108374</CharactersWithSpaces>
  <Paragraphs>1380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2026-09-15T06:44:00Z</dcterms:created>
  <dc:creator>Савушкина Ирина Владимировна</dc:creator>
  <dc:description/>
  <dc:language>ru-RU</dc:language>
  <cp:lastModifiedBy>savushkinaiv@corp.gidroogk.com</cp:lastModifiedBy>
  <dcterms:modified xsi:type="dcterms:W3CDTF">2026-10-13T18:01:04Z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