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footer2.xml" ContentType="application/vnd.openxmlformats-officedocument.wordprocessingml.footer+xml"/>
  <Override PartName="/word/header5.xml" ContentType="application/vnd.openxmlformats-officedocument.wordprocessingml.header+xml"/>
  <Override PartName="/word/header4.xml" ContentType="application/vnd.openxmlformats-officedocument.wordprocessingml.header+xml"/>
  <Override PartName="/word/styles.xml" ContentType="application/vnd.openxmlformats-officedocument.wordprocessingml.styles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keepLines/>
        <w:jc w:val="center"/>
        <w:rPr>
          <w:rFonts w:eastAsia="Calibri"/>
          <w:b/>
        </w:rPr>
      </w:pPr>
      <w:r>
        <w:rPr>
          <w:rFonts w:eastAsia="Calibri"/>
          <w:b/>
        </w:rPr>
      </w:r>
    </w:p>
    <w:p>
      <w:pPr>
        <w:pStyle w:val="Normal"/>
        <w:keepNext w:val="true"/>
        <w:keepLines/>
        <w:jc w:val="center"/>
        <w:rPr>
          <w:rFonts w:eastAsia="Calibri"/>
          <w:b/>
        </w:rPr>
      </w:pPr>
      <w:r>
        <w:rPr>
          <w:rFonts w:eastAsia="Calibri"/>
          <w:b/>
        </w:rPr>
      </w:r>
    </w:p>
    <w:p>
      <w:pPr>
        <w:pStyle w:val="Normal"/>
        <w:keepNext w:val="true"/>
        <w:keepLines/>
        <w:jc w:val="center"/>
        <w:rPr>
          <w:rFonts w:eastAsia="Calibri"/>
          <w:b/>
        </w:rPr>
      </w:pPr>
      <w:r>
        <w:rPr>
          <w:rFonts w:eastAsia="Calibri"/>
          <w:b/>
        </w:rPr>
      </w:r>
    </w:p>
    <w:p>
      <w:pPr>
        <w:pStyle w:val="Normal"/>
        <w:keepNext w:val="true"/>
        <w:keepLines/>
        <w:jc w:val="center"/>
        <w:rPr>
          <w:rFonts w:eastAsia="Calibri"/>
          <w:b/>
        </w:rPr>
      </w:pPr>
      <w:r>
        <w:rPr>
          <w:rFonts w:eastAsia="Calibri"/>
          <w:b/>
        </w:rPr>
      </w:r>
    </w:p>
    <w:p>
      <w:pPr>
        <w:pStyle w:val="Normal"/>
        <w:keepNext w:val="true"/>
        <w:keepLines/>
        <w:jc w:val="center"/>
        <w:rPr>
          <w:rFonts w:eastAsia="Calibri"/>
          <w:b/>
        </w:rPr>
      </w:pPr>
      <w:r>
        <w:rPr>
          <w:rFonts w:eastAsia="Calibri"/>
          <w:b/>
        </w:rPr>
      </w:r>
    </w:p>
    <w:p>
      <w:pPr>
        <w:pStyle w:val="Normal"/>
        <w:keepNext w:val="true"/>
        <w:keepLines/>
        <w:jc w:val="center"/>
        <w:rPr>
          <w:rFonts w:eastAsia="Calibri"/>
          <w:b/>
        </w:rPr>
      </w:pPr>
      <w:r>
        <w:rPr>
          <w:rFonts w:eastAsia="Calibri"/>
          <w:b/>
        </w:rPr>
      </w:r>
    </w:p>
    <w:p>
      <w:pPr>
        <w:pStyle w:val="Normal"/>
        <w:keepNext w:val="true"/>
        <w:keepLines/>
        <w:jc w:val="center"/>
        <w:rPr>
          <w:rFonts w:eastAsia="Calibri"/>
          <w:b/>
        </w:rPr>
      </w:pPr>
      <w:r>
        <w:rPr>
          <w:rFonts w:eastAsia="Calibri"/>
          <w:b/>
        </w:rPr>
      </w:r>
    </w:p>
    <w:p>
      <w:pPr>
        <w:pStyle w:val="Normal"/>
        <w:keepNext w:val="true"/>
        <w:keepLines/>
        <w:jc w:val="center"/>
        <w:rPr>
          <w:rFonts w:eastAsia="Calibri"/>
          <w:b/>
        </w:rPr>
      </w:pPr>
      <w:r>
        <w:rPr>
          <w:rFonts w:eastAsia="Calibri"/>
          <w:b/>
        </w:rPr>
      </w:r>
    </w:p>
    <w:p>
      <w:pPr>
        <w:pStyle w:val="Normal"/>
        <w:keepNext w:val="true"/>
        <w:keepLines/>
        <w:jc w:val="center"/>
        <w:rPr>
          <w:rFonts w:eastAsia="Calibri"/>
          <w:b/>
        </w:rPr>
      </w:pPr>
      <w:r>
        <w:rPr>
          <w:rFonts w:eastAsia="Calibri"/>
          <w:b/>
        </w:rPr>
      </w:r>
    </w:p>
    <w:p>
      <w:pPr>
        <w:pStyle w:val="Normal"/>
        <w:keepNext w:val="true"/>
        <w:keepLines/>
        <w:jc w:val="center"/>
        <w:rPr>
          <w:rFonts w:eastAsia="Calibri"/>
          <w:b/>
        </w:rPr>
      </w:pPr>
      <w:r>
        <w:rPr>
          <w:rFonts w:eastAsia="Calibri"/>
          <w:b/>
        </w:rPr>
      </w:r>
    </w:p>
    <w:p>
      <w:pPr>
        <w:pStyle w:val="Normal"/>
        <w:keepNext w:val="true"/>
        <w:keepLines/>
        <w:jc w:val="center"/>
        <w:rPr>
          <w:rFonts w:eastAsia="Calibri"/>
          <w:b/>
        </w:rPr>
      </w:pPr>
      <w:r>
        <w:rPr>
          <w:rFonts w:eastAsia="Calibri"/>
          <w:b/>
        </w:rPr>
      </w:r>
    </w:p>
    <w:p>
      <w:pPr>
        <w:pStyle w:val="Normal"/>
        <w:keepNext w:val="true"/>
        <w:keepLines/>
        <w:jc w:val="center"/>
        <w:rPr>
          <w:rFonts w:eastAsia="Calibri"/>
          <w:b/>
        </w:rPr>
      </w:pPr>
      <w:r>
        <w:rPr>
          <w:rFonts w:eastAsia="Calibri"/>
          <w:b/>
        </w:rPr>
      </w:r>
    </w:p>
    <w:p>
      <w:pPr>
        <w:pStyle w:val="Normal"/>
        <w:keepNext w:val="true"/>
        <w:keepLines/>
        <w:jc w:val="center"/>
        <w:rPr>
          <w:rFonts w:eastAsia="Calibri"/>
          <w:b/>
        </w:rPr>
      </w:pPr>
      <w:r>
        <w:rPr>
          <w:rFonts w:eastAsia="Calibri"/>
          <w:b/>
        </w:rPr>
      </w:r>
    </w:p>
    <w:p>
      <w:pPr>
        <w:pStyle w:val="Normal"/>
        <w:keepNext w:val="true"/>
        <w:keepLines/>
        <w:jc w:val="center"/>
        <w:rPr>
          <w:rFonts w:eastAsia="Calibri"/>
          <w:b/>
        </w:rPr>
      </w:pPr>
      <w:r>
        <w:rPr>
          <w:rFonts w:eastAsia="Calibri"/>
          <w:b/>
        </w:rPr>
      </w:r>
    </w:p>
    <w:p>
      <w:pPr>
        <w:pStyle w:val="Normal"/>
        <w:keepNext w:val="true"/>
        <w:keepLines/>
        <w:jc w:val="center"/>
        <w:rPr>
          <w:rFonts w:eastAsia="Calibri"/>
          <w:b/>
        </w:rPr>
      </w:pPr>
      <w:r>
        <w:rPr>
          <w:rFonts w:eastAsia="Calibri"/>
          <w:b/>
        </w:rPr>
      </w:r>
    </w:p>
    <w:p>
      <w:pPr>
        <w:pStyle w:val="Normal"/>
        <w:keepNext w:val="true"/>
        <w:keepLines/>
        <w:jc w:val="center"/>
        <w:rPr>
          <w:rFonts w:eastAsia="Calibri"/>
          <w:b/>
        </w:rPr>
      </w:pPr>
      <w:r>
        <w:rPr>
          <w:rFonts w:eastAsia="Calibri"/>
          <w:b/>
        </w:rPr>
      </w:r>
    </w:p>
    <w:p>
      <w:pPr>
        <w:pStyle w:val="Normal"/>
        <w:keepNext w:val="true"/>
        <w:keepLines/>
        <w:jc w:val="center"/>
        <w:rPr>
          <w:rFonts w:eastAsia="Calibri"/>
          <w:b/>
        </w:rPr>
      </w:pPr>
      <w:r>
        <w:rPr>
          <w:rFonts w:eastAsia="Calibri"/>
          <w:b/>
        </w:rPr>
        <w:t>Технические требования на оказание услуг</w:t>
      </w:r>
    </w:p>
    <w:p>
      <w:pPr>
        <w:pStyle w:val="Normal"/>
        <w:jc w:val="center"/>
        <w:rPr>
          <w:rFonts w:eastAsia="Calibri"/>
          <w:b/>
        </w:rPr>
      </w:pPr>
      <w:r>
        <w:rPr>
          <w:rFonts w:eastAsia="Calibri"/>
          <w:b/>
        </w:rPr>
        <w:t>«ОКПД2 93.29.29 Оказание услуг по организации и проведению корпоративного мероприятия – новогоднего представления для детей работников Филиала ПАО «РусГидро» - «Загорская ГАЭС»</w:t>
      </w:r>
    </w:p>
    <w:p>
      <w:pPr>
        <w:pStyle w:val="Normal"/>
        <w:rPr>
          <w:rFonts w:eastAsia="Calibri"/>
          <w:b/>
        </w:rPr>
      </w:pPr>
      <w:r>
        <w:rPr>
          <w:rFonts w:eastAsia="Calibri"/>
          <w:b/>
        </w:rPr>
      </w:r>
      <w:r>
        <w:br w:type="page"/>
      </w:r>
    </w:p>
    <w:p>
      <w:pPr>
        <w:pStyle w:val="Heading1"/>
        <w:keepLines/>
        <w:numPr>
          <w:ilvl w:val="0"/>
          <w:numId w:val="3"/>
        </w:numPr>
        <w:suppressAutoHyphens w:val="false"/>
        <w:ind w:left="357" w:hanging="357"/>
        <w:jc w:val="center"/>
        <w:rPr>
          <w:lang w:val="ru-RU"/>
        </w:rPr>
      </w:pPr>
      <w:bookmarkStart w:id="0" w:name="_Toc54643694"/>
      <w:r>
        <w:rPr>
          <w:lang w:val="ru-RU"/>
        </w:rPr>
        <w:t>Общие сведения</w:t>
      </w:r>
      <w:bookmarkEnd w:id="0"/>
    </w:p>
    <w:p>
      <w:pPr>
        <w:pStyle w:val="Normal"/>
        <w:rPr>
          <w:lang w:eastAsia="x-none"/>
        </w:rPr>
      </w:pPr>
      <w:r>
        <w:rPr>
          <w:lang w:eastAsia="x-none"/>
        </w:rPr>
      </w:r>
    </w:p>
    <w:p>
      <w:pPr>
        <w:pStyle w:val="Heading4"/>
        <w:numPr>
          <w:ilvl w:val="1"/>
          <w:numId w:val="7"/>
        </w:numPr>
        <w:suppressAutoHyphens w:val="false"/>
        <w:ind w:left="432" w:hanging="148"/>
        <w:rPr>
          <w:b w:val="false"/>
          <w:i/>
          <w:i/>
          <w:iCs/>
          <w:lang w:val="ru-RU"/>
        </w:rPr>
      </w:pPr>
      <w:bookmarkStart w:id="1" w:name="_Toc46743505"/>
      <w:bookmarkStart w:id="2" w:name="_Toc54643695"/>
      <w:r>
        <w:rPr>
          <w:lang w:val="ru-RU"/>
        </w:rPr>
        <w:t>Обозначения и сокращения</w:t>
      </w:r>
      <w:bookmarkEnd w:id="1"/>
      <w:bookmarkEnd w:id="2"/>
    </w:p>
    <w:p>
      <w:pPr>
        <w:pStyle w:val="Normal"/>
        <w:rPr>
          <w:rStyle w:val="Style8"/>
          <w:b w:val="false"/>
          <w:bCs/>
          <w:iCs/>
          <w:sz w:val="24"/>
          <w:szCs w:val="24"/>
        </w:rPr>
      </w:pPr>
      <w:r>
        <w:rPr>
          <w:b w:val="false"/>
          <w:bCs/>
          <w:iCs/>
          <w:sz w:val="24"/>
          <w:szCs w:val="24"/>
        </w:rPr>
      </w:r>
    </w:p>
    <w:tbl>
      <w:tblPr>
        <w:tblW w:w="978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3395"/>
        <w:gridCol w:w="6387"/>
      </w:tblGrid>
      <w:tr>
        <w:trPr>
          <w:cantSplit w:val="true"/>
        </w:trPr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rStyle w:val="Style8"/>
                <w:b w:val="false"/>
                <w:bCs/>
                <w:i w:val="false"/>
                <w:i w:val="false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en-US"/>
              </w:rPr>
              <w:t>Загорская ГАЭС</w:t>
            </w:r>
            <w:r>
              <w:rPr>
                <w:rFonts w:eastAsia="Calibri"/>
                <w:sz w:val="24"/>
                <w:szCs w:val="24"/>
              </w:rPr>
              <w:t xml:space="preserve"> </w:t>
            </w:r>
            <w:r>
              <w:rPr>
                <w:rStyle w:val="Style8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rStyle w:val="Style8"/>
                <w:b w:val="false"/>
                <w:bCs/>
                <w:i w:val="false"/>
                <w:i w:val="false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филиал ПАО «РусГидро» - «Загорская ГАЭС»</w:t>
            </w:r>
          </w:p>
        </w:tc>
      </w:tr>
      <w:tr>
        <w:trPr>
          <w:cantSplit w:val="true"/>
        </w:trPr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rPr>
                <w:rFonts w:eastAsia="Calibri"/>
                <w:sz w:val="24"/>
                <w:szCs w:val="24"/>
                <w:lang w:val="en-US"/>
              </w:rPr>
            </w:pPr>
            <w:r>
              <w:rPr>
                <w:rFonts w:eastAsia="Calibri"/>
                <w:sz w:val="24"/>
                <w:szCs w:val="24"/>
                <w:lang w:val="en-US"/>
              </w:rPr>
              <w:t>Мероприятие</w:t>
            </w:r>
          </w:p>
        </w:tc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rPr>
                <w:rFonts w:eastAsia="Calibri"/>
                <w:sz w:val="24"/>
                <w:szCs w:val="24"/>
              </w:rPr>
            </w:pPr>
            <w:r>
              <w:rPr>
                <w:sz w:val="24"/>
                <w:szCs w:val="24"/>
              </w:rPr>
              <w:t>корпоративное мероприятие – новогоднее представление для детей работников Филиала ПАО «РусГидро» - «Загорская ГАЭС»</w:t>
            </w:r>
          </w:p>
        </w:tc>
      </w:tr>
    </w:tbl>
    <w:p>
      <w:pPr>
        <w:pStyle w:val="Heading4"/>
        <w:numPr>
          <w:ilvl w:val="1"/>
          <w:numId w:val="7"/>
        </w:numPr>
        <w:suppressAutoHyphens w:val="false"/>
        <w:ind w:left="432" w:hanging="148"/>
        <w:rPr>
          <w:b w:val="false"/>
          <w:i/>
          <w:i/>
          <w:iCs/>
          <w:lang w:val="ru-RU"/>
        </w:rPr>
      </w:pPr>
      <w:bookmarkStart w:id="3" w:name="_Toc54643455"/>
      <w:r>
        <w:rPr>
          <w:lang w:val="ru-RU"/>
        </w:rPr>
        <w:t xml:space="preserve">Наименование </w:t>
      </w:r>
      <w:bookmarkEnd w:id="3"/>
      <w:r>
        <w:rPr>
          <w:lang w:val="ru-RU"/>
        </w:rPr>
        <w:t>закупаемой продукции</w:t>
      </w:r>
    </w:p>
    <w:p>
      <w:pPr>
        <w:pStyle w:val="Normal"/>
        <w:keepNext w:val="true"/>
        <w:keepLines/>
        <w:ind w:firstLine="426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ОКПД2 93.29.29 Оказание услуг по организации и проведению корпоративного мероприятия – новогоднего представления для детей работников Филиала ПАО «РусГидро» - «Загорская ГАЭС».</w:t>
      </w:r>
    </w:p>
    <w:p>
      <w:pPr>
        <w:pStyle w:val="Normal"/>
        <w:keepNext w:val="true"/>
        <w:keepLines/>
        <w:ind w:firstLine="426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</w:r>
    </w:p>
    <w:p>
      <w:pPr>
        <w:pStyle w:val="Heading4"/>
        <w:numPr>
          <w:ilvl w:val="1"/>
          <w:numId w:val="7"/>
        </w:numPr>
        <w:suppressAutoHyphens w:val="false"/>
        <w:ind w:left="432" w:hanging="148"/>
        <w:rPr>
          <w:b w:val="false"/>
          <w:i/>
          <w:i/>
          <w:iCs/>
          <w:lang w:val="ru-RU"/>
        </w:rPr>
      </w:pPr>
      <w:bookmarkStart w:id="4" w:name="_Toc48062860"/>
      <w:r>
        <w:rPr>
          <w:lang w:val="ru-RU"/>
        </w:rPr>
        <w:t xml:space="preserve">Цель </w:t>
      </w:r>
      <w:bookmarkEnd w:id="4"/>
      <w:r>
        <w:rPr>
          <w:lang w:val="ru-RU"/>
        </w:rPr>
        <w:t>оказания услуг</w:t>
      </w:r>
    </w:p>
    <w:p>
      <w:pPr>
        <w:pStyle w:val="Normal"/>
        <w:ind w:firstLine="426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Показ новогоднего представления для детей работников Загорской ГАЭС. </w:t>
      </w:r>
    </w:p>
    <w:p>
      <w:pPr>
        <w:pStyle w:val="Normal"/>
        <w:ind w:firstLine="426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</w:r>
    </w:p>
    <w:p>
      <w:pPr>
        <w:pStyle w:val="ListParagraph"/>
        <w:numPr>
          <w:ilvl w:val="1"/>
          <w:numId w:val="7"/>
        </w:numPr>
        <w:tabs>
          <w:tab w:val="clear" w:pos="708"/>
          <w:tab w:val="left" w:pos="993" w:leader="none"/>
        </w:tabs>
        <w:ind w:left="432" w:hanging="6"/>
        <w:jc w:val="both"/>
        <w:rPr>
          <w:b/>
          <w:lang w:val="en-US"/>
        </w:rPr>
      </w:pPr>
      <w:r>
        <w:rPr>
          <w:b/>
          <w:lang w:val="en-US"/>
        </w:rPr>
        <w:t>Существующее положение</w:t>
      </w:r>
    </w:p>
    <w:p>
      <w:pPr>
        <w:pStyle w:val="ListParagraph"/>
        <w:ind w:left="0" w:firstLine="432"/>
        <w:jc w:val="both"/>
        <w:rPr/>
      </w:pPr>
      <w:r>
        <w:rPr/>
        <w:t>Ежегодное новогоднее представление для детей работников Загорской ГАЭС – это корпоративная традиция, которая способствует укреплению командного духа, созданию праздничной атмосферы и формированию позитивного образа предприятия как ответственного работодателя. Ожидаемое число участников Мероприятия: 200 чел.</w:t>
      </w:r>
    </w:p>
    <w:p>
      <w:pPr>
        <w:pStyle w:val="ListParagraph"/>
        <w:ind w:left="0" w:firstLine="432"/>
        <w:jc w:val="both"/>
        <w:rPr/>
      </w:pPr>
      <w:r>
        <w:rPr/>
      </w:r>
    </w:p>
    <w:p>
      <w:pPr>
        <w:pStyle w:val="ListParagraph"/>
        <w:numPr>
          <w:ilvl w:val="1"/>
          <w:numId w:val="7"/>
        </w:numPr>
        <w:tabs>
          <w:tab w:val="clear" w:pos="708"/>
          <w:tab w:val="left" w:pos="851" w:leader="none"/>
        </w:tabs>
        <w:ind w:left="0" w:firstLine="284"/>
        <w:jc w:val="both"/>
        <w:rPr>
          <w:b/>
        </w:rPr>
      </w:pPr>
      <w:r>
        <w:rPr>
          <w:b/>
        </w:rPr>
        <w:t xml:space="preserve">Информация в отношении исполнения договора, </w:t>
      </w:r>
      <w:bookmarkStart w:id="5" w:name="_Hlk46492347"/>
      <w:r>
        <w:rPr>
          <w:b/>
        </w:rPr>
        <w:t xml:space="preserve">которая должна быть учтена при </w:t>
      </w:r>
      <w:bookmarkEnd w:id="5"/>
      <w:r>
        <w:rPr>
          <w:b/>
        </w:rPr>
        <w:t>исполнении договора.</w:t>
      </w:r>
    </w:p>
    <w:p>
      <w:pPr>
        <w:pStyle w:val="ListParagraph"/>
        <w:ind w:left="0" w:firstLine="432"/>
        <w:jc w:val="both"/>
        <w:rPr/>
      </w:pPr>
      <w:r>
        <w:rPr/>
        <w:t>Заказчик предоставляет Исполнителю для оказания услуг новогодние подарочные наборы для раздачи участникам Мероприятия.</w:t>
      </w:r>
    </w:p>
    <w:p>
      <w:pPr>
        <w:pStyle w:val="ListParagraph"/>
        <w:ind w:left="432" w:hanging="0"/>
        <w:jc w:val="both"/>
        <w:rPr/>
      </w:pPr>
      <w:r>
        <w:rPr/>
      </w:r>
    </w:p>
    <w:p>
      <w:pPr>
        <w:pStyle w:val="ListParagraph"/>
        <w:ind w:left="432" w:hanging="0"/>
        <w:jc w:val="both"/>
        <w:rPr/>
      </w:pPr>
      <w:r>
        <w:rPr/>
      </w:r>
    </w:p>
    <w:p>
      <w:pPr>
        <w:pStyle w:val="Normal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</w:r>
      <w:r>
        <w:br w:type="page"/>
      </w:r>
    </w:p>
    <w:p>
      <w:pPr>
        <w:pStyle w:val="Heading1"/>
        <w:numPr>
          <w:ilvl w:val="0"/>
          <w:numId w:val="3"/>
        </w:numPr>
        <w:rPr/>
      </w:pPr>
      <w:r>
        <w:rPr>
          <w:lang w:val="en-US"/>
        </w:rPr>
        <w:t>Требования к продукции</w:t>
      </w:r>
    </w:p>
    <w:p>
      <w:pPr>
        <w:pStyle w:val="Normal"/>
        <w:ind w:firstLine="709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</w:r>
    </w:p>
    <w:p>
      <w:pPr>
        <w:pStyle w:val="Heading4"/>
        <w:numPr>
          <w:ilvl w:val="1"/>
          <w:numId w:val="3"/>
        </w:numPr>
        <w:tabs>
          <w:tab w:val="left" w:pos="0" w:leader="none"/>
          <w:tab w:val="left" w:pos="851" w:leader="none"/>
        </w:tabs>
        <w:spacing w:before="0" w:after="0"/>
        <w:ind w:left="284" w:firstLine="142"/>
        <w:rPr/>
      </w:pPr>
      <w:r>
        <w:rPr/>
        <w:t>Требования к объемам и срока</w:t>
      </w:r>
      <w:r>
        <w:rPr>
          <w:lang w:val="ru-RU"/>
        </w:rPr>
        <w:t>м</w:t>
      </w:r>
      <w:r>
        <w:rPr/>
        <w:t xml:space="preserve"> оказания услуг</w:t>
      </w:r>
    </w:p>
    <w:p>
      <w:pPr>
        <w:pStyle w:val="Heading3"/>
        <w:numPr>
          <w:ilvl w:val="2"/>
          <w:numId w:val="3"/>
        </w:numPr>
        <w:spacing w:before="0" w:after="0"/>
        <w:ind w:left="1224" w:hanging="798"/>
        <w:rPr>
          <w:bCs/>
        </w:rPr>
      </w:pPr>
      <w:r>
        <w:rPr>
          <w:bCs/>
        </w:rPr>
        <w:t>Требования к перечню и объему услуг</w:t>
      </w:r>
    </w:p>
    <w:p>
      <w:pPr>
        <w:pStyle w:val="Normal"/>
        <w:rPr>
          <w:lang w:val="x-none" w:eastAsia="x-none"/>
        </w:rPr>
      </w:pPr>
      <w:r>
        <w:rPr>
          <w:lang w:val="x-none" w:eastAsia="x-none"/>
        </w:rPr>
      </w:r>
    </w:p>
    <w:p>
      <w:pPr>
        <w:pStyle w:val="Style27"/>
        <w:numPr>
          <w:ilvl w:val="0"/>
          <w:numId w:val="0"/>
        </w:numPr>
        <w:spacing w:before="0" w:after="0"/>
        <w:jc w:val="left"/>
        <w:outlineLvl w:val="0"/>
        <w:rPr>
          <w:lang w:val="ru-RU"/>
        </w:rPr>
      </w:pPr>
      <w:bookmarkStart w:id="6" w:name="_Toc54643464"/>
      <w:bookmarkStart w:id="7" w:name="_Toc51921658"/>
      <w:r>
        <w:rPr/>
        <w:t>Таблица</w:t>
      </w:r>
      <w:r>
        <w:rPr>
          <w:lang w:val="ru-RU"/>
        </w:rPr>
        <w:t> 1</w:t>
      </w:r>
      <w:r>
        <w:rPr/>
        <w:t xml:space="preserve">. </w:t>
      </w:r>
      <w:r>
        <w:rPr>
          <w:lang w:val="ru-RU"/>
        </w:rPr>
        <w:t xml:space="preserve">Перечень и объем оказываемых </w:t>
      </w:r>
      <w:bookmarkEnd w:id="7"/>
      <w:r>
        <w:rPr>
          <w:lang w:val="ru-RU"/>
        </w:rPr>
        <w:t>услуг</w:t>
      </w:r>
      <w:bookmarkEnd w:id="6"/>
    </w:p>
    <w:p>
      <w:pPr>
        <w:pStyle w:val="Style27"/>
        <w:numPr>
          <w:ilvl w:val="0"/>
          <w:numId w:val="0"/>
        </w:numPr>
        <w:spacing w:before="0" w:after="0"/>
        <w:jc w:val="left"/>
        <w:outlineLvl w:val="0"/>
        <w:rPr>
          <w:lang w:val="ru-RU"/>
        </w:rPr>
      </w:pPr>
      <w:r>
        <w:rPr>
          <w:lang w:val="ru-RU"/>
        </w:rPr>
      </w:r>
    </w:p>
    <w:tbl>
      <w:tblPr>
        <w:tblW w:w="9698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0" w:val="0000" w:noHBand="0" w:lastColumn="0" w:firstColumn="0" w:lastRow="0" w:firstRow="0"/>
      </w:tblPr>
      <w:tblGrid>
        <w:gridCol w:w="738"/>
        <w:gridCol w:w="5845"/>
        <w:gridCol w:w="1383"/>
        <w:gridCol w:w="1731"/>
      </w:tblGrid>
      <w:tr>
        <w:trPr/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5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услуг 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</w:tr>
      <w:tr>
        <w:trPr/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ind w:left="0" w:hanging="0"/>
              <w:jc w:val="center"/>
              <w:rPr>
                <w:b/>
                <w:iCs/>
              </w:rPr>
            </w:pPr>
            <w:r>
              <w:rPr>
                <w:b/>
                <w:iCs/>
              </w:rPr>
              <w:t>1.</w:t>
            </w:r>
          </w:p>
        </w:tc>
        <w:tc>
          <w:tcPr>
            <w:tcW w:w="89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keepLines/>
              <w:widowControl w:val="false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ОКПД2 93.29.29 Оказание услуг по организации и проведению корпоративного мероприятия – новогоднего представления для детей работников Филиала ПАО «РусГидро» - «Загорская ГАЭС»</w:t>
            </w:r>
          </w:p>
          <w:p>
            <w:pPr>
              <w:pStyle w:val="Normal"/>
              <w:widowControl w:val="false"/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</w:r>
          </w:p>
        </w:tc>
      </w:tr>
      <w:tr>
        <w:trPr/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ind w:left="0" w:hanging="0"/>
              <w:jc w:val="center"/>
              <w:rPr>
                <w:iCs/>
                <w:lang w:val="en-US"/>
              </w:rPr>
            </w:pPr>
            <w:r>
              <w:rPr>
                <w:iCs/>
                <w:lang w:val="en-US"/>
              </w:rPr>
              <w:t>1.1.</w:t>
            </w:r>
          </w:p>
        </w:tc>
        <w:tc>
          <w:tcPr>
            <w:tcW w:w="5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Разработка сценария (программы) новогоднего представления</w:t>
            </w:r>
          </w:p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iCs/>
                <w:sz w:val="24"/>
                <w:szCs w:val="24"/>
                <w:lang w:val="en-US"/>
              </w:rPr>
            </w:pPr>
            <w:r>
              <w:rPr>
                <w:iCs/>
                <w:sz w:val="24"/>
                <w:szCs w:val="24"/>
                <w:lang w:val="en-US"/>
              </w:rPr>
              <w:t>усл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iCs/>
                <w:sz w:val="24"/>
                <w:szCs w:val="24"/>
                <w:lang w:val="en-US"/>
              </w:rPr>
            </w:pPr>
            <w:r>
              <w:rPr>
                <w:iCs/>
                <w:sz w:val="24"/>
                <w:szCs w:val="24"/>
                <w:lang w:val="en-US"/>
              </w:rPr>
              <w:t>1</w:t>
            </w:r>
          </w:p>
        </w:tc>
      </w:tr>
      <w:tr>
        <w:trPr/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ind w:left="0" w:hanging="0"/>
              <w:jc w:val="center"/>
              <w:rPr>
                <w:iCs/>
                <w:lang w:val="en-US"/>
              </w:rPr>
            </w:pPr>
            <w:r>
              <w:rPr>
                <w:iCs/>
                <w:lang w:val="en-US"/>
              </w:rPr>
              <w:t>1.2.</w:t>
            </w:r>
          </w:p>
        </w:tc>
        <w:tc>
          <w:tcPr>
            <w:tcW w:w="5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Проведение Мероприятия на площадке</w:t>
            </w:r>
          </w:p>
          <w:p>
            <w:pPr>
              <w:pStyle w:val="Normal"/>
              <w:widowControl w:val="false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iCs/>
                <w:sz w:val="24"/>
                <w:szCs w:val="24"/>
                <w:lang w:val="en-US"/>
              </w:rPr>
            </w:pPr>
            <w:r>
              <w:rPr>
                <w:iCs/>
                <w:sz w:val="24"/>
                <w:szCs w:val="24"/>
                <w:lang w:val="en-US"/>
              </w:rPr>
              <w:t>ч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iCs/>
                <w:sz w:val="24"/>
                <w:szCs w:val="24"/>
                <w:lang w:val="en-US"/>
              </w:rPr>
            </w:pPr>
            <w:r>
              <w:rPr>
                <w:iCs/>
                <w:sz w:val="24"/>
                <w:szCs w:val="24"/>
                <w:lang w:val="en-US"/>
              </w:rPr>
              <w:t>2</w:t>
            </w:r>
          </w:p>
        </w:tc>
      </w:tr>
    </w:tbl>
    <w:p>
      <w:pPr>
        <w:pStyle w:val="Style27"/>
        <w:numPr>
          <w:ilvl w:val="0"/>
          <w:numId w:val="0"/>
        </w:numPr>
        <w:spacing w:before="0" w:after="0"/>
        <w:jc w:val="left"/>
        <w:outlineLvl w:val="0"/>
        <w:rPr>
          <w:lang w:val="ru-RU"/>
        </w:rPr>
      </w:pPr>
      <w:r>
        <w:rPr>
          <w:lang w:val="ru-RU"/>
        </w:rPr>
      </w:r>
    </w:p>
    <w:p>
      <w:pPr>
        <w:pStyle w:val="Style27"/>
        <w:numPr>
          <w:ilvl w:val="0"/>
          <w:numId w:val="0"/>
        </w:numPr>
        <w:spacing w:before="0" w:after="0"/>
        <w:jc w:val="left"/>
        <w:outlineLvl w:val="0"/>
        <w:rPr>
          <w:lang w:val="ru-RU"/>
        </w:rPr>
      </w:pPr>
      <w:r>
        <w:rPr>
          <w:lang w:val="ru-RU"/>
        </w:rPr>
      </w:r>
    </w:p>
    <w:p>
      <w:pPr>
        <w:pStyle w:val="Heading3"/>
        <w:numPr>
          <w:ilvl w:val="2"/>
          <w:numId w:val="3"/>
        </w:numPr>
        <w:rPr/>
      </w:pPr>
      <w:r>
        <w:rPr/>
        <w:t>Требования к срокам оказания услуг</w:t>
      </w:r>
    </w:p>
    <w:p>
      <w:pPr>
        <w:pStyle w:val="Style27"/>
        <w:numPr>
          <w:ilvl w:val="0"/>
          <w:numId w:val="0"/>
        </w:numPr>
        <w:spacing w:before="0" w:after="0"/>
        <w:jc w:val="left"/>
        <w:outlineLvl w:val="0"/>
        <w:rPr>
          <w:lang w:val="ru-RU"/>
        </w:rPr>
      </w:pPr>
      <w:bookmarkStart w:id="8" w:name="_Toc54643466"/>
      <w:r>
        <w:rPr/>
        <w:t xml:space="preserve">Таблица </w:t>
      </w:r>
      <w:r>
        <w:rPr>
          <w:lang w:val="ru-RU"/>
        </w:rPr>
        <w:t>2.</w:t>
      </w:r>
      <w:r>
        <w:rPr/>
        <w:t xml:space="preserve"> Требования </w:t>
      </w:r>
      <w:r>
        <w:rPr>
          <w:lang w:val="ru-RU"/>
        </w:rPr>
        <w:t>к</w:t>
      </w:r>
      <w:r>
        <w:rPr/>
        <w:t xml:space="preserve"> срокам </w:t>
      </w:r>
      <w:r>
        <w:rPr>
          <w:lang w:val="ru-RU"/>
        </w:rPr>
        <w:t>оказания услуг</w:t>
      </w:r>
      <w:bookmarkEnd w:id="8"/>
    </w:p>
    <w:p>
      <w:pPr>
        <w:pStyle w:val="Style27"/>
        <w:numPr>
          <w:ilvl w:val="0"/>
          <w:numId w:val="0"/>
        </w:numPr>
        <w:spacing w:before="0" w:after="0"/>
        <w:jc w:val="left"/>
        <w:outlineLvl w:val="0"/>
        <w:rPr>
          <w:lang w:val="ru-RU"/>
        </w:rPr>
      </w:pPr>
      <w:r>
        <w:rPr>
          <w:lang w:val="ru-RU"/>
        </w:rPr>
      </w:r>
    </w:p>
    <w:tbl>
      <w:tblPr>
        <w:tblW w:w="9776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703"/>
        <w:gridCol w:w="4678"/>
        <w:gridCol w:w="2126"/>
        <w:gridCol w:w="2268"/>
      </w:tblGrid>
      <w:tr>
        <w:trPr/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8"/>
              <w:keepNext w:val="false"/>
              <w:widowControl w:val="fals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оказания услуг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28"/>
              <w:keepNext w:val="false"/>
              <w:widowControl w:val="fals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выполнения услуг</w:t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iCs/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val="en-US"/>
              </w:rPr>
              <w:t>1.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keepLines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ОКПД2 93.29.29 Оказание услуг по организации и проведению корпоративного мероприятия – новогоднего представления для детей работников Филиала ПАО «РусГидро» - «Загорская ГАЭС»</w:t>
            </w:r>
          </w:p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С даты заключения договора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  <w:lang w:val="en-US"/>
              </w:rPr>
              <w:t>04.01.2027</w:t>
            </w:r>
          </w:p>
          <w:p>
            <w:pPr>
              <w:pStyle w:val="Normal"/>
              <w:widowControl w:val="false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</w:r>
          </w:p>
        </w:tc>
      </w:tr>
    </w:tbl>
    <w:p>
      <w:pPr>
        <w:sectPr>
          <w:headerReference w:type="even" r:id="rId2"/>
          <w:headerReference w:type="default" r:id="rId3"/>
          <w:headerReference w:type="first" r:id="rId4"/>
          <w:footerReference w:type="default" r:id="rId5"/>
          <w:type w:val="nextPage"/>
          <w:pgSz w:w="11906" w:h="16838"/>
          <w:pgMar w:left="851" w:right="851" w:gutter="0" w:header="680" w:top="737" w:footer="737" w:bottom="992"/>
          <w:pgNumType w:fmt="decimal"/>
          <w:formProt w:val="false"/>
          <w:textDirection w:val="lrTb"/>
          <w:docGrid w:type="default" w:linePitch="381" w:charSpace="0"/>
        </w:sectPr>
        <w:pStyle w:val="Normal"/>
        <w:rPr>
          <w:lang w:val="x-none" w:eastAsia="x-none"/>
        </w:rPr>
      </w:pPr>
      <w:r>
        <w:rPr>
          <w:lang w:val="x-none" w:eastAsia="x-none"/>
        </w:rPr>
      </w:r>
    </w:p>
    <w:p>
      <w:pPr>
        <w:pStyle w:val="Heading4"/>
        <w:numPr>
          <w:ilvl w:val="1"/>
          <w:numId w:val="3"/>
        </w:numPr>
        <w:rPr/>
      </w:pPr>
      <w:r>
        <w:rPr/>
        <w:t>Требования к качеству услуг</w:t>
      </w:r>
    </w:p>
    <w:p>
      <w:pPr>
        <w:pStyle w:val="Normal"/>
        <w:jc w:val="both"/>
        <w:rPr>
          <w:rFonts w:eastAsia="Calibri"/>
          <w:b/>
          <w:sz w:val="24"/>
          <w:szCs w:val="24"/>
          <w:lang w:eastAsia="x-none"/>
        </w:rPr>
      </w:pPr>
      <w:r>
        <w:rPr>
          <w:rFonts w:eastAsia="Calibri"/>
          <w:b/>
          <w:sz w:val="24"/>
          <w:szCs w:val="24"/>
          <w:lang w:eastAsia="x-none"/>
        </w:rPr>
        <w:t>Таблица 3. Требования к качеству продукции</w:t>
      </w:r>
    </w:p>
    <w:p>
      <w:pPr>
        <w:pStyle w:val="Normal"/>
        <w:widowControl w:val="false"/>
        <w:jc w:val="both"/>
        <w:rPr>
          <w:rFonts w:eastAsia="Calibri"/>
          <w:sz w:val="24"/>
          <w:szCs w:val="24"/>
        </w:rPr>
      </w:pPr>
      <w:r>
        <w:rPr>
          <w:b/>
          <w:bCs/>
          <w:sz w:val="24"/>
          <w:szCs w:val="24"/>
        </w:rPr>
        <w:t xml:space="preserve">Наименование услуг (позиция № 1 Таблицы 1): </w:t>
      </w:r>
      <w:r>
        <w:rPr>
          <w:rFonts w:eastAsia="Calibri"/>
          <w:b/>
          <w:sz w:val="24"/>
          <w:szCs w:val="24"/>
        </w:rPr>
        <w:t>Оказание услуги по организации и проведению корпоративного PR-мероприятия, приуроченного ко Дню поселка Богородское.</w:t>
      </w:r>
    </w:p>
    <w:p>
      <w:pPr>
        <w:pStyle w:val="Normal"/>
        <w:rPr>
          <w:lang w:val="x-none" w:eastAsia="x-none"/>
        </w:rPr>
      </w:pPr>
      <w:r>
        <w:rPr>
          <w:lang w:val="x-none" w:eastAsia="x-none"/>
        </w:rPr>
      </w:r>
    </w:p>
    <w:tbl>
      <w:tblPr>
        <w:tblStyle w:val="affff9"/>
        <w:tblW w:w="15593" w:type="dxa"/>
        <w:jc w:val="left"/>
        <w:tblInd w:w="-572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851"/>
        <w:gridCol w:w="2368"/>
        <w:gridCol w:w="183"/>
        <w:gridCol w:w="5529"/>
        <w:gridCol w:w="1985"/>
        <w:gridCol w:w="2124"/>
        <w:gridCol w:w="2552"/>
      </w:tblGrid>
      <w:tr>
        <w:trPr/>
        <w:tc>
          <w:tcPr>
            <w:tcW w:w="851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2551" w:type="dxa"/>
            <w:gridSpan w:val="2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5529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Требование заказчика</w:t>
            </w:r>
          </w:p>
        </w:tc>
        <w:tc>
          <w:tcPr>
            <w:tcW w:w="4109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  <w:tc>
          <w:tcPr>
            <w:tcW w:w="255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Предложение участника по характеристикам и параметрам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851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551" w:type="dxa"/>
            <w:gridSpan w:val="2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5529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98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Согласие с требованием/ указание характеристик</w:t>
            </w:r>
          </w:p>
        </w:tc>
        <w:tc>
          <w:tcPr>
            <w:tcW w:w="212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55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2551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552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198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  <w:tc>
          <w:tcPr>
            <w:tcW w:w="212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255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8080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 xml:space="preserve">Требования к оказанию услуг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98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212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255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Cs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en-US" w:eastAsia="ru-RU" w:bidi="ar-SA"/>
              </w:rPr>
              <w:t>1.1.</w:t>
            </w:r>
          </w:p>
        </w:tc>
        <w:tc>
          <w:tcPr>
            <w:tcW w:w="8080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iCs/>
                <w:kern w:val="0"/>
                <w:sz w:val="24"/>
                <w:szCs w:val="24"/>
                <w:lang w:val="ru-RU" w:eastAsia="ru-RU" w:bidi="ar-SA"/>
              </w:rPr>
              <w:t>Оказание услуг по организации и проведению корпоративного мероприятия – новогоднего представления для детей работников Филиала ПАО «РусГидро» - «Загорская ГАЭС»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98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Cs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212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lang w:val="en-US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2552" w:type="dxa"/>
            <w:tcBorders/>
          </w:tcPr>
          <w:p>
            <w:pPr>
              <w:pStyle w:val="ListParagraph"/>
              <w:widowControl w:val="false"/>
              <w:suppressAutoHyphens w:val="true"/>
              <w:spacing w:before="0" w:after="0"/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rFonts w:cs="Times New Roman"/>
                <w:b/>
                <w:kern w:val="0"/>
                <w:sz w:val="22"/>
                <w:szCs w:val="22"/>
                <w:lang w:val="ru-RU" w:eastAsia="ru-RU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Cs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en-US" w:eastAsia="ru-RU" w:bidi="ar-SA"/>
              </w:rPr>
              <w:t>1.1.1.</w:t>
            </w:r>
          </w:p>
        </w:tc>
        <w:tc>
          <w:tcPr>
            <w:tcW w:w="2551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ru-RU" w:bidi="ar-SA"/>
              </w:rPr>
              <w:t xml:space="preserve">Разработка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сценария (программы) новогоднего представления</w:t>
            </w: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</w:p>
        </w:tc>
        <w:tc>
          <w:tcPr>
            <w:tcW w:w="552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ru-RU" w:bidi="ar-SA"/>
              </w:rPr>
              <w:t>Исполнитель своими силами разрабатывает сценарный план Мероприятия и согласовывает его с Заказчиком в письменном виде не позднее чем за 15 (пятнадцать) рабочих дней до даты проведения Мероприятия.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ru-RU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Cs/>
                <w:sz w:val="24"/>
                <w:szCs w:val="24"/>
                <w:u w:val="single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u w:val="single"/>
                <w:lang w:val="ru-RU" w:eastAsia="ru-RU" w:bidi="ar-SA"/>
              </w:rPr>
              <w:t>Программное наполнение Мероприятия: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 xml:space="preserve">Формат: детское театрализованное представление по оригинальному сценарию на </w:t>
            </w:r>
            <w:r>
              <w:rPr>
                <w:rFonts w:eastAsia="Times New Roman" w:cs="Times New Roman"/>
                <w:b/>
                <w:iCs/>
                <w:kern w:val="0"/>
                <w:sz w:val="24"/>
                <w:szCs w:val="24"/>
                <w:lang w:val="ru-RU" w:eastAsia="ru-RU" w:bidi="ar-SA"/>
              </w:rPr>
              <w:t>новогоднюю тематику.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Целевая аудитория: дети работников 5–14 лет (по приглашению Заказчика).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Сюжетная основа: единая история с обязательным интерактивным вовлечением зрителей.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Сценография и постановка: наличие декораций, музыкального сопровождения, танцевальных номеров и песен (в соответствии со сценарием).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Костюмы: все исполнители выступают в сценических образах.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Обязательные персонажи: Дед Мороз и Снегурочка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98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Cs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12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2552" w:type="dxa"/>
            <w:tcBorders/>
          </w:tcPr>
          <w:p>
            <w:pPr>
              <w:pStyle w:val="ListParagraph"/>
              <w:widowControl w:val="false"/>
              <w:suppressAutoHyphens w:val="true"/>
              <w:spacing w:before="0" w:after="0"/>
              <w:contextualSpacing/>
              <w:jc w:val="left"/>
              <w:rPr>
                <w:b/>
                <w:bCs/>
                <w:lang w:val="en-US"/>
              </w:rPr>
            </w:pPr>
            <w:r>
              <w:rPr>
                <w:rFonts w:cs="Times New Roman"/>
                <w:b/>
                <w:bCs/>
                <w:kern w:val="0"/>
                <w:lang w:val="en-US" w:eastAsia="ru-RU" w:bidi="ar-SA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Cs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en-US" w:eastAsia="ru-RU" w:bidi="ar-SA"/>
              </w:rPr>
              <w:t>1.1.2.</w:t>
            </w:r>
          </w:p>
        </w:tc>
        <w:tc>
          <w:tcPr>
            <w:tcW w:w="2551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val="en-US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n-US" w:eastAsia="ru-RU" w:bidi="ar-SA"/>
              </w:rPr>
              <w:t>Проведение Мероприятия на площадке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552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Cs/>
                <w:sz w:val="24"/>
                <w:szCs w:val="24"/>
                <w:u w:val="single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u w:val="single"/>
                <w:lang w:val="ru-RU" w:eastAsia="ru-RU" w:bidi="ar-SA"/>
              </w:rPr>
              <w:t>Продолжительность Мероприятия:</w:t>
            </w:r>
          </w:p>
          <w:p>
            <w:pPr>
              <w:pStyle w:val="Normal"/>
              <w:widowControl w:val="false"/>
              <w:suppressAutoHyphens w:val="false"/>
              <w:spacing w:before="0" w:after="0"/>
              <w:jc w:val="both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</w:r>
          </w:p>
          <w:p>
            <w:pPr>
              <w:pStyle w:val="Normal"/>
              <w:widowControl w:val="false"/>
              <w:suppressAutoHyphens w:val="false"/>
              <w:spacing w:before="0" w:after="0"/>
              <w:jc w:val="left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От 60 до 90 минут – основное представление (новогодний спектакль). В случае если продолжительность постановки превышает 60 минут, необходимо предусмотреть антракт продолжительностью 5-10 минут.</w:t>
            </w:r>
          </w:p>
          <w:p>
            <w:pPr>
              <w:pStyle w:val="Normal"/>
              <w:widowControl w:val="false"/>
              <w:suppressAutoHyphens w:val="false"/>
              <w:spacing w:before="0" w:after="0"/>
              <w:jc w:val="left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</w:r>
          </w:p>
          <w:p>
            <w:pPr>
              <w:pStyle w:val="Normal"/>
              <w:widowControl w:val="false"/>
              <w:suppressAutoHyphens w:val="false"/>
              <w:spacing w:before="0" w:after="0"/>
              <w:jc w:val="left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От 10 до 20 минут – тематическая игровая программа перед началом или после новогоднего представления. С гостями Мероприятия взаимодействуют не менее 2 (двух) артистов, переодетых в костюмы сказочных персонажей. Персонажи в тематических костюмах развлекают детей, фотографируются, создают праздничную атмосферу.</w:t>
            </w:r>
          </w:p>
          <w:p>
            <w:pPr>
              <w:pStyle w:val="Normal"/>
              <w:widowControl w:val="false"/>
              <w:suppressAutoHyphens w:val="false"/>
              <w:spacing w:before="0" w:after="0"/>
              <w:jc w:val="left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</w:r>
          </w:p>
          <w:p>
            <w:pPr>
              <w:pStyle w:val="Normal"/>
              <w:widowControl w:val="false"/>
              <w:suppressAutoHyphens w:val="false"/>
              <w:spacing w:before="0" w:after="0"/>
              <w:jc w:val="left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От 5 до 15 минут – вручение подарков участникам Мероприятия. Подарки вручают артисты, переодеты в костюмы Деда Мороза и Снегурочки. Подарки предоставляет Заказчик.</w:t>
            </w:r>
          </w:p>
          <w:p>
            <w:pPr>
              <w:pStyle w:val="Normal"/>
              <w:widowControl w:val="false"/>
              <w:suppressAutoHyphens w:val="false"/>
              <w:spacing w:before="0" w:after="0"/>
              <w:jc w:val="left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</w:r>
          </w:p>
          <w:p>
            <w:pPr>
              <w:pStyle w:val="Normal"/>
              <w:widowControl w:val="false"/>
              <w:suppressAutoHyphens w:val="false"/>
              <w:spacing w:before="0" w:after="0"/>
              <w:jc w:val="left"/>
              <w:rPr>
                <w:iCs/>
                <w:sz w:val="24"/>
                <w:szCs w:val="24"/>
                <w:u w:val="single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u w:val="single"/>
                <w:lang w:val="ru-RU" w:eastAsia="ru-RU" w:bidi="ar-SA"/>
              </w:rPr>
              <w:t>Требования к площадке для проведения Мероприятия:</w:t>
            </w:r>
          </w:p>
          <w:p>
            <w:pPr>
              <w:pStyle w:val="Normal"/>
              <w:widowControl w:val="false"/>
              <w:suppressAutoHyphens w:val="false"/>
              <w:spacing w:before="0" w:after="0"/>
              <w:jc w:val="left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</w:r>
          </w:p>
          <w:p>
            <w:pPr>
              <w:pStyle w:val="Normal"/>
              <w:widowControl w:val="false"/>
              <w:suppressAutoHyphens w:val="false"/>
              <w:spacing w:before="0" w:after="0"/>
              <w:jc w:val="left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Для проведения Мероприятия Исполнитель осуществляет подбор и предоставляет помещение (зал) общей площадью не менее 250 кв.м.</w:t>
            </w:r>
          </w:p>
          <w:p>
            <w:pPr>
              <w:pStyle w:val="Normal"/>
              <w:widowControl w:val="false"/>
              <w:suppressAutoHyphens w:val="false"/>
              <w:spacing w:before="0" w:after="0"/>
              <w:jc w:val="left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Вместимость помещения (зала) – не менее 200 посадочных мест (стулья/кресла). Исполнитель обязуется обеспечить посадочные места для участников Мероприятия. Рассадка в помещении (зале) театральная.</w:t>
            </w:r>
          </w:p>
          <w:p>
            <w:pPr>
              <w:pStyle w:val="Normal"/>
              <w:widowControl w:val="false"/>
              <w:suppressAutoHyphens w:val="false"/>
              <w:spacing w:before="0" w:after="0"/>
              <w:jc w:val="left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</w:r>
          </w:p>
          <w:p>
            <w:pPr>
              <w:pStyle w:val="Normal"/>
              <w:widowControl w:val="false"/>
              <w:suppressAutoHyphens w:val="false"/>
              <w:spacing w:before="0" w:after="0"/>
              <w:jc w:val="left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 xml:space="preserve">Предоставляемое помещение должно располагаться на территории Сергиево-Посадского городского округа Московской области. </w:t>
            </w:r>
          </w:p>
          <w:p>
            <w:pPr>
              <w:pStyle w:val="Normal"/>
              <w:widowControl w:val="false"/>
              <w:suppressAutoHyphens w:val="false"/>
              <w:spacing w:before="0" w:after="0"/>
              <w:jc w:val="left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</w:r>
          </w:p>
          <w:p>
            <w:pPr>
              <w:pStyle w:val="Normal"/>
              <w:widowControl w:val="false"/>
              <w:suppressAutoHyphens w:val="false"/>
              <w:spacing w:before="0" w:after="0"/>
              <w:jc w:val="left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 xml:space="preserve">К площадке должен быть предусмотрен подъезд на личном автотранспорте. Приветствуется наличие автомобильной парковки для гостей Мероприятия. </w:t>
            </w:r>
          </w:p>
          <w:p>
            <w:pPr>
              <w:pStyle w:val="Normal"/>
              <w:widowControl w:val="false"/>
              <w:suppressAutoHyphens w:val="false"/>
              <w:spacing w:before="0" w:after="0"/>
              <w:jc w:val="left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Площадка должна быть расположена в пешей доступности от остановки общественного транспорта (не более 800 метров от остановки общественного транспорта).</w:t>
            </w:r>
          </w:p>
          <w:p>
            <w:pPr>
              <w:pStyle w:val="Normal"/>
              <w:widowControl w:val="false"/>
              <w:suppressAutoHyphens w:val="false"/>
              <w:spacing w:before="0" w:after="0"/>
              <w:jc w:val="left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</w:r>
          </w:p>
          <w:p>
            <w:pPr>
              <w:pStyle w:val="Normal"/>
              <w:widowControl w:val="false"/>
              <w:suppressAutoHyphens w:val="false"/>
              <w:spacing w:before="0" w:after="0"/>
              <w:jc w:val="left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Площадка должна отвечать техническим нормам общественной и пожарной безопасности для проведения Мероприятия.</w:t>
            </w:r>
          </w:p>
          <w:p>
            <w:pPr>
              <w:pStyle w:val="Normal"/>
              <w:widowControl w:val="false"/>
              <w:suppressAutoHyphens w:val="false"/>
              <w:spacing w:before="0" w:after="0"/>
              <w:jc w:val="left"/>
              <w:rPr>
                <w:iCs/>
                <w:sz w:val="24"/>
                <w:szCs w:val="24"/>
                <w:u w:val="single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u w:val="single"/>
                <w:lang w:val="ru-RU" w:eastAsia="ru-RU" w:bidi="ar-SA"/>
              </w:rPr>
            </w:r>
          </w:p>
          <w:p>
            <w:pPr>
              <w:pStyle w:val="Normal"/>
              <w:widowControl w:val="false"/>
              <w:suppressAutoHyphens w:val="false"/>
              <w:spacing w:before="0" w:after="0"/>
              <w:jc w:val="left"/>
              <w:rPr>
                <w:iCs/>
                <w:sz w:val="24"/>
                <w:szCs w:val="24"/>
                <w:u w:val="single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u w:val="single"/>
                <w:lang w:val="ru-RU" w:eastAsia="ru-RU" w:bidi="ar-SA"/>
              </w:rPr>
              <w:t>Требования к художественно-декорационному оформлению площадки для проведения Мероприятия</w:t>
            </w:r>
          </w:p>
          <w:p>
            <w:pPr>
              <w:pStyle w:val="Normal"/>
              <w:widowControl w:val="false"/>
              <w:suppressAutoHyphens w:val="false"/>
              <w:spacing w:before="0" w:after="0"/>
              <w:jc w:val="left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В зоне проведения Мероприятия должна быть установлена искусственная новогодняя елка зеленого или синего цвета высотой не менее 2,5 метров.</w:t>
            </w:r>
          </w:p>
          <w:p>
            <w:pPr>
              <w:pStyle w:val="Normal"/>
              <w:widowControl w:val="false"/>
              <w:suppressAutoHyphens w:val="false"/>
              <w:spacing w:before="0" w:after="0"/>
              <w:jc w:val="left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Елка должна быть украшена светодиодными гирляндами и новогодними елочными игрушками (шары, банты, бусы, т.п.)</w:t>
            </w:r>
          </w:p>
          <w:p>
            <w:pPr>
              <w:pStyle w:val="Normal"/>
              <w:widowControl w:val="false"/>
              <w:suppressAutoHyphens w:val="false"/>
              <w:spacing w:before="0" w:after="0"/>
              <w:jc w:val="left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В зоне проведения Мероприятия Исполнитель обеспечивает изготовление и размещение не менее 2 (двух) тематических дизайнерских фотозон с изображением зимнего пейзажа или изображением, соответствующим тематике новогоднего представления.</w:t>
            </w:r>
          </w:p>
          <w:p>
            <w:pPr>
              <w:pStyle w:val="Normal"/>
              <w:widowControl w:val="false"/>
              <w:suppressAutoHyphens w:val="false"/>
              <w:spacing w:before="0" w:after="0"/>
              <w:jc w:val="left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</w:r>
          </w:p>
          <w:p>
            <w:pPr>
              <w:pStyle w:val="Normal"/>
              <w:widowControl w:val="false"/>
              <w:suppressAutoHyphens w:val="false"/>
              <w:spacing w:before="0" w:after="0"/>
              <w:jc w:val="left"/>
              <w:rPr>
                <w:iCs/>
                <w:sz w:val="24"/>
                <w:szCs w:val="24"/>
                <w:u w:val="single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u w:val="single"/>
                <w:lang w:val="ru-RU" w:eastAsia="ru-RU" w:bidi="ar-SA"/>
              </w:rPr>
              <w:t>Требования к техническому, световому и музыкальному обеспечению Мероприятия</w:t>
            </w:r>
          </w:p>
          <w:p>
            <w:pPr>
              <w:pStyle w:val="Normal"/>
              <w:widowControl w:val="false"/>
              <w:suppressAutoHyphens w:val="false"/>
              <w:spacing w:before="0" w:after="0"/>
              <w:jc w:val="left"/>
              <w:rPr>
                <w:iCs/>
                <w:sz w:val="24"/>
                <w:szCs w:val="24"/>
                <w:u w:val="single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u w:val="single"/>
                <w:lang w:val="ru-RU" w:eastAsia="ru-RU" w:bidi="ar-SA"/>
              </w:rPr>
            </w:r>
          </w:p>
          <w:p>
            <w:pPr>
              <w:pStyle w:val="Normal"/>
              <w:widowControl w:val="false"/>
              <w:suppressAutoHyphens w:val="false"/>
              <w:spacing w:before="0" w:after="0"/>
              <w:jc w:val="left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 xml:space="preserve">Исполнитель своими силами обеспечивает предоставление, транспортировку, монтаж, обслуживание и демонтаж светового и музыкального оборудования. Световое и звуковое оборудование должно соответствовать размерам зала для проведения Мероприятия. </w:t>
            </w:r>
          </w:p>
          <w:p>
            <w:pPr>
              <w:pStyle w:val="Normal"/>
              <w:widowControl w:val="false"/>
              <w:suppressAutoHyphens w:val="false"/>
              <w:spacing w:before="0" w:after="0"/>
              <w:jc w:val="left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</w:r>
          </w:p>
          <w:p>
            <w:pPr>
              <w:pStyle w:val="Normal"/>
              <w:widowControl w:val="false"/>
              <w:suppressAutoHyphens w:val="false"/>
              <w:spacing w:before="0" w:after="0"/>
              <w:jc w:val="left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Исполнитель обеспечивает работу профессионального звукорежиссер/звукооператора. Исполнитель предоставляет профессиональное звуковое оборудование, технические параметры которого соответствуют предоставляемой площадке комплект проводных и беспроводных микрофонов, акустическая система (саттелиты на стойках и саббуферы), ноутбук, цифровой микшерный пульт.</w:t>
            </w:r>
          </w:p>
          <w:p>
            <w:pPr>
              <w:pStyle w:val="Normal"/>
              <w:widowControl w:val="false"/>
              <w:suppressAutoHyphens w:val="false"/>
              <w:spacing w:before="0" w:after="0"/>
              <w:jc w:val="left"/>
              <w:rPr>
                <w:iCs/>
                <w:sz w:val="24"/>
                <w:szCs w:val="24"/>
              </w:rPr>
            </w:pPr>
            <w:bookmarkStart w:id="9" w:name="_GoBack"/>
            <w:bookmarkEnd w:id="9"/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</w:p>
          <w:p>
            <w:pPr>
              <w:pStyle w:val="Normal"/>
              <w:widowControl w:val="false"/>
              <w:suppressAutoHyphens w:val="false"/>
              <w:spacing w:before="0" w:after="0"/>
              <w:jc w:val="left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Исполнитель предоставляет и обеспечивает работу светового оборудования: пульт управления светом, не менее 3 (трех) вращающихся световых голов на стойках, комплект коммутации.</w:t>
            </w:r>
          </w:p>
          <w:p>
            <w:pPr>
              <w:pStyle w:val="Normal"/>
              <w:widowControl w:val="false"/>
              <w:suppressAutoHyphens w:val="false"/>
              <w:spacing w:before="0" w:after="0"/>
              <w:jc w:val="left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Исполнитель предоставляет материалы, реквизит и оборудование для проведения интерактивных элементов программы Мероприятия в соответствии со сценарным планом.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98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Cs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12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2552" w:type="dxa"/>
            <w:tcBorders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left="1494" w:hanging="0"/>
              <w:contextualSpacing/>
              <w:jc w:val="left"/>
              <w:rPr>
                <w:b/>
              </w:rPr>
            </w:pPr>
            <w:r>
              <w:rPr>
                <w:rFonts w:cs="Times New Roman"/>
                <w:b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0" w:after="0"/>
              <w:contextualSpacing/>
              <w:jc w:val="center"/>
              <w:rPr>
                <w:iCs/>
                <w:lang w:val="en-US"/>
              </w:rPr>
            </w:pPr>
            <w:r>
              <w:rPr>
                <w:rFonts w:cs="Times New Roman"/>
                <w:iCs/>
                <w:kern w:val="0"/>
                <w:lang w:val="en-US" w:eastAsia="ru-RU" w:bidi="ar-SA"/>
              </w:rPr>
            </w:r>
          </w:p>
        </w:tc>
        <w:tc>
          <w:tcPr>
            <w:tcW w:w="8080" w:type="dxa"/>
            <w:gridSpan w:val="3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eastAsia="Calibri"/>
                <w:b/>
                <w:sz w:val="24"/>
                <w:szCs w:val="24"/>
                <w:lang w:val="en-US"/>
              </w:rPr>
            </w:pPr>
            <w:r>
              <w:rPr>
                <w:rFonts w:eastAsia="Calibri" w:cs="Times New Roman"/>
                <w:b/>
                <w:kern w:val="0"/>
                <w:sz w:val="24"/>
                <w:szCs w:val="24"/>
                <w:lang w:val="en-US" w:eastAsia="ru-RU" w:bidi="ar-SA"/>
              </w:rPr>
              <w:t>Требования к результатам услуг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98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12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ind w:left="1134" w:hanging="0"/>
              <w:jc w:val="center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</w:r>
          </w:p>
        </w:tc>
        <w:tc>
          <w:tcPr>
            <w:tcW w:w="2552" w:type="dxa"/>
            <w:tcBorders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left="1494" w:hanging="0"/>
              <w:contextualSpacing/>
              <w:jc w:val="left"/>
              <w:rPr>
                <w:b/>
                <w:sz w:val="22"/>
                <w:szCs w:val="22"/>
              </w:rPr>
            </w:pPr>
            <w:r>
              <w:rPr>
                <w:rFonts w:cs="Times New Roman"/>
                <w:b/>
                <w:kern w:val="0"/>
                <w:sz w:val="22"/>
                <w:szCs w:val="22"/>
                <w:lang w:val="ru-RU" w:eastAsia="ru-RU" w:bidi="ar-SA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left="25" w:hanging="0"/>
              <w:contextualSpacing/>
              <w:jc w:val="left"/>
              <w:rPr>
                <w:lang w:val="en-US"/>
              </w:rPr>
            </w:pPr>
            <w:r>
              <w:rPr>
                <w:rFonts w:cs="Times New Roman"/>
                <w:kern w:val="0"/>
                <w:lang w:val="en-US" w:eastAsia="ru-RU" w:bidi="ar-SA"/>
              </w:rPr>
              <w:t>2.1.</w:t>
            </w:r>
          </w:p>
        </w:tc>
        <w:tc>
          <w:tcPr>
            <w:tcW w:w="8080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безопасности использования результата оказания услуг</w:t>
            </w:r>
          </w:p>
        </w:tc>
        <w:tc>
          <w:tcPr>
            <w:tcW w:w="1985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2124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2552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left="929" w:hanging="929"/>
              <w:contextualSpacing/>
              <w:jc w:val="left"/>
              <w:rPr>
                <w:lang w:val="en-US"/>
              </w:rPr>
            </w:pPr>
            <w:r>
              <w:rPr>
                <w:rFonts w:cs="Times New Roman"/>
                <w:kern w:val="0"/>
                <w:lang w:val="en-US" w:eastAsia="ru-RU" w:bidi="ar-SA"/>
              </w:rPr>
              <w:t>2.1.1</w:t>
            </w:r>
          </w:p>
        </w:tc>
        <w:tc>
          <w:tcPr>
            <w:tcW w:w="236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 xml:space="preserve">Требования к обеспечению безопасности при оказании услуг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5712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Исполнитель несет ответственность за соблюдение правил техники безопасности, пожарной безопасности, установленных законодательством.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 целях обеспечения безопасности каждого ребенка на Мероприятии сопровождает как минимум 1 (один) взрослый (близкий родственник).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985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124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255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lang w:val="en-US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n-US" w:eastAsia="ru-RU" w:bidi="ar-SA"/>
              </w:rPr>
              <w:t>2.2.</w:t>
            </w:r>
          </w:p>
        </w:tc>
        <w:tc>
          <w:tcPr>
            <w:tcW w:w="8080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документации, описывающей результат оказания услуг</w:t>
            </w:r>
          </w:p>
        </w:tc>
        <w:tc>
          <w:tcPr>
            <w:tcW w:w="1985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2124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2552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2.2.1</w:t>
            </w:r>
          </w:p>
        </w:tc>
        <w:tc>
          <w:tcPr>
            <w:tcW w:w="236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 xml:space="preserve">Документы, передаваемые заказчику по результатам оказанных услуг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5712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Исполнитель передает Заказчику акт приемки-сдачи оказанных услуг в 2 (двух) экземплярах в течение 3 (трех) рабочих дней с даты проведения Мероприятия.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98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124" w:type="dxa"/>
            <w:tcBorders/>
          </w:tcPr>
          <w:p>
            <w:pPr>
              <w:pStyle w:val="Style27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jc w:val="left"/>
              <w:outlineLvl w:val="2"/>
              <w:rPr>
                <w:lang w:val="ru-RU"/>
              </w:rPr>
            </w:pPr>
            <w:r>
              <w:rPr>
                <w:rFonts w:eastAsia="Times New Roman" w:cs="Times New Roman"/>
                <w:b w:val="false"/>
                <w:kern w:val="0"/>
                <w:sz w:val="22"/>
                <w:szCs w:val="22"/>
                <w:lang w:val="en-US" w:eastAsia="ru-RU" w:bidi="ar-SA"/>
              </w:rPr>
              <w:t>-</w:t>
            </w:r>
          </w:p>
        </w:tc>
        <w:tc>
          <w:tcPr>
            <w:tcW w:w="2552" w:type="dxa"/>
            <w:tcBorders/>
          </w:tcPr>
          <w:p>
            <w:pPr>
              <w:pStyle w:val="Style27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jc w:val="left"/>
              <w:outlineLvl w:val="2"/>
              <w:rPr>
                <w:rFonts w:eastAsia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</w:tr>
    </w:tbl>
    <w:p>
      <w:pPr>
        <w:pStyle w:val="Normal"/>
        <w:rPr>
          <w:lang w:val="x-none" w:eastAsia="x-none"/>
        </w:rPr>
      </w:pPr>
      <w:r>
        <w:rPr/>
      </w:r>
    </w:p>
    <w:sectPr>
      <w:headerReference w:type="default" r:id="rId6"/>
      <w:headerReference w:type="first" r:id="rId7"/>
      <w:footerReference w:type="default" r:id="rId8"/>
      <w:footerReference w:type="first" r:id="rId9"/>
      <w:type w:val="nextPage"/>
      <w:pgSz w:orient="landscape" w:w="16838" w:h="11906"/>
      <w:pgMar w:left="992" w:right="737" w:gutter="0" w:header="680" w:top="851" w:footer="737" w:bottom="851"/>
      <w:pgNumType w:fmt="decimal"/>
      <w:formProt w:val="false"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162133867"/>
    </w:sdtPr>
    <w:sdtContent>
      <w:p>
        <w:pPr>
          <w:pStyle w:val="Foot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3</w:t>
        </w:r>
        <w:r>
          <w:rPr/>
          <w:fldChar w:fldCharType="end"/>
        </w:r>
      </w:p>
    </w:sdtContent>
  </w:sdt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1703013675"/>
    </w:sdtPr>
    <w:sdtContent>
      <w:p>
        <w:pPr>
          <w:pStyle w:val="Foot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8</w:t>
        </w:r>
        <w:r>
          <w:rPr/>
          <w:fldChar w:fldCharType="end"/>
        </w:r>
      </w:p>
    </w:sdtContent>
  </w:sdt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0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857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929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8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zh-TW" w:bidi="ar-SA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semiHidden="1" w:unhideWhenUsed="1"/>
    <w:lsdException w:name="footer" w:uiPriority="99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a2166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035e96"/>
    <w:pPr>
      <w:keepNext w:val="true"/>
      <w:numPr>
        <w:ilvl w:val="2"/>
        <w:numId w:val="3"/>
      </w:numPr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numPr>
        <w:ilvl w:val="0"/>
        <w:numId w:val="0"/>
      </w:numPr>
      <w:tabs>
        <w:tab w:val="clear" w:pos="708"/>
        <w:tab w:val="left" w:pos="0" w:leader="none"/>
      </w:tabs>
      <w:ind w:left="432" w:hanging="432"/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 w:customStyle="1">
    <w:name w:val="Символ сноски"/>
    <w:qFormat/>
    <w:rsid w:val="00d561d9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uiPriority w:val="99"/>
    <w:rsid w:val="006c2f3f"/>
    <w:rPr>
      <w:color w:val="0000FF"/>
      <w:u w:val="single"/>
    </w:rPr>
  </w:style>
  <w:style w:type="character" w:styleId="Annotationreference">
    <w:name w:val="annotation reference"/>
    <w:semiHidden/>
    <w:qFormat/>
    <w:rsid w:val="00b714b0"/>
    <w:rPr>
      <w:sz w:val="16"/>
      <w:szCs w:val="16"/>
    </w:rPr>
  </w:style>
  <w:style w:type="character" w:styleId="Strong">
    <w:name w:val="Strong"/>
    <w:uiPriority w:val="22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035e96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4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1"/>
    <w:qFormat/>
    <w:locked/>
    <w:rsid w:val="00d22f6d"/>
    <w:rPr>
      <w:sz w:val="28"/>
    </w:rPr>
  </w:style>
  <w:style w:type="character" w:styleId="Style5" w:customStyle="1">
    <w:name w:val="Текст сноски Знак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29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5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 w:customStyle="1">
    <w:name w:val="Символ концевой сноски"/>
    <w:qFormat/>
    <w:rsid w:val="003879d4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link w:val="18"/>
    <w:qFormat/>
    <w:rsid w:val="004a17ae"/>
    <w:rPr>
      <w:rFonts w:eastAsia="Calibri"/>
      <w:caps/>
      <w:sz w:val="28"/>
      <w:szCs w:val="28"/>
      <w:lang w:eastAsia="en-US"/>
    </w:rPr>
  </w:style>
  <w:style w:type="character" w:styleId="Style14" w:customStyle="1">
    <w:name w:val="Нижний колонтитул Знак"/>
    <w:basedOn w:val="DefaultParagraphFont"/>
    <w:uiPriority w:val="99"/>
    <w:qFormat/>
    <w:rsid w:val="006a59f6"/>
    <w:rPr>
      <w:sz w:val="28"/>
      <w:szCs w:val="28"/>
    </w:rPr>
  </w:style>
  <w:style w:type="character" w:styleId="Linenumber">
    <w:name w:val="line number"/>
    <w:qFormat/>
    <w:rPr/>
  </w:style>
  <w:style w:type="character" w:styleId="FollowedHyperlink">
    <w:name w:val="FollowedHyperlink"/>
    <w:basedOn w:val="DefaultParagraphFont"/>
    <w:semiHidden/>
    <w:unhideWhenUsed/>
    <w:rsid w:val="002d5454"/>
    <w:rPr>
      <w:color w:val="954F72" w:themeColor="followedHyperlink"/>
      <w:u w:val="single"/>
    </w:rPr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" w:customStyle="1">
    <w:name w:val="index heading11"/>
    <w:basedOn w:val="Title"/>
    <w:qFormat/>
    <w:pPr/>
    <w:rPr/>
  </w:style>
  <w:style w:type="paragraph" w:styleId="Caption111" w:customStyle="1">
    <w:name w:val="caption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" w:customStyle="1">
    <w:name w:val="index heading111"/>
    <w:basedOn w:val="Title"/>
    <w:qFormat/>
    <w:pPr/>
    <w:rPr/>
  </w:style>
  <w:style w:type="paragraph" w:styleId="Style17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18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19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rsid w:val="00d561d9"/>
    <w:pPr/>
    <w:rPr>
      <w:sz w:val="20"/>
      <w:szCs w:val="20"/>
    </w:rPr>
  </w:style>
  <w:style w:type="paragraph" w:styleId="13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2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4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0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uiPriority w:val="99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left="360" w:hanging="0"/>
    </w:pPr>
    <w:rPr>
      <w:sz w:val="24"/>
      <w:szCs w:val="24"/>
    </w:rPr>
  </w:style>
  <w:style w:type="paragraph" w:styleId="Footer">
    <w:name w:val="Footer"/>
    <w:basedOn w:val="Normal"/>
    <w:link w:val="Style14"/>
    <w:uiPriority w:val="99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left="283" w:hanging="0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qFormat/>
    <w:rsid w:val="0076353a"/>
    <w:pPr>
      <w:spacing w:before="0" w:after="120"/>
      <w:ind w:left="283" w:hanging="0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left="-567" w:right="-766" w:hanging="0"/>
      <w:jc w:val="center"/>
    </w:pPr>
    <w:rPr>
      <w:b/>
      <w:bCs/>
      <w:sz w:val="24"/>
      <w:szCs w:val="20"/>
    </w:rPr>
  </w:style>
  <w:style w:type="paragraph" w:styleId="Style21" w:customStyle="1">
    <w:name w:val="Подпункт"/>
    <w:basedOn w:val="Normal"/>
    <w:link w:val="11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left="1134" w:hanging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napToGrid w:val="false"/>
      <w:spacing w:before="240" w:after="120"/>
      <w:ind w:left="1134" w:hanging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c517de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6b6b70"/>
    <w:pPr>
      <w:ind w:left="280" w:hanging="0"/>
    </w:pPr>
    <w:rPr>
      <w:rFonts w:cs="Calibri" w:cstheme="minorHAnsi"/>
      <w:sz w:val="20"/>
      <w:szCs w:val="20"/>
    </w:rPr>
  </w:style>
  <w:style w:type="paragraph" w:styleId="Style22" w:customStyle="1">
    <w:name w:val="Раздел регламента"/>
    <w:basedOn w:val="Normal"/>
    <w:qFormat/>
    <w:rsid w:val="00e228fa"/>
    <w:pPr/>
    <w:rPr/>
  </w:style>
  <w:style w:type="paragraph" w:styleId="Style23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693883"/>
    <w:pPr>
      <w:spacing w:before="240" w:after="0"/>
    </w:pPr>
    <w:rPr>
      <w:rFonts w:cs="Calibri" w:cstheme="minorHAnsi"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5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left="196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left="84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6b6b70"/>
    <w:pPr>
      <w:tabs>
        <w:tab w:val="clear" w:pos="708"/>
        <w:tab w:val="left" w:pos="1120" w:leader="none"/>
        <w:tab w:val="right" w:pos="9911" w:leader="none"/>
      </w:tabs>
      <w:ind w:left="560" w:hanging="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4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111" w:customStyle="1">
    <w:name w:val="caption111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left="720" w:hanging="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 w:hanging="0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5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5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3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41" w:customStyle="1">
    <w:name w:val="Маркированный список 41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eastAsia="Calibri" w:ascii="Times New Roman" w:hAnsi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cs="Arial" w:eastAsia="Times New Roman"/>
      <w:color w:val="auto"/>
      <w:kern w:val="0"/>
      <w:sz w:val="20"/>
      <w:szCs w:val="20"/>
      <w:lang w:val="ru-RU" w:eastAsia="ru-RU" w:bidi="ar-SA"/>
    </w:rPr>
  </w:style>
  <w:style w:type="paragraph" w:styleId="34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6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left="1134" w:right="800" w:hanging="1134"/>
      <w:jc w:val="both"/>
    </w:pPr>
    <w:rPr>
      <w:rFonts w:ascii="Arial" w:hAnsi="Arial"/>
      <w:b/>
      <w:i/>
      <w:szCs w:val="20"/>
    </w:rPr>
  </w:style>
  <w:style w:type="paragraph" w:styleId="16" w:customStyle="1">
    <w:name w:val="Абзац списка1"/>
    <w:basedOn w:val="Normal"/>
    <w:qFormat/>
    <w:rsid w:val="00d22f6d"/>
    <w:pPr>
      <w:spacing w:lineRule="auto" w:line="276" w:before="0" w:after="200"/>
      <w:ind w:left="720" w:hanging="0"/>
      <w:contextualSpacing/>
    </w:pPr>
    <w:rPr>
      <w:rFonts w:ascii="Calibri" w:hAnsi="Calibri"/>
      <w:sz w:val="22"/>
      <w:szCs w:val="22"/>
      <w:lang w:eastAsia="en-US"/>
    </w:rPr>
  </w:style>
  <w:style w:type="paragraph" w:styleId="Style27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28" w:customStyle="1">
    <w:name w:val="Таблица шапка"/>
    <w:basedOn w:val="Normal"/>
    <w:qFormat/>
    <w:rsid w:val="00f64089"/>
    <w:pPr>
      <w:keepNext w:val="true"/>
      <w:spacing w:before="40" w:after="40"/>
      <w:ind w:left="57" w:right="57" w:hanging="0"/>
    </w:pPr>
    <w:rPr>
      <w:sz w:val="22"/>
      <w:szCs w:val="26"/>
    </w:rPr>
  </w:style>
  <w:style w:type="paragraph" w:styleId="Style29" w:customStyle="1">
    <w:name w:val="Подподпункт"/>
    <w:basedOn w:val="Style21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left="5104" w:hanging="567"/>
    </w:pPr>
    <w:rPr>
      <w:sz w:val="26"/>
      <w:szCs w:val="26"/>
      <w:lang w:val="ru-RU" w:eastAsia="ru-RU"/>
    </w:rPr>
  </w:style>
  <w:style w:type="paragraph" w:styleId="Style30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5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1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7" w:customStyle="1">
    <w:name w:val="Стиль Заголовок 1 + по ширине"/>
    <w:basedOn w:val="Heading1"/>
    <w:qFormat/>
    <w:rsid w:val="005773b2"/>
    <w:pPr>
      <w:keepLines/>
      <w:numPr>
        <w:ilvl w:val="0"/>
        <w:numId w:val="0"/>
      </w:numPr>
      <w:tabs>
        <w:tab w:val="clear" w:pos="708"/>
        <w:tab w:val="left" w:pos="567" w:leader="none"/>
      </w:tabs>
      <w:spacing w:before="480" w:after="240"/>
      <w:ind w:left="567" w:hanging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2" w:customStyle="1">
    <w:name w:val="Таблица текст"/>
    <w:basedOn w:val="Normal"/>
    <w:qFormat/>
    <w:rsid w:val="00343e95"/>
    <w:pPr>
      <w:spacing w:before="40" w:after="40"/>
      <w:ind w:left="57" w:right="57" w:hanging="0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8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left="0" w:hanging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left="112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left="140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left="168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ConsPlusCell" w:customStyle="1">
    <w:name w:val="ConsPlusCell"/>
    <w:uiPriority w:val="99"/>
    <w:qFormat/>
    <w:rsid w:val="0090702b"/>
    <w:pPr>
      <w:widowControl/>
      <w:suppressAutoHyphens w:val="true"/>
      <w:bidi w:val="0"/>
      <w:spacing w:before="0" w:after="0"/>
      <w:jc w:val="left"/>
    </w:pPr>
    <w:rPr>
      <w:rFonts w:ascii="Courier New" w:hAnsi="Courier New" w:cs="Courier New" w:eastAsia="Times New Roman"/>
      <w:color w:val="auto"/>
      <w:kern w:val="0"/>
      <w:sz w:val="20"/>
      <w:szCs w:val="20"/>
      <w:lang w:val="ru-RU" w:eastAsia="ru-RU" w:bidi="ar-SA"/>
    </w:rPr>
  </w:style>
  <w:style w:type="paragraph" w:styleId="Style33" w:customStyle="1">
    <w:name w:val="Содержимое врезки"/>
    <w:basedOn w:val="Normal"/>
    <w:qFormat/>
    <w:pPr/>
    <w:rPr/>
  </w:style>
  <w:style w:type="paragraph" w:styleId="Style34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35" w:customStyle="1">
    <w:name w:val="Заголовок таблицы"/>
    <w:basedOn w:val="Style34"/>
    <w:qFormat/>
    <w:pPr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numbering" w:styleId="19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9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b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header" Target="header4.xml"/><Relationship Id="rId7" Type="http://schemas.openxmlformats.org/officeDocument/2006/relationships/header" Target="header5.xml"/><Relationship Id="rId8" Type="http://schemas.openxmlformats.org/officeDocument/2006/relationships/footer" Target="footer2.xml"/><Relationship Id="rId9" Type="http://schemas.openxmlformats.org/officeDocument/2006/relationships/footer" Target="footer3.xml"/><Relationship Id="rId10" Type="http://schemas.openxmlformats.org/officeDocument/2006/relationships/numbering" Target="numbering.xml"/><Relationship Id="rId11" Type="http://schemas.openxmlformats.org/officeDocument/2006/relationships/fontTable" Target="fontTable.xml"/><Relationship Id="rId12" Type="http://schemas.openxmlformats.org/officeDocument/2006/relationships/settings" Target="settings.xml"/><Relationship Id="rId13" Type="http://schemas.openxmlformats.org/officeDocument/2006/relationships/theme" Target="theme/theme1.xml"/><Relationship Id="rId14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A171AA-397E-45E6-AB97-0185BA99F0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1949</TotalTime>
  <Application>AlterOffice/3.4.0.9$Linux_X86_64 LibreOffice_project/b8daf9e823b1a5463a2f48435ddc2e8696e7d4fc</Application>
  <AppVersion>15.0000</AppVersion>
  <Pages>4</Pages>
  <Words>942</Words>
  <Characters>6901</Characters>
  <CharactersWithSpaces>7722</CharactersWithSpaces>
  <Paragraphs>134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2021-04-04T11:05:00Z</dcterms:created>
  <dc:creator>Быстров Олег Геннадьевич</dc:creator>
  <dc:description/>
  <dc:language>ru-RU</dc:language>
  <cp:lastModifiedBy>Дремучева Ирина Александровна</cp:lastModifiedBy>
  <cp:lastPrinted>2006-07-26T14:04:00Z</cp:lastPrinted>
  <dcterms:modified xsi:type="dcterms:W3CDTF">2026-09-24T11:29:00Z</dcterms:modified>
  <cp:revision>260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