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customXml/_rels/item1.xml.rels" ContentType="application/vnd.openxmlformats-package.relationships+xml"/>
  <Override PartName="/customXml/item1.xml" ContentType="application/xml"/>
  <Override PartName="/customXml/itemProps1.xml" ContentType="application/vnd.openxmlformats-officedocument.customXmlProperties+xml"/>
  <Override PartName="/word/_rels/document.xml.rels" ContentType="application/vnd.openxmlformats-package.relationships+xml"/>
  <Override PartName="/word/header5.xml" ContentType="application/vnd.openxmlformats-officedocument.wordprocessingml.header+xml"/>
  <Override PartName="/word/footer3.xml" ContentType="application/vnd.openxmlformats-officedocument.wordprocessingml.foot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theme/theme1.xml" ContentType="application/vnd.openxmlformats-officedocument.theme+xml"/>
  <Override PartName="/word/document.xml" ContentType="application/vnd.openxmlformats-officedocument.wordprocessingml.document.main+xml"/>
  <Override PartName="/word/footer4.xml" ContentType="application/vnd.openxmlformats-officedocument.wordprocessingml.footer+xml"/>
  <Override PartName="/word/styles.xml" ContentType="application/vnd.openxmlformats-officedocument.wordprocessingml.styles+xml"/>
  <Override PartName="/word/footer1.xml" ContentType="application/vnd.openxmlformats-officedocument.wordprocessingml.footer+xml"/>
  <Override PartName="/word/header6.xml" ContentType="application/vnd.openxmlformats-officedocument.wordprocessingml.header+xml"/>
  <Override PartName="/word/footer7.xml" ContentType="application/vnd.openxmlformats-officedocument.wordprocessingml.footer+xml"/>
  <Override PartName="/word/numbering.xml" ContentType="application/vnd.openxmlformats-officedocument.wordprocessingml.numbering+xml"/>
  <Override PartName="/word/fontTable.xml" ContentType="application/vnd.openxmlformats-officedocument.wordprocessingml.fontTable+xml"/>
  <Override PartName="/word/header2.xml" ContentType="application/vnd.openxmlformats-officedocument.wordprocessingml.header+xml"/>
  <Override PartName="/word/header7.xml" ContentType="application/vnd.openxmlformats-officedocument.wordprocessingml.header+xml"/>
  <Override PartName="/word/footer2.xml" ContentType="application/vnd.openxmlformats-officedocument.wordprocessingml.footer+xml"/>
  <Override PartName="/word/settings.xml" ContentType="application/vnd.openxmlformats-officedocument.wordprocessingml.settings+xml"/>
  <Override PartName="/word/header1.xml" ContentType="application/vnd.openxmlformats-officedocument.wordprocessingml.header+xml"/>
  <Override PartName="/word/footer6.xml" ContentType="application/vnd.openxmlformats-officedocument.wordprocessingml.footer+xml"/>
  <Override PartName="/word/footer5.xml" ContentType="application/vnd.openxmlformats-officedocument.wordprocessingml.footer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Normal"/>
        <w:keepNext w:val="true"/>
        <w:keepLines/>
        <w:jc w:val="right"/>
        <w:rPr>
          <w:b/>
          <w:bCs/>
          <w:sz w:val="26"/>
          <w:szCs w:val="26"/>
        </w:rPr>
      </w:pPr>
      <w:r>
        <w:rPr>
          <w:b/>
          <w:bCs/>
          <w:sz w:val="26"/>
          <w:szCs w:val="26"/>
        </w:rPr>
      </w:r>
    </w:p>
    <w:p>
      <w:pPr>
        <w:pStyle w:val="Normal"/>
        <w:keepNext w:val="true"/>
        <w:keepLines/>
        <w:rPr>
          <w:sz w:val="26"/>
          <w:szCs w:val="26"/>
        </w:rPr>
      </w:pPr>
      <w:r>
        <w:rPr>
          <w:sz w:val="26"/>
          <w:szCs w:val="26"/>
        </w:rPr>
      </w:r>
    </w:p>
    <w:p>
      <w:pPr>
        <w:pStyle w:val="Normal"/>
        <w:keepNext w:val="true"/>
        <w:keepLines/>
        <w:rPr>
          <w:sz w:val="26"/>
          <w:szCs w:val="26"/>
        </w:rPr>
      </w:pPr>
      <w:r>
        <w:rPr>
          <w:sz w:val="26"/>
          <w:szCs w:val="26"/>
        </w:rPr>
      </w:r>
    </w:p>
    <w:p>
      <w:pPr>
        <w:pStyle w:val="Normal"/>
        <w:keepNext w:val="true"/>
        <w:keepLines/>
        <w:rPr>
          <w:sz w:val="26"/>
          <w:szCs w:val="26"/>
        </w:rPr>
      </w:pPr>
      <w:r>
        <w:rPr>
          <w:sz w:val="26"/>
          <w:szCs w:val="26"/>
        </w:rPr>
      </w:r>
    </w:p>
    <w:p>
      <w:pPr>
        <w:pStyle w:val="Normal"/>
        <w:keepNext w:val="true"/>
        <w:keepLines/>
        <w:rPr>
          <w:sz w:val="26"/>
          <w:szCs w:val="26"/>
        </w:rPr>
      </w:pPr>
      <w:r>
        <w:rPr>
          <w:sz w:val="26"/>
          <w:szCs w:val="26"/>
        </w:rPr>
      </w:r>
    </w:p>
    <w:p>
      <w:pPr>
        <w:pStyle w:val="Normal"/>
        <w:keepNext w:val="true"/>
        <w:keepLines/>
        <w:rPr>
          <w:sz w:val="26"/>
          <w:szCs w:val="26"/>
        </w:rPr>
      </w:pPr>
      <w:r>
        <w:rPr>
          <w:sz w:val="26"/>
          <w:szCs w:val="26"/>
        </w:rPr>
      </w:r>
    </w:p>
    <w:p>
      <w:pPr>
        <w:pStyle w:val="Normal"/>
        <w:keepNext w:val="true"/>
        <w:keepLines/>
        <w:rPr>
          <w:sz w:val="26"/>
          <w:szCs w:val="26"/>
        </w:rPr>
      </w:pPr>
      <w:r>
        <w:rPr>
          <w:sz w:val="26"/>
          <w:szCs w:val="26"/>
        </w:rPr>
      </w:r>
    </w:p>
    <w:p>
      <w:pPr>
        <w:pStyle w:val="Normal"/>
        <w:keepNext w:val="true"/>
        <w:keepLines/>
        <w:rPr>
          <w:sz w:val="26"/>
          <w:szCs w:val="26"/>
        </w:rPr>
      </w:pPr>
      <w:r>
        <w:rPr>
          <w:sz w:val="26"/>
          <w:szCs w:val="26"/>
        </w:rPr>
      </w:r>
    </w:p>
    <w:p>
      <w:pPr>
        <w:pStyle w:val="Normal"/>
        <w:keepNext w:val="true"/>
        <w:keepLines/>
        <w:rPr>
          <w:sz w:val="26"/>
          <w:szCs w:val="26"/>
        </w:rPr>
      </w:pPr>
      <w:r>
        <w:rPr>
          <w:sz w:val="26"/>
          <w:szCs w:val="26"/>
        </w:rPr>
      </w:r>
    </w:p>
    <w:p>
      <w:pPr>
        <w:pStyle w:val="Normal"/>
        <w:keepNext w:val="true"/>
        <w:keepLines/>
        <w:rPr>
          <w:sz w:val="26"/>
          <w:szCs w:val="26"/>
        </w:rPr>
      </w:pPr>
      <w:r>
        <w:rPr>
          <w:sz w:val="26"/>
          <w:szCs w:val="26"/>
        </w:rPr>
      </w:r>
    </w:p>
    <w:p>
      <w:pPr>
        <w:pStyle w:val="Normal"/>
        <w:keepNext w:val="true"/>
        <w:keepLines/>
        <w:jc w:val="center"/>
        <w:rPr>
          <w:rFonts w:eastAsia="Calibri"/>
          <w:b/>
          <w:sz w:val="26"/>
          <w:szCs w:val="26"/>
        </w:rPr>
      </w:pPr>
      <w:r>
        <w:rPr>
          <w:rFonts w:eastAsia="Calibri"/>
          <w:b/>
          <w:sz w:val="26"/>
          <w:szCs w:val="26"/>
        </w:rPr>
      </w:r>
    </w:p>
    <w:p>
      <w:pPr>
        <w:pStyle w:val="Normal"/>
        <w:keepNext w:val="true"/>
        <w:keepLines/>
        <w:jc w:val="center"/>
        <w:rPr>
          <w:rFonts w:eastAsia="Calibri"/>
          <w:b/>
          <w:sz w:val="26"/>
          <w:szCs w:val="26"/>
        </w:rPr>
      </w:pPr>
      <w:r>
        <w:rPr>
          <w:rFonts w:eastAsia="Calibri"/>
          <w:b/>
          <w:bCs/>
          <w:sz w:val="26"/>
          <w:szCs w:val="26"/>
        </w:rPr>
        <w:t>ТЕХНИЧЕСКИЕ ТРЕБОВАНИЯ</w:t>
      </w:r>
    </w:p>
    <w:p>
      <w:pPr>
        <w:pStyle w:val="Normal"/>
        <w:widowControl w:val="false"/>
        <w:tabs>
          <w:tab w:val="clear" w:pos="708"/>
          <w:tab w:val="left" w:pos="426" w:leader="none"/>
        </w:tabs>
        <w:spacing w:before="120" w:after="120"/>
        <w:jc w:val="center"/>
        <w:rPr>
          <w:rStyle w:val="Style8"/>
          <w:rFonts w:eastAsia="Calibri"/>
          <w:sz w:val="26"/>
          <w:szCs w:val="26"/>
          <w:shd w:fill="auto" w:val="clear"/>
        </w:rPr>
      </w:pPr>
      <w:r>
        <w:rPr>
          <w:rFonts w:eastAsia="Calibri"/>
          <w:color w:val="1A1A1A"/>
          <w:sz w:val="24"/>
          <w:szCs w:val="24"/>
        </w:rPr>
        <w:t xml:space="preserve">ОКПД 2: 27.11.62.110 </w:t>
      </w:r>
      <w:r>
        <w:rPr>
          <w:rFonts w:eastAsia="Calibri"/>
          <w:sz w:val="26"/>
          <w:szCs w:val="26"/>
        </w:rPr>
        <w:t>Поставка ввода высоковольтного для нужд Дагестанского филиала АО “Гидроремонт-ВКК” в г. Махачкала</w:t>
      </w:r>
    </w:p>
    <w:p>
      <w:pPr>
        <w:pStyle w:val="Normal"/>
        <w:keepNext w:val="true"/>
        <w:keepLines/>
        <w:jc w:val="center"/>
        <w:rPr>
          <w:rFonts w:eastAsia="Calibri"/>
          <w:b/>
          <w:i/>
          <w:i/>
          <w:sz w:val="26"/>
          <w:szCs w:val="26"/>
        </w:rPr>
      </w:pPr>
      <w:r>
        <w:rPr>
          <w:rFonts w:eastAsia="Calibri"/>
          <w:b/>
          <w:i/>
          <w:sz w:val="26"/>
          <w:szCs w:val="26"/>
        </w:rPr>
      </w:r>
    </w:p>
    <w:p>
      <w:pPr>
        <w:pStyle w:val="Normal"/>
        <w:keepNext w:val="true"/>
        <w:keepLines/>
        <w:jc w:val="center"/>
        <w:rPr>
          <w:rFonts w:eastAsia="Calibri"/>
          <w:b/>
          <w:i/>
          <w:i/>
          <w:sz w:val="26"/>
          <w:szCs w:val="26"/>
        </w:rPr>
      </w:pPr>
      <w:r>
        <w:rPr>
          <w:rFonts w:eastAsia="Calibri"/>
          <w:b/>
          <w:i/>
          <w:sz w:val="26"/>
          <w:szCs w:val="26"/>
        </w:rPr>
      </w:r>
    </w:p>
    <w:p>
      <w:pPr>
        <w:pStyle w:val="Normal"/>
        <w:keepNext w:val="true"/>
        <w:keepLines/>
        <w:jc w:val="both"/>
        <w:rPr>
          <w:sz w:val="26"/>
          <w:szCs w:val="26"/>
        </w:rPr>
      </w:pPr>
      <w:r>
        <w:rPr>
          <w:sz w:val="26"/>
          <w:szCs w:val="26"/>
        </w:rPr>
      </w:r>
    </w:p>
    <w:p>
      <w:pPr>
        <w:pStyle w:val="Normal"/>
        <w:rPr>
          <w:sz w:val="26"/>
          <w:szCs w:val="26"/>
        </w:rPr>
      </w:pPr>
      <w:r>
        <w:rPr>
          <w:sz w:val="26"/>
          <w:szCs w:val="26"/>
        </w:rPr>
      </w:r>
      <w:r>
        <w:br w:type="page"/>
      </w:r>
    </w:p>
    <w:p>
      <w:pPr>
        <w:pStyle w:val="Normal"/>
        <w:jc w:val="center"/>
        <w:rPr>
          <w:b/>
        </w:rPr>
      </w:pPr>
      <w:r>
        <w:rPr>
          <w:b/>
        </w:rPr>
        <w:t>СОДЕРЖАНИЕ</w:t>
      </w:r>
    </w:p>
    <w:sdt>
      <w:sdtPr>
        <w:docPartObj>
          <w:docPartGallery w:val="Table of Contents"/>
          <w:docPartUnique w:val="true"/>
        </w:docPartObj>
      </w:sdtPr>
      <w:sdtContent>
        <w:p>
          <w:pPr>
            <w:pStyle w:val="TOC1"/>
            <w:tabs>
              <w:tab w:val="clear" w:pos="708"/>
              <w:tab w:val="right" w:pos="9921" w:leader="dot"/>
            </w:tabs>
            <w:rPr/>
          </w:pPr>
          <w:r>
            <w:fldChar w:fldCharType="begin"/>
          </w:r>
          <w:r>
            <w:rPr>
              <w:webHidden/>
              <w:rStyle w:val="Style14"/>
              <w:vanish w:val="false"/>
            </w:rPr>
            <w:instrText xml:space="preserve"> TOC \z \o "1-4" \u \h</w:instrText>
          </w:r>
          <w:r>
            <w:rPr>
              <w:webHidden/>
              <w:rStyle w:val="Style14"/>
              <w:vanish w:val="false"/>
            </w:rPr>
            <w:fldChar w:fldCharType="separate"/>
          </w:r>
          <w:hyperlink w:anchor="__RefHeading___Toc10447_901897445">
            <w:r>
              <w:rPr>
                <w:webHidden/>
                <w:rStyle w:val="Style14"/>
                <w:vanish w:val="false"/>
              </w:rPr>
              <w:t>1. Общие сведения</w:t>
              <w:tab/>
              <w:t>3</w:t>
            </w:r>
          </w:hyperlink>
        </w:p>
        <w:p>
          <w:pPr>
            <w:pStyle w:val="TOC4"/>
            <w:tabs>
              <w:tab w:val="clear" w:pos="708"/>
              <w:tab w:val="right" w:pos="9921" w:leader="dot"/>
            </w:tabs>
            <w:rPr/>
          </w:pPr>
          <w:hyperlink w:anchor="__RefHeading___Toc10449_901897445">
            <w:r>
              <w:rPr>
                <w:webHidden/>
                <w:rStyle w:val="Style14"/>
                <w:vanish w:val="false"/>
              </w:rPr>
              <w:t>1.1. Обозначения и сокращения</w:t>
              <w:tab/>
              <w:t>3</w:t>
            </w:r>
          </w:hyperlink>
        </w:p>
        <w:p>
          <w:pPr>
            <w:pStyle w:val="TOC4"/>
            <w:tabs>
              <w:tab w:val="clear" w:pos="708"/>
              <w:tab w:val="right" w:pos="9921" w:leader="dot"/>
            </w:tabs>
            <w:rPr/>
          </w:pPr>
          <w:hyperlink w:anchor="__RefHeading___Toc10451_901897445">
            <w:r>
              <w:rPr>
                <w:webHidden/>
                <w:rStyle w:val="Style14"/>
                <w:vanish w:val="false"/>
              </w:rPr>
              <w:t>1.2. Наименование закупаемой продукции</w:t>
              <w:tab/>
              <w:t>4</w:t>
            </w:r>
          </w:hyperlink>
        </w:p>
        <w:p>
          <w:pPr>
            <w:pStyle w:val="TOC4"/>
            <w:tabs>
              <w:tab w:val="clear" w:pos="708"/>
              <w:tab w:val="right" w:pos="9921" w:leader="dot"/>
            </w:tabs>
            <w:rPr/>
          </w:pPr>
          <w:hyperlink w:anchor="__RefHeading___Toc10453_901897445">
            <w:r>
              <w:rPr>
                <w:webHidden/>
                <w:rStyle w:val="Style14"/>
                <w:vanish w:val="false"/>
              </w:rPr>
              <w:t>1.3. Цель использования закупаемой продукции</w:t>
              <w:tab/>
              <w:t>4</w:t>
            </w:r>
          </w:hyperlink>
        </w:p>
        <w:p>
          <w:pPr>
            <w:pStyle w:val="TOC1"/>
            <w:tabs>
              <w:tab w:val="clear" w:pos="708"/>
              <w:tab w:val="right" w:pos="9921" w:leader="dot"/>
            </w:tabs>
            <w:rPr/>
          </w:pPr>
          <w:hyperlink w:anchor="__RefHeading___Toc10455_901897445">
            <w:r>
              <w:rPr>
                <w:webHidden/>
                <w:rStyle w:val="Style14"/>
                <w:vanish w:val="false"/>
              </w:rPr>
              <w:t xml:space="preserve">2. </w:t>
            </w:r>
            <w:r>
              <w:rPr>
                <w:rStyle w:val="Style14"/>
                <w:iCs/>
              </w:rPr>
              <w:t>Требования к продукции</w:t>
            </w:r>
            <w:r>
              <w:rPr>
                <w:rStyle w:val="Style14"/>
              </w:rPr>
              <w:tab/>
              <w:t>4</w:t>
            </w:r>
          </w:hyperlink>
        </w:p>
        <w:p>
          <w:pPr>
            <w:pStyle w:val="TOC4"/>
            <w:tabs>
              <w:tab w:val="clear" w:pos="708"/>
              <w:tab w:val="right" w:pos="9921" w:leader="dot"/>
            </w:tabs>
            <w:rPr/>
          </w:pPr>
          <w:hyperlink w:anchor="__RefHeading___Toc10457_901897445">
            <w:r>
              <w:rPr>
                <w:webHidden/>
                <w:rStyle w:val="Style14"/>
                <w:vanish w:val="false"/>
              </w:rPr>
              <w:t>2.1. Требования к объемам и срокам поставки</w:t>
              <w:tab/>
              <w:t>4</w:t>
            </w:r>
          </w:hyperlink>
        </w:p>
        <w:p>
          <w:pPr>
            <w:pStyle w:val="TOC3"/>
            <w:tabs>
              <w:tab w:val="clear" w:pos="708"/>
              <w:tab w:val="right" w:pos="9921" w:leader="dot"/>
            </w:tabs>
            <w:rPr/>
          </w:pPr>
          <w:hyperlink w:anchor="__RefHeading___Toc10459_901897445">
            <w:r>
              <w:rPr>
                <w:webHidden/>
                <w:rStyle w:val="Style14"/>
                <w:vanish w:val="false"/>
              </w:rPr>
              <w:t>2.1.1. Перечень и объем закупаемой продукции</w:t>
              <w:tab/>
              <w:t>4</w:t>
            </w:r>
          </w:hyperlink>
        </w:p>
        <w:p>
          <w:pPr>
            <w:pStyle w:val="TOC1"/>
            <w:tabs>
              <w:tab w:val="clear" w:pos="708"/>
              <w:tab w:val="right" w:pos="9921" w:leader="dot"/>
            </w:tabs>
            <w:rPr/>
          </w:pPr>
          <w:hyperlink w:anchor="__RefHeading___Toc10461_901897445">
            <w:r>
              <w:rPr>
                <w:webHidden/>
                <w:rStyle w:val="Style14"/>
                <w:vanish w:val="false"/>
              </w:rPr>
              <w:t>Таблица 1.1 Перечень и объем закупаемой продукции</w:t>
              <w:tab/>
              <w:t>4</w:t>
            </w:r>
          </w:hyperlink>
        </w:p>
        <w:p>
          <w:pPr>
            <w:pStyle w:val="TOC3"/>
            <w:tabs>
              <w:tab w:val="clear" w:pos="708"/>
              <w:tab w:val="right" w:pos="9921" w:leader="dot"/>
            </w:tabs>
            <w:rPr/>
          </w:pPr>
          <w:hyperlink w:anchor="__RefHeading___Toc10463_901897445">
            <w:r>
              <w:rPr>
                <w:webHidden/>
                <w:rStyle w:val="Style14"/>
                <w:vanish w:val="false"/>
              </w:rPr>
              <w:t>2.1.2. Требования к срокам поставки продукции и оказания сопутствующих услуг</w:t>
              <w:tab/>
              <w:t>4</w:t>
            </w:r>
          </w:hyperlink>
        </w:p>
        <w:p>
          <w:pPr>
            <w:pStyle w:val="TOC1"/>
            <w:tabs>
              <w:tab w:val="clear" w:pos="708"/>
              <w:tab w:val="right" w:pos="9921" w:leader="dot"/>
            </w:tabs>
            <w:rPr/>
          </w:pPr>
          <w:hyperlink w:anchor="__RefHeading___Toc10465_901897445">
            <w:r>
              <w:rPr>
                <w:webHidden/>
                <w:rStyle w:val="Style14"/>
                <w:vanish w:val="false"/>
              </w:rPr>
              <w:t>Таблица 2.1 Требования по срокам поставки продукции</w:t>
              <w:tab/>
              <w:t>4</w:t>
            </w:r>
          </w:hyperlink>
          <w:r>
            <w:rPr>
              <w:rStyle w:val="Style14"/>
              <w:vanish w:val="false"/>
            </w:rPr>
            <w:fldChar w:fldCharType="end"/>
          </w:r>
        </w:p>
      </w:sdtContent>
    </w:sdt>
    <w:p>
      <w:pPr>
        <w:pStyle w:val="TOC1"/>
        <w:tabs>
          <w:tab w:val="clear" w:pos="708"/>
          <w:tab w:val="left" w:pos="560" w:leader="none"/>
          <w:tab w:val="right" w:pos="9911" w:leader="dot"/>
        </w:tabs>
        <w:rPr>
          <w:rFonts w:ascii="Calibri" w:hAnsi="Calibri" w:eastAsia="" w:cs="" w:asciiTheme="minorHAnsi" w:cstheme="minorBidi" w:eastAsiaTheme="minorEastAsia" w:hAnsiTheme="minorHAnsi"/>
          <w:b w:val="false"/>
          <w:bCs w:val="false"/>
          <w:sz w:val="22"/>
          <w:szCs w:val="22"/>
        </w:rPr>
      </w:pPr>
      <w:r>
        <w:rPr>
          <w:rFonts w:eastAsia="" w:cs="" w:cstheme="minorBidi" w:eastAsiaTheme="minorEastAsia" w:ascii="Calibri" w:hAnsi="Calibri"/>
          <w:b w:val="false"/>
          <w:bCs w:val="false"/>
          <w:sz w:val="22"/>
          <w:szCs w:val="22"/>
        </w:rPr>
      </w:r>
    </w:p>
    <w:p>
      <w:pPr>
        <w:pStyle w:val="Heading2"/>
        <w:numPr>
          <w:ilvl w:val="0"/>
        </w:numPr>
        <w:tabs>
          <w:tab w:val="clear" w:pos="0"/>
        </w:tabs>
        <w:ind w:left="0" w:hanging="0"/>
        <w:rPr>
          <w:b w:val="false"/>
          <w:i/>
          <w:i/>
        </w:rPr>
      </w:pPr>
      <w:r>
        <w:rPr>
          <w:b w:val="false"/>
          <w:i/>
        </w:rPr>
      </w:r>
    </w:p>
    <w:p>
      <w:pPr>
        <w:pStyle w:val="Normal"/>
        <w:keepNext w:val="true"/>
        <w:keepLines/>
        <w:jc w:val="center"/>
        <w:rPr>
          <w:rFonts w:eastAsia="Calibri"/>
          <w:b/>
          <w:i/>
          <w:i/>
          <w:sz w:val="24"/>
          <w:szCs w:val="24"/>
        </w:rPr>
      </w:pPr>
      <w:r>
        <w:rPr>
          <w:rFonts w:eastAsia="Calibri"/>
          <w:b/>
          <w:i/>
          <w:sz w:val="24"/>
          <w:szCs w:val="24"/>
        </w:rPr>
      </w:r>
      <w:r>
        <w:br w:type="page"/>
      </w:r>
    </w:p>
    <w:p>
      <w:pPr>
        <w:pStyle w:val="Heading1"/>
        <w:keepLines/>
        <w:numPr>
          <w:ilvl w:val="0"/>
          <w:numId w:val="3"/>
        </w:numPr>
        <w:ind w:left="357" w:hanging="357"/>
        <w:jc w:val="center"/>
        <w:rPr>
          <w:caps/>
          <w:lang w:val="ru-RU"/>
        </w:rPr>
      </w:pPr>
      <w:bookmarkStart w:id="0" w:name="__RefHeading___Toc10447_901897445"/>
      <w:bookmarkStart w:id="1" w:name="_Toc219444490"/>
      <w:bookmarkStart w:id="2" w:name="_Toc51339692"/>
      <w:bookmarkEnd w:id="0"/>
      <w:r>
        <w:rPr>
          <w:lang w:val="ru-RU"/>
        </w:rPr>
        <w:t>Общие сведения</w:t>
      </w:r>
      <w:bookmarkEnd w:id="1"/>
      <w:bookmarkEnd w:id="2"/>
    </w:p>
    <w:p>
      <w:pPr>
        <w:pStyle w:val="Heading4"/>
        <w:numPr>
          <w:ilvl w:val="1"/>
          <w:numId w:val="3"/>
        </w:numPr>
        <w:rPr>
          <w:rStyle w:val="Style8"/>
          <w:b/>
          <w:i w:val="false"/>
          <w:i w:val="false"/>
          <w:shd w:fill="auto" w:val="clear"/>
        </w:rPr>
      </w:pPr>
      <w:bookmarkStart w:id="3" w:name="__RefHeading___Toc10449_901897445"/>
      <w:bookmarkStart w:id="4" w:name="_Toc219444491"/>
      <w:bookmarkStart w:id="5" w:name="_Toc46743505"/>
      <w:bookmarkEnd w:id="3"/>
      <w:r>
        <w:rPr/>
        <w:t>Обозначения и сокращения</w:t>
      </w:r>
      <w:bookmarkEnd w:id="4"/>
      <w:bookmarkEnd w:id="5"/>
    </w:p>
    <w:tbl>
      <w:tblPr>
        <w:tblW w:w="9783" w:type="dxa"/>
        <w:jc w:val="center"/>
        <w:tblInd w:w="0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val="04a0" w:noVBand="1" w:noHBand="0" w:lastColumn="0" w:firstColumn="1" w:lastRow="0" w:firstRow="1"/>
      </w:tblPr>
      <w:tblGrid>
        <w:gridCol w:w="1785"/>
        <w:gridCol w:w="7997"/>
      </w:tblGrid>
      <w:tr>
        <w:trPr>
          <w:cantSplit w:val="true"/>
        </w:trPr>
        <w:tc>
          <w:tcPr>
            <w:tcW w:w="17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  <w:tab w:val="left" w:pos="426" w:leader="none"/>
              </w:tabs>
              <w:spacing w:before="120" w:after="120"/>
              <w:jc w:val="both"/>
              <w:rPr>
                <w:rStyle w:val="Style8"/>
                <w:b w:val="false"/>
                <w:bCs/>
                <w:iCs/>
                <w:sz w:val="24"/>
                <w:szCs w:val="24"/>
              </w:rPr>
            </w:pPr>
            <w:r>
              <w:rPr>
                <w:sz w:val="24"/>
                <w:szCs w:val="24"/>
              </w:rPr>
              <w:t>ГОСТ</w:t>
            </w:r>
          </w:p>
        </w:tc>
        <w:tc>
          <w:tcPr>
            <w:tcW w:w="79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  <w:tab w:val="left" w:pos="426" w:leader="none"/>
              </w:tabs>
              <w:spacing w:before="120" w:after="120"/>
              <w:jc w:val="both"/>
              <w:rPr>
                <w:rStyle w:val="Style8"/>
                <w:b w:val="false"/>
                <w:bCs/>
                <w:i w:val="false"/>
                <w:i w:val="false"/>
                <w:iCs/>
                <w:sz w:val="24"/>
                <w:szCs w:val="24"/>
              </w:rPr>
            </w:pPr>
            <w:r>
              <w:rPr>
                <w:sz w:val="24"/>
                <w:szCs w:val="24"/>
              </w:rPr>
              <w:t>Государственный стандарт</w:t>
            </w:r>
          </w:p>
        </w:tc>
      </w:tr>
      <w:tr>
        <w:trPr>
          <w:cantSplit w:val="true"/>
        </w:trPr>
        <w:tc>
          <w:tcPr>
            <w:tcW w:w="17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  <w:tab w:val="left" w:pos="426" w:leader="none"/>
              </w:tabs>
              <w:spacing w:before="120" w:after="120"/>
              <w:jc w:val="both"/>
              <w:rPr/>
            </w:pPr>
            <w:r>
              <w:rPr>
                <w:sz w:val="24"/>
                <w:szCs w:val="24"/>
              </w:rPr>
              <w:t>ТТ</w:t>
            </w:r>
          </w:p>
        </w:tc>
        <w:tc>
          <w:tcPr>
            <w:tcW w:w="79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  <w:tab w:val="left" w:pos="426" w:leader="none"/>
              </w:tabs>
              <w:spacing w:before="120" w:after="120"/>
              <w:jc w:val="both"/>
              <w:rPr/>
            </w:pPr>
            <w:r>
              <w:rPr>
                <w:sz w:val="24"/>
                <w:szCs w:val="24"/>
              </w:rPr>
              <w:t>Технические требования</w:t>
            </w:r>
          </w:p>
        </w:tc>
      </w:tr>
      <w:tr>
        <w:trPr>
          <w:cantSplit w:val="true"/>
        </w:trPr>
        <w:tc>
          <w:tcPr>
            <w:tcW w:w="17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  <w:tab w:val="left" w:pos="426" w:leader="none"/>
              </w:tabs>
              <w:spacing w:before="120" w:after="12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ОРУ</w:t>
            </w:r>
          </w:p>
        </w:tc>
        <w:tc>
          <w:tcPr>
            <w:tcW w:w="79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  <w:tab w:val="left" w:pos="426" w:leader="none"/>
              </w:tabs>
              <w:spacing w:before="120" w:after="12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Открытое распределительное устройство</w:t>
            </w:r>
          </w:p>
        </w:tc>
      </w:tr>
      <w:tr>
        <w:trPr>
          <w:cantSplit w:val="true"/>
        </w:trPr>
        <w:tc>
          <w:tcPr>
            <w:tcW w:w="17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  <w:tab w:val="left" w:pos="426" w:leader="none"/>
              </w:tabs>
              <w:spacing w:before="120" w:after="120"/>
              <w:jc w:val="both"/>
              <w:rPr>
                <w:rStyle w:val="Style8"/>
                <w:b w:val="false"/>
                <w:bCs/>
                <w:i w:val="false"/>
                <w:i w:val="false"/>
                <w:iCs/>
                <w:sz w:val="24"/>
                <w:szCs w:val="24"/>
              </w:rPr>
            </w:pPr>
            <w:r>
              <w:rPr>
                <w:sz w:val="24"/>
                <w:szCs w:val="24"/>
              </w:rPr>
              <w:t>ГЭС</w:t>
            </w:r>
          </w:p>
        </w:tc>
        <w:tc>
          <w:tcPr>
            <w:tcW w:w="79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  <w:tab w:val="left" w:pos="426" w:leader="none"/>
              </w:tabs>
              <w:spacing w:before="120" w:after="120"/>
              <w:jc w:val="both"/>
              <w:rPr>
                <w:rStyle w:val="Style8"/>
                <w:b w:val="false"/>
                <w:bCs/>
                <w:i w:val="false"/>
                <w:i w:val="false"/>
                <w:iCs/>
                <w:sz w:val="24"/>
                <w:szCs w:val="24"/>
              </w:rPr>
            </w:pPr>
            <w:r>
              <w:rPr>
                <w:sz w:val="24"/>
                <w:szCs w:val="24"/>
              </w:rPr>
              <w:t>Гидроэлектростанция</w:t>
            </w:r>
          </w:p>
        </w:tc>
      </w:tr>
      <w:tr>
        <w:trPr>
          <w:cantSplit w:val="true"/>
        </w:trPr>
        <w:tc>
          <w:tcPr>
            <w:tcW w:w="17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  <w:tab w:val="left" w:pos="426" w:leader="none"/>
              </w:tabs>
              <w:spacing w:before="120" w:after="120"/>
              <w:jc w:val="both"/>
              <w:rPr>
                <w:rStyle w:val="Style8"/>
                <w:b w:val="false"/>
                <w:bCs/>
                <w:i w:val="false"/>
                <w:i w:val="false"/>
                <w:iCs/>
                <w:sz w:val="24"/>
                <w:szCs w:val="24"/>
              </w:rPr>
            </w:pPr>
            <w:r>
              <w:rPr>
                <w:sz w:val="24"/>
                <w:szCs w:val="24"/>
              </w:rPr>
              <w:t>ТУ</w:t>
            </w:r>
          </w:p>
        </w:tc>
        <w:tc>
          <w:tcPr>
            <w:tcW w:w="79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  <w:tab w:val="left" w:pos="426" w:leader="none"/>
              </w:tabs>
              <w:spacing w:before="120" w:after="120"/>
              <w:jc w:val="both"/>
              <w:rPr>
                <w:rStyle w:val="Style8"/>
                <w:b w:val="false"/>
                <w:bCs/>
                <w:i w:val="false"/>
                <w:i w:val="false"/>
                <w:iCs/>
                <w:sz w:val="24"/>
                <w:szCs w:val="24"/>
              </w:rPr>
            </w:pPr>
            <w:r>
              <w:rPr>
                <w:sz w:val="24"/>
                <w:szCs w:val="24"/>
              </w:rPr>
              <w:t>Технические условия</w:t>
            </w:r>
          </w:p>
        </w:tc>
      </w:tr>
    </w:tbl>
    <w:p>
      <w:pPr>
        <w:pStyle w:val="Normal"/>
        <w:keepNext w:val="true"/>
        <w:keepLines/>
        <w:jc w:val="both"/>
        <w:rPr>
          <w:sz w:val="24"/>
          <w:szCs w:val="24"/>
        </w:rPr>
      </w:pPr>
      <w:r>
        <w:rPr>
          <w:sz w:val="24"/>
          <w:szCs w:val="24"/>
        </w:rPr>
      </w:r>
    </w:p>
    <w:p>
      <w:pPr>
        <w:pStyle w:val="Normal"/>
        <w:keepNext w:val="true"/>
        <w:keepLines/>
        <w:jc w:val="both"/>
        <w:rPr>
          <w:sz w:val="24"/>
          <w:szCs w:val="24"/>
        </w:rPr>
      </w:pPr>
      <w:r>
        <w:rPr>
          <w:sz w:val="24"/>
          <w:szCs w:val="24"/>
        </w:rPr>
      </w:r>
    </w:p>
    <w:p>
      <w:pPr>
        <w:pStyle w:val="Normal"/>
        <w:keepNext w:val="true"/>
        <w:keepLines/>
        <w:rPr>
          <w:sz w:val="24"/>
          <w:szCs w:val="24"/>
        </w:rPr>
      </w:pPr>
      <w:r>
        <w:rPr>
          <w:sz w:val="24"/>
          <w:szCs w:val="24"/>
        </w:rPr>
      </w:r>
      <w:r>
        <w:br w:type="page"/>
      </w:r>
    </w:p>
    <w:p>
      <w:pPr>
        <w:pStyle w:val="Heading4"/>
        <w:numPr>
          <w:ilvl w:val="1"/>
          <w:numId w:val="3"/>
        </w:numPr>
        <w:rPr/>
      </w:pPr>
      <w:bookmarkStart w:id="6" w:name="__RefHeading___Toc10451_901897445"/>
      <w:bookmarkStart w:id="7" w:name="_Toc219444492"/>
      <w:bookmarkStart w:id="8" w:name="_Toc46743506"/>
      <w:bookmarkEnd w:id="6"/>
      <w:r>
        <w:rPr/>
        <w:t>Наименование закупаемой продукции</w:t>
      </w:r>
      <w:bookmarkEnd w:id="7"/>
      <w:bookmarkEnd w:id="8"/>
    </w:p>
    <w:p>
      <w:pPr>
        <w:pStyle w:val="Normal"/>
        <w:widowControl w:val="false"/>
        <w:tabs>
          <w:tab w:val="clear" w:pos="708"/>
          <w:tab w:val="left" w:pos="426" w:leader="none"/>
        </w:tabs>
        <w:spacing w:before="120" w:after="120"/>
        <w:jc w:val="both"/>
        <w:rPr>
          <w:rFonts w:eastAsia="Calibri"/>
          <w:i/>
          <w:i/>
          <w:sz w:val="24"/>
          <w:szCs w:val="24"/>
          <w:lang w:eastAsia="x-none"/>
        </w:rPr>
      </w:pPr>
      <w:r>
        <w:rPr>
          <w:rFonts w:eastAsia="Calibri"/>
          <w:color w:val="1A1A1A"/>
          <w:sz w:val="24"/>
          <w:szCs w:val="24"/>
          <w:lang w:eastAsia="x-none"/>
        </w:rPr>
        <w:t>ОКПД 2: 27.11.62.110</w:t>
      </w:r>
      <w:r>
        <w:rPr>
          <w:rFonts w:eastAsia="Calibri"/>
          <w:sz w:val="24"/>
          <w:szCs w:val="24"/>
          <w:lang w:eastAsia="x-none"/>
        </w:rPr>
        <w:t xml:space="preserve"> Поставка ввода высоковольтного для нужд Дагестанского филиала АО “Гидроремонт-ВКК” в г. Махачкала»</w:t>
      </w:r>
    </w:p>
    <w:p>
      <w:pPr>
        <w:pStyle w:val="Heading4"/>
        <w:numPr>
          <w:ilvl w:val="1"/>
          <w:numId w:val="3"/>
        </w:numPr>
        <w:spacing w:before="240" w:after="60"/>
        <w:ind w:left="431" w:hanging="431"/>
        <w:rPr>
          <w:lang w:val="ru-RU"/>
        </w:rPr>
      </w:pPr>
      <w:bookmarkStart w:id="9" w:name="__RefHeading___Toc10453_901897445"/>
      <w:bookmarkStart w:id="10" w:name="_Toc219444493"/>
      <w:bookmarkStart w:id="11" w:name="_Toc46743507"/>
      <w:bookmarkEnd w:id="9"/>
      <w:r>
        <w:rPr/>
        <w:t xml:space="preserve">Цель </w:t>
      </w:r>
      <w:bookmarkEnd w:id="11"/>
      <w:r>
        <w:rPr>
          <w:lang w:val="ru-RU"/>
        </w:rPr>
        <w:t>использования закупаемой продукции</w:t>
      </w:r>
      <w:bookmarkEnd w:id="10"/>
    </w:p>
    <w:p>
      <w:pPr>
        <w:pStyle w:val="Normal"/>
        <w:widowControl w:val="false"/>
        <w:tabs>
          <w:tab w:val="clear" w:pos="708"/>
          <w:tab w:val="left" w:pos="426" w:leader="none"/>
        </w:tabs>
        <w:spacing w:before="120" w:after="120"/>
        <w:jc w:val="both"/>
        <w:rPr>
          <w:rStyle w:val="Style8"/>
          <w:rFonts w:eastAsia="Calibri"/>
          <w:b w:val="false"/>
          <w:sz w:val="24"/>
          <w:szCs w:val="24"/>
          <w:shd w:fill="auto" w:val="clear"/>
          <w:lang w:eastAsia="x-none"/>
        </w:rPr>
      </w:pPr>
      <w:r>
        <w:rPr>
          <w:rFonts w:eastAsia="Calibri"/>
          <w:sz w:val="24"/>
          <w:szCs w:val="24"/>
          <w:lang w:eastAsia="x-none"/>
        </w:rPr>
        <w:t>Исполнение договора № 1-РЕМ-2023-ДФ от 08.11.2023г "Капитальный и текущий ремонт оборудования, зданий, сооружений Дагестанского филиала» (Капитальный ремонт трансформатора ТСН-2 Чирюртской ГЭС-1)</w:t>
      </w:r>
    </w:p>
    <w:p>
      <w:pPr>
        <w:pStyle w:val="Heading1"/>
        <w:keepLines/>
        <w:numPr>
          <w:ilvl w:val="0"/>
          <w:numId w:val="3"/>
        </w:numPr>
        <w:ind w:left="357" w:hanging="357"/>
        <w:jc w:val="center"/>
        <w:rPr>
          <w:iCs/>
          <w:caps/>
          <w:lang w:val="ru-RU"/>
        </w:rPr>
      </w:pPr>
      <w:bookmarkStart w:id="12" w:name="__RefHeading___Toc10455_901897445"/>
      <w:bookmarkStart w:id="13" w:name="_Toc51339693"/>
      <w:bookmarkStart w:id="14" w:name="_Toc219444494"/>
      <w:bookmarkStart w:id="15" w:name="_Toc50125126"/>
      <w:bookmarkEnd w:id="12"/>
      <w:bookmarkEnd w:id="15"/>
      <w:r>
        <w:rPr>
          <w:iCs/>
        </w:rPr>
        <w:t>Требования к продукции</w:t>
      </w:r>
      <w:bookmarkEnd w:id="13"/>
      <w:bookmarkEnd w:id="14"/>
    </w:p>
    <w:p>
      <w:pPr>
        <w:pStyle w:val="Heading4"/>
        <w:numPr>
          <w:ilvl w:val="1"/>
          <w:numId w:val="3"/>
        </w:numPr>
        <w:rPr/>
      </w:pPr>
      <w:bookmarkStart w:id="16" w:name="__RefHeading___Toc10457_901897445"/>
      <w:bookmarkStart w:id="17" w:name="_Toc219444495"/>
      <w:bookmarkEnd w:id="16"/>
      <w:r>
        <w:rPr/>
        <w:t xml:space="preserve">Требования к объемам и срокам </w:t>
      </w:r>
      <w:r>
        <w:rPr>
          <w:lang w:val="ru-RU"/>
        </w:rPr>
        <w:t>поставки</w:t>
      </w:r>
      <w:bookmarkEnd w:id="17"/>
    </w:p>
    <w:p>
      <w:pPr>
        <w:pStyle w:val="Heading3"/>
        <w:numPr>
          <w:ilvl w:val="2"/>
          <w:numId w:val="3"/>
        </w:numPr>
        <w:rPr/>
      </w:pPr>
      <w:bookmarkStart w:id="18" w:name="__RefHeading___Toc10459_901897445"/>
      <w:bookmarkStart w:id="19" w:name="_Toc219444496"/>
      <w:bookmarkEnd w:id="18"/>
      <w:r>
        <w:rPr>
          <w:lang w:val="ru-RU"/>
        </w:rPr>
        <w:t>Перечень и объем закупаемой продукции</w:t>
      </w:r>
      <w:bookmarkEnd w:id="19"/>
    </w:p>
    <w:p>
      <w:pPr>
        <w:pStyle w:val="Heading1"/>
        <w:keepLines/>
        <w:numPr>
          <w:ilvl w:val="0"/>
          <w:numId w:val="0"/>
        </w:numPr>
        <w:spacing w:before="240" w:after="60"/>
        <w:ind w:left="0" w:hanging="0"/>
        <w:rPr>
          <w:sz w:val="24"/>
          <w:szCs w:val="24"/>
          <w:lang w:val="ru-RU"/>
        </w:rPr>
      </w:pPr>
      <w:bookmarkStart w:id="20" w:name="__RefHeading___Toc10461_901897445"/>
      <w:bookmarkStart w:id="21" w:name="_Toc219444497"/>
      <w:bookmarkStart w:id="22" w:name="_Toc51339695"/>
      <w:bookmarkEnd w:id="20"/>
      <w:r>
        <w:rPr>
          <w:sz w:val="24"/>
          <w:szCs w:val="24"/>
        </w:rPr>
        <w:t xml:space="preserve">Таблица </w:t>
      </w:r>
      <w:r>
        <w:rPr>
          <w:sz w:val="24"/>
          <w:szCs w:val="24"/>
          <w:lang w:val="ru-RU"/>
        </w:rPr>
        <w:t>1.1</w:t>
      </w:r>
      <w:r>
        <w:rPr>
          <w:sz w:val="24"/>
          <w:szCs w:val="24"/>
        </w:rPr>
        <w:t xml:space="preserve"> </w:t>
      </w:r>
      <w:r>
        <w:rPr>
          <w:sz w:val="24"/>
          <w:szCs w:val="24"/>
          <w:lang w:val="ru-RU"/>
        </w:rPr>
        <w:t xml:space="preserve">Перечень </w:t>
      </w:r>
      <w:bookmarkEnd w:id="22"/>
      <w:r>
        <w:rPr>
          <w:sz w:val="24"/>
          <w:szCs w:val="24"/>
          <w:lang w:val="ru-RU"/>
        </w:rPr>
        <w:t>и объем закупаемой продукции</w:t>
      </w:r>
      <w:bookmarkEnd w:id="21"/>
    </w:p>
    <w:tbl>
      <w:tblPr>
        <w:tblStyle w:val="affff8"/>
        <w:tblW w:w="9920" w:type="dxa"/>
        <w:jc w:val="left"/>
        <w:tblInd w:w="226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val="04a0" w:noVBand="1" w:noHBand="0" w:lastColumn="0" w:firstColumn="1" w:lastRow="0" w:firstRow="1"/>
      </w:tblPr>
      <w:tblGrid>
        <w:gridCol w:w="849"/>
        <w:gridCol w:w="6125"/>
        <w:gridCol w:w="1430"/>
        <w:gridCol w:w="1515"/>
      </w:tblGrid>
      <w:tr>
        <w:trPr/>
        <w:tc>
          <w:tcPr>
            <w:tcW w:w="849" w:type="dxa"/>
            <w:tcBorders/>
          </w:tcPr>
          <w:p>
            <w:pPr>
              <w:pStyle w:val="Normal"/>
              <w:keepNext w:val="true"/>
              <w:widowControl w:val="false"/>
              <w:suppressAutoHyphens w:val="true"/>
              <w:spacing w:before="0" w:after="0"/>
              <w:jc w:val="center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№</w:t>
            </w:r>
          </w:p>
          <w:p>
            <w:pPr>
              <w:pStyle w:val="Normal"/>
              <w:keepNext w:val="true"/>
              <w:widowControl w:val="false"/>
              <w:suppressAutoHyphens w:val="true"/>
              <w:spacing w:before="0" w:after="0"/>
              <w:jc w:val="center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п/п</w:t>
            </w:r>
          </w:p>
        </w:tc>
        <w:tc>
          <w:tcPr>
            <w:tcW w:w="6125" w:type="dxa"/>
            <w:tcBorders/>
          </w:tcPr>
          <w:p>
            <w:pPr>
              <w:pStyle w:val="Normal"/>
              <w:keepNext w:val="true"/>
              <w:widowControl w:val="false"/>
              <w:suppressAutoHyphens w:val="true"/>
              <w:spacing w:before="0" w:after="0"/>
              <w:jc w:val="center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Наименование продукции</w:t>
            </w:r>
          </w:p>
        </w:tc>
        <w:tc>
          <w:tcPr>
            <w:tcW w:w="1430" w:type="dxa"/>
            <w:tcBorders/>
          </w:tcPr>
          <w:p>
            <w:pPr>
              <w:pStyle w:val="Normal"/>
              <w:keepNext w:val="true"/>
              <w:widowControl w:val="false"/>
              <w:suppressAutoHyphens w:val="true"/>
              <w:spacing w:before="0" w:after="0"/>
              <w:jc w:val="center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Единица измерения</w:t>
            </w:r>
          </w:p>
        </w:tc>
        <w:tc>
          <w:tcPr>
            <w:tcW w:w="1515" w:type="dxa"/>
            <w:tcBorders/>
          </w:tcPr>
          <w:p>
            <w:pPr>
              <w:pStyle w:val="Normal"/>
              <w:keepNext w:val="true"/>
              <w:widowControl w:val="false"/>
              <w:suppressAutoHyphens w:val="true"/>
              <w:spacing w:before="0" w:after="0"/>
              <w:jc w:val="center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Количество</w:t>
            </w:r>
          </w:p>
        </w:tc>
      </w:tr>
      <w:tr>
        <w:trPr/>
        <w:tc>
          <w:tcPr>
            <w:tcW w:w="849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b/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kern w:val="0"/>
                <w:sz w:val="24"/>
                <w:szCs w:val="24"/>
                <w:lang w:val="ru-RU" w:eastAsia="ru-RU" w:bidi="ar-SA"/>
              </w:rPr>
              <w:t>1</w:t>
            </w:r>
          </w:p>
        </w:tc>
        <w:tc>
          <w:tcPr>
            <w:tcW w:w="612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color="auto" w:fill="FFFFFF" w:val="clear"/>
            <w:vAlign w:val="bottom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color w:val="2C2D2E"/>
                <w:sz w:val="24"/>
                <w:szCs w:val="24"/>
              </w:rPr>
            </w:pPr>
            <w:r>
              <w:rPr>
                <w:rFonts w:eastAsia="Times New Roman" w:cs="Times New Roman"/>
                <w:color w:val="2C2D2E"/>
                <w:kern w:val="0"/>
                <w:sz w:val="24"/>
                <w:szCs w:val="24"/>
                <w:lang w:val="ru-RU" w:eastAsia="ru-RU" w:bidi="ar-SA"/>
              </w:rPr>
              <w:t>2</w:t>
            </w:r>
          </w:p>
        </w:tc>
        <w:tc>
          <w:tcPr>
            <w:tcW w:w="1430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b/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kern w:val="0"/>
                <w:sz w:val="24"/>
                <w:szCs w:val="24"/>
                <w:lang w:val="ru-RU" w:eastAsia="ru-RU" w:bidi="ar-SA"/>
              </w:rPr>
              <w:t>3</w:t>
            </w:r>
          </w:p>
        </w:tc>
        <w:tc>
          <w:tcPr>
            <w:tcW w:w="1515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b/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kern w:val="0"/>
                <w:sz w:val="24"/>
                <w:szCs w:val="24"/>
                <w:lang w:val="ru-RU" w:eastAsia="ru-RU" w:bidi="ar-SA"/>
              </w:rPr>
              <w:t>4</w:t>
            </w:r>
          </w:p>
        </w:tc>
      </w:tr>
      <w:tr>
        <w:trPr/>
        <w:tc>
          <w:tcPr>
            <w:tcW w:w="849" w:type="dxa"/>
            <w:tcBorders/>
          </w:tcPr>
          <w:p>
            <w:pPr>
              <w:pStyle w:val="ListParagraph"/>
              <w:widowControl w:val="false"/>
              <w:numPr>
                <w:ilvl w:val="0"/>
                <w:numId w:val="7"/>
              </w:numPr>
              <w:suppressAutoHyphens w:val="true"/>
              <w:spacing w:before="0" w:after="0"/>
              <w:contextualSpacing/>
              <w:jc w:val="center"/>
              <w:rPr>
                <w:rFonts w:ascii="Times New Roman" w:hAnsi="Times New Roman" w:cs="Times New Roman"/>
                <w:kern w:val="0"/>
                <w:lang w:val="ru-RU" w:eastAsia="ru-RU" w:bidi="ar-SA"/>
              </w:rPr>
            </w:pPr>
            <w:r>
              <w:rPr>
                <w:rFonts w:cs="Times New Roman"/>
                <w:kern w:val="0"/>
                <w:lang w:val="ru-RU" w:eastAsia="ru-RU" w:bidi="ar-SA"/>
              </w:rPr>
            </w:r>
          </w:p>
        </w:tc>
        <w:tc>
          <w:tcPr>
            <w:tcW w:w="612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color="000000" w:fill="FFFFFF" w:val="clear"/>
            <w:vAlign w:val="bottom"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color w:val="2C2D2E"/>
                <w:sz w:val="24"/>
                <w:szCs w:val="24"/>
              </w:rPr>
            </w:pPr>
            <w:r>
              <w:rPr>
                <w:rFonts w:eastAsia="Times New Roman" w:cs="Times New Roman"/>
                <w:color w:val="2C2D2E"/>
                <w:kern w:val="0"/>
                <w:sz w:val="24"/>
                <w:szCs w:val="24"/>
                <w:lang w:val="ru-RU" w:eastAsia="ru-RU" w:bidi="ar-SA"/>
              </w:rPr>
              <w:t>Ввод высоковольтный ВСТА-10/630-1</w:t>
            </w:r>
          </w:p>
        </w:tc>
        <w:tc>
          <w:tcPr>
            <w:tcW w:w="143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color="000000" w:fill="FFFFFF" w:val="clear"/>
            <w:vAlign w:val="bottom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i/>
                <w:i/>
                <w:sz w:val="24"/>
                <w:szCs w:val="24"/>
              </w:rPr>
            </w:pPr>
            <w:r>
              <w:rPr>
                <w:rFonts w:eastAsia="Times New Roman" w:cs="Times New Roman"/>
                <w:color w:val="2C2D2E"/>
                <w:kern w:val="0"/>
                <w:sz w:val="24"/>
                <w:szCs w:val="24"/>
                <w:lang w:val="ru-RU" w:eastAsia="ru-RU" w:bidi="ar-SA"/>
              </w:rPr>
              <w:t>шт</w:t>
            </w:r>
          </w:p>
        </w:tc>
        <w:tc>
          <w:tcPr>
            <w:tcW w:w="151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color="000000" w:fill="FFFFFF" w:val="clear"/>
            <w:vAlign w:val="bottom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i/>
                <w:i/>
                <w:sz w:val="24"/>
                <w:szCs w:val="24"/>
                <w:lang w:val="en-US"/>
              </w:rPr>
            </w:pPr>
            <w:r>
              <w:rPr>
                <w:rFonts w:eastAsia="Times New Roman" w:cs="Times New Roman"/>
                <w:color w:val="2C2D2E"/>
                <w:kern w:val="0"/>
                <w:sz w:val="24"/>
                <w:szCs w:val="24"/>
                <w:lang w:val="ru-RU" w:eastAsia="ru-RU" w:bidi="ar-SA"/>
              </w:rPr>
              <w:t>6</w:t>
            </w:r>
          </w:p>
        </w:tc>
      </w:tr>
      <w:tr>
        <w:trPr>
          <w:trHeight w:val="335" w:hRule="atLeast"/>
        </w:trPr>
        <w:tc>
          <w:tcPr>
            <w:tcW w:w="849" w:type="dxa"/>
            <w:tcBorders>
              <w:top w:val="nil"/>
            </w:tcBorders>
          </w:tcPr>
          <w:p>
            <w:pPr>
              <w:pStyle w:val="ListParagraph"/>
              <w:widowControl w:val="false"/>
              <w:numPr>
                <w:ilvl w:val="0"/>
                <w:numId w:val="7"/>
              </w:numPr>
              <w:suppressAutoHyphens w:val="true"/>
              <w:spacing w:before="0" w:after="0"/>
              <w:contextualSpacing/>
              <w:jc w:val="center"/>
              <w:rPr>
                <w:rFonts w:ascii="Times New Roman" w:hAnsi="Times New Roman" w:cs="Times New Roman"/>
                <w:kern w:val="0"/>
                <w:lang w:val="ru-RU" w:eastAsia="ru-RU" w:bidi="ar-SA"/>
              </w:rPr>
            </w:pPr>
            <w:r>
              <w:rPr>
                <w:rFonts w:cs="Times New Roman"/>
                <w:kern w:val="0"/>
                <w:lang w:val="ru-RU" w:eastAsia="ru-RU" w:bidi="ar-SA"/>
              </w:rPr>
            </w:r>
          </w:p>
        </w:tc>
        <w:tc>
          <w:tcPr>
            <w:tcW w:w="612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color="000000" w:fill="FFFFFF" w:val="clear"/>
            <w:vAlign w:val="bottom"/>
          </w:tcPr>
          <w:p>
            <w:pPr>
              <w:pStyle w:val="Normal"/>
              <w:widowControl w:val="false"/>
              <w:bidi w:val="0"/>
              <w:jc w:val="left"/>
              <w:rPr>
                <w:rFonts w:ascii="Times New Roman" w:hAnsi="Times New Roman" w:eastAsia="Times New Roman" w:cs="Times New Roman"/>
                <w:color w:val="000000"/>
                <w:kern w:val="0"/>
                <w:sz w:val="24"/>
                <w:szCs w:val="24"/>
                <w:lang w:val="ru-RU" w:eastAsia="ru-RU" w:bidi="ar-SA"/>
              </w:rPr>
            </w:pPr>
            <w:r>
              <w:rPr>
                <w:rFonts w:eastAsia="Times New Roman" w:cs="Times New Roman"/>
                <w:color w:val="000000"/>
                <w:kern w:val="0"/>
                <w:sz w:val="24"/>
                <w:szCs w:val="24"/>
                <w:lang w:val="ru-RU" w:eastAsia="ru-RU" w:bidi="ar-SA"/>
              </w:rPr>
              <w:t>Фланец переходной для ввода ВСТА-10/630</w:t>
            </w:r>
          </w:p>
        </w:tc>
        <w:tc>
          <w:tcPr>
            <w:tcW w:w="143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nil"/>
            </w:tcBorders>
            <w:shd w:color="000000" w:fill="FFFFFF" w:val="clear"/>
            <w:vAlign w:val="bottom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rFonts w:ascii="Times New Roman" w:hAnsi="Times New Roman" w:eastAsia="Times New Roman" w:cs="Times New Roman"/>
                <w:color w:val="2C2D2E"/>
                <w:kern w:val="0"/>
                <w:sz w:val="24"/>
                <w:szCs w:val="24"/>
                <w:lang w:val="ru-RU" w:eastAsia="ru-RU" w:bidi="ar-SA"/>
              </w:rPr>
            </w:pPr>
            <w:r>
              <w:rPr>
                <w:rFonts w:eastAsia="Times New Roman" w:cs="Times New Roman"/>
                <w:color w:val="2C2D2E"/>
                <w:kern w:val="0"/>
                <w:sz w:val="24"/>
                <w:szCs w:val="24"/>
                <w:lang w:val="ru-RU" w:eastAsia="ru-RU" w:bidi="ar-SA"/>
              </w:rPr>
              <w:t>шт</w:t>
            </w:r>
          </w:p>
        </w:tc>
        <w:tc>
          <w:tcPr>
            <w:tcW w:w="151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000000" w:fill="FFFFFF" w:val="clear"/>
            <w:vAlign w:val="bottom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rFonts w:ascii="Times New Roman" w:hAnsi="Times New Roman" w:eastAsia="Times New Roman" w:cs="Times New Roman"/>
                <w:color w:val="2C2D2E"/>
                <w:kern w:val="0"/>
                <w:sz w:val="24"/>
                <w:szCs w:val="24"/>
                <w:lang w:val="ru-RU" w:eastAsia="ru-RU" w:bidi="ar-SA"/>
              </w:rPr>
            </w:pPr>
            <w:r>
              <w:rPr>
                <w:rFonts w:eastAsia="Times New Roman" w:cs="Times New Roman"/>
                <w:color w:val="2C2D2E"/>
                <w:kern w:val="0"/>
                <w:sz w:val="24"/>
                <w:szCs w:val="24"/>
                <w:lang w:val="ru-RU" w:eastAsia="ru-RU" w:bidi="ar-SA"/>
              </w:rPr>
              <w:t>6</w:t>
            </w:r>
          </w:p>
        </w:tc>
      </w:tr>
      <w:tr>
        <w:trPr>
          <w:trHeight w:val="335" w:hRule="atLeast"/>
        </w:trPr>
        <w:tc>
          <w:tcPr>
            <w:tcW w:w="849" w:type="dxa"/>
            <w:tcBorders>
              <w:top w:val="nil"/>
            </w:tcBorders>
          </w:tcPr>
          <w:p>
            <w:pPr>
              <w:pStyle w:val="ListParagraph"/>
              <w:widowControl w:val="false"/>
              <w:numPr>
                <w:ilvl w:val="0"/>
                <w:numId w:val="7"/>
              </w:numPr>
              <w:suppressAutoHyphens w:val="true"/>
              <w:spacing w:before="0" w:after="0"/>
              <w:contextualSpacing/>
              <w:jc w:val="center"/>
              <w:rPr>
                <w:rFonts w:ascii="Times New Roman" w:hAnsi="Times New Roman" w:cs="Times New Roman"/>
                <w:kern w:val="0"/>
                <w:lang w:val="ru-RU" w:eastAsia="ru-RU" w:bidi="ar-SA"/>
              </w:rPr>
            </w:pPr>
            <w:r>
              <w:rPr>
                <w:rFonts w:cs="Times New Roman"/>
                <w:kern w:val="0"/>
                <w:lang w:val="ru-RU" w:eastAsia="ru-RU" w:bidi="ar-SA"/>
              </w:rPr>
            </w:r>
          </w:p>
        </w:tc>
        <w:tc>
          <w:tcPr>
            <w:tcW w:w="612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color="000000" w:fill="FFFFFF" w:val="clear"/>
            <w:vAlign w:val="bottom"/>
          </w:tcPr>
          <w:p>
            <w:pPr>
              <w:pStyle w:val="Normal"/>
              <w:widowControl w:val="false"/>
              <w:bidi w:val="0"/>
              <w:jc w:val="left"/>
              <w:rPr>
                <w:rFonts w:ascii="Times New Roman" w:hAnsi="Times New Roman" w:eastAsia="Times New Roman" w:cs="Times New Roman"/>
                <w:color w:val="000000"/>
                <w:kern w:val="0"/>
                <w:sz w:val="24"/>
                <w:szCs w:val="24"/>
                <w:lang w:val="ru-RU" w:eastAsia="ru-RU" w:bidi="ar-SA"/>
              </w:rPr>
            </w:pPr>
            <w:r>
              <w:rPr>
                <w:rFonts w:eastAsia="Times New Roman" w:cs="Times New Roman"/>
                <w:color w:val="000000"/>
                <w:kern w:val="0"/>
                <w:sz w:val="24"/>
                <w:szCs w:val="24"/>
                <w:lang w:val="ru-RU" w:eastAsia="ru-RU" w:bidi="ar-SA"/>
              </w:rPr>
              <w:t>Фланец прижимной для ввода ВСТА-10/630</w:t>
            </w:r>
          </w:p>
        </w:tc>
        <w:tc>
          <w:tcPr>
            <w:tcW w:w="1430" w:type="dxa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color="000000" w:fill="FFFFFF" w:val="clear"/>
            <w:vAlign w:val="bottom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rFonts w:ascii="Times New Roman" w:hAnsi="Times New Roman" w:eastAsia="Times New Roman" w:cs="Times New Roman"/>
                <w:color w:val="2C2D2E"/>
                <w:kern w:val="0"/>
                <w:sz w:val="24"/>
                <w:szCs w:val="24"/>
                <w:lang w:val="ru-RU" w:eastAsia="ru-RU" w:bidi="ar-SA"/>
              </w:rPr>
            </w:pPr>
            <w:r>
              <w:rPr>
                <w:rFonts w:eastAsia="Times New Roman" w:cs="Times New Roman"/>
                <w:color w:val="2C2D2E"/>
                <w:kern w:val="0"/>
                <w:sz w:val="24"/>
                <w:szCs w:val="24"/>
                <w:lang w:val="ru-RU" w:eastAsia="ru-RU" w:bidi="ar-SA"/>
              </w:rPr>
              <w:t>шт</w:t>
            </w:r>
          </w:p>
        </w:tc>
        <w:tc>
          <w:tcPr>
            <w:tcW w:w="1515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000000" w:fill="FFFFFF" w:val="clear"/>
            <w:vAlign w:val="bottom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rFonts w:ascii="Times New Roman" w:hAnsi="Times New Roman" w:eastAsia="Times New Roman" w:cs="Times New Roman"/>
                <w:color w:val="2C2D2E"/>
                <w:kern w:val="0"/>
                <w:sz w:val="24"/>
                <w:szCs w:val="24"/>
                <w:lang w:val="ru-RU" w:eastAsia="ru-RU" w:bidi="ar-SA"/>
              </w:rPr>
            </w:pPr>
            <w:r>
              <w:rPr>
                <w:rFonts w:eastAsia="Times New Roman" w:cs="Times New Roman"/>
                <w:color w:val="2C2D2E"/>
                <w:kern w:val="0"/>
                <w:sz w:val="24"/>
                <w:szCs w:val="24"/>
                <w:lang w:val="ru-RU" w:eastAsia="ru-RU" w:bidi="ar-SA"/>
              </w:rPr>
              <w:t>6</w:t>
            </w:r>
          </w:p>
        </w:tc>
      </w:tr>
    </w:tbl>
    <w:p>
      <w:pPr>
        <w:pStyle w:val="Heading3"/>
        <w:numPr>
          <w:ilvl w:val="2"/>
          <w:numId w:val="3"/>
        </w:numPr>
        <w:rPr>
          <w:lang w:val="ru-RU"/>
        </w:rPr>
      </w:pPr>
      <w:bookmarkStart w:id="23" w:name="__RefHeading___Toc10463_901897445"/>
      <w:bookmarkStart w:id="24" w:name="_Toc219444499"/>
      <w:bookmarkStart w:id="25" w:name="_Toc51339696"/>
      <w:bookmarkEnd w:id="23"/>
      <w:r>
        <w:rPr>
          <w:lang w:val="ru-RU"/>
        </w:rPr>
        <w:t xml:space="preserve">Требования </w:t>
      </w:r>
      <w:bookmarkEnd w:id="25"/>
      <w:r>
        <w:rPr>
          <w:lang w:val="ru-RU"/>
        </w:rPr>
        <w:t>к срокам поставки продукции и оказания сопутствующих услуг</w:t>
      </w:r>
      <w:bookmarkEnd w:id="24"/>
    </w:p>
    <w:p>
      <w:pPr>
        <w:pStyle w:val="Heading1"/>
        <w:keepLines/>
        <w:numPr>
          <w:ilvl w:val="0"/>
          <w:numId w:val="0"/>
        </w:numPr>
        <w:spacing w:before="240" w:after="60"/>
        <w:ind w:left="0" w:hanging="0"/>
        <w:rPr>
          <w:sz w:val="24"/>
          <w:szCs w:val="24"/>
          <w:lang w:val="ru-RU"/>
        </w:rPr>
      </w:pPr>
      <w:bookmarkStart w:id="26" w:name="__RefHeading___Toc10465_901897445"/>
      <w:bookmarkStart w:id="27" w:name="_Toc219444500"/>
      <w:bookmarkStart w:id="28" w:name="_Toc51339697"/>
      <w:bookmarkStart w:id="29" w:name="_Toc50125127"/>
      <w:bookmarkStart w:id="30" w:name="_Toc50125126_Копия_1"/>
      <w:bookmarkEnd w:id="26"/>
      <w:bookmarkEnd w:id="30"/>
      <w:r>
        <w:rPr>
          <w:sz w:val="24"/>
          <w:szCs w:val="24"/>
        </w:rPr>
        <w:t xml:space="preserve">Таблица </w:t>
      </w:r>
      <w:r>
        <w:rPr>
          <w:sz w:val="24"/>
          <w:szCs w:val="24"/>
          <w:lang w:val="ru-RU"/>
        </w:rPr>
        <w:t>2</w:t>
      </w:r>
      <w:r>
        <w:rPr>
          <w:sz w:val="24"/>
          <w:szCs w:val="24"/>
        </w:rPr>
        <w:t>.</w:t>
      </w:r>
      <w:r>
        <w:rPr>
          <w:sz w:val="24"/>
          <w:szCs w:val="24"/>
          <w:lang w:val="ru-RU"/>
        </w:rPr>
        <w:t>1</w:t>
      </w:r>
      <w:r>
        <w:rPr>
          <w:sz w:val="24"/>
          <w:szCs w:val="24"/>
        </w:rPr>
        <w:t xml:space="preserve"> </w:t>
      </w:r>
      <w:bookmarkStart w:id="31" w:name="_Hlk50465284"/>
      <w:r>
        <w:rPr>
          <w:sz w:val="24"/>
          <w:szCs w:val="24"/>
        </w:rPr>
        <w:t xml:space="preserve">Требования по срокам </w:t>
      </w:r>
      <w:bookmarkEnd w:id="28"/>
      <w:bookmarkEnd w:id="29"/>
      <w:bookmarkEnd w:id="31"/>
      <w:r>
        <w:rPr>
          <w:sz w:val="24"/>
          <w:szCs w:val="24"/>
          <w:lang w:val="ru-RU"/>
        </w:rPr>
        <w:t>поставки продукции</w:t>
      </w:r>
      <w:bookmarkEnd w:id="27"/>
      <w:r>
        <w:rPr>
          <w:sz w:val="24"/>
          <w:szCs w:val="24"/>
          <w:lang w:val="ru-RU"/>
        </w:rPr>
        <w:t xml:space="preserve"> </w:t>
      </w:r>
    </w:p>
    <w:tbl>
      <w:tblPr>
        <w:tblW w:w="9918" w:type="dxa"/>
        <w:jc w:val="left"/>
        <w:tblInd w:w="226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val="04a0" w:noVBand="1" w:noHBand="0" w:lastColumn="0" w:firstColumn="1" w:lastRow="0" w:firstRow="1"/>
      </w:tblPr>
      <w:tblGrid>
        <w:gridCol w:w="1119"/>
        <w:gridCol w:w="2561"/>
        <w:gridCol w:w="2977"/>
        <w:gridCol w:w="3260"/>
      </w:tblGrid>
      <w:tr>
        <w:trPr/>
        <w:tc>
          <w:tcPr>
            <w:tcW w:w="1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№ </w:t>
            </w:r>
            <w:r>
              <w:rPr>
                <w:sz w:val="24"/>
                <w:szCs w:val="24"/>
              </w:rPr>
              <w:t>п/п</w:t>
            </w:r>
          </w:p>
        </w:tc>
        <w:tc>
          <w:tcPr>
            <w:tcW w:w="2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Наименование продукции / партии продукции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Требования к началу срока поставки продукции</w:t>
            </w: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Требования к окончанию срока поставки продукции</w:t>
            </w:r>
          </w:p>
        </w:tc>
      </w:tr>
      <w:tr>
        <w:trPr/>
        <w:tc>
          <w:tcPr>
            <w:tcW w:w="1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1</w:t>
            </w:r>
          </w:p>
        </w:tc>
        <w:tc>
          <w:tcPr>
            <w:tcW w:w="2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2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30"/>
              <w:keepNext w:val="false"/>
              <w:widowControl w:val="false"/>
              <w:spacing w:before="40" w:after="40"/>
              <w:jc w:val="center"/>
              <w:rPr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3</w:t>
            </w: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30"/>
              <w:keepNext w:val="false"/>
              <w:widowControl w:val="false"/>
              <w:spacing w:before="40" w:after="40"/>
              <w:jc w:val="center"/>
              <w:rPr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4</w:t>
            </w:r>
          </w:p>
        </w:tc>
      </w:tr>
      <w:tr>
        <w:trPr/>
        <w:tc>
          <w:tcPr>
            <w:tcW w:w="1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ListParagraph"/>
              <w:widowControl w:val="false"/>
              <w:numPr>
                <w:ilvl w:val="0"/>
                <w:numId w:val="8"/>
              </w:numPr>
              <w:rPr/>
            </w:pPr>
            <w:r>
              <w:rPr/>
            </w:r>
          </w:p>
        </w:tc>
        <w:tc>
          <w:tcPr>
            <w:tcW w:w="2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  <w:lang w:val="en-US"/>
              </w:rPr>
              <w:t>Перечень продукции согласно Таблице 1.1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  <w:lang w:val="en-US"/>
              </w:rPr>
              <w:t>С даты подписания договора</w:t>
            </w: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 течение 30 календарных дней с даты подписания договора</w:t>
            </w:r>
          </w:p>
        </w:tc>
      </w:tr>
    </w:tbl>
    <w:p>
      <w:pPr>
        <w:pStyle w:val="Normal"/>
        <w:rPr>
          <w:b/>
          <w:sz w:val="24"/>
          <w:szCs w:val="24"/>
        </w:rPr>
      </w:pPr>
      <w:r>
        <w:rPr>
          <w:b/>
          <w:sz w:val="24"/>
          <w:szCs w:val="24"/>
        </w:rPr>
      </w:r>
    </w:p>
    <w:p>
      <w:pPr>
        <w:pStyle w:val="Normal"/>
        <w:rPr>
          <w:b/>
          <w:sz w:val="24"/>
          <w:szCs w:val="24"/>
        </w:rPr>
      </w:pPr>
      <w:r>
        <w:rPr>
          <w:b/>
          <w:sz w:val="24"/>
          <w:szCs w:val="24"/>
        </w:rPr>
      </w:r>
    </w:p>
    <w:p>
      <w:pPr>
        <w:pStyle w:val="Normal"/>
        <w:rPr>
          <w:b/>
          <w:sz w:val="24"/>
          <w:szCs w:val="24"/>
        </w:rPr>
      </w:pPr>
      <w:r>
        <w:rPr>
          <w:b/>
          <w:sz w:val="24"/>
          <w:szCs w:val="24"/>
        </w:rPr>
      </w:r>
    </w:p>
    <w:p>
      <w:pPr>
        <w:pStyle w:val="Normal"/>
        <w:rPr>
          <w:b/>
          <w:sz w:val="24"/>
          <w:szCs w:val="24"/>
        </w:rPr>
      </w:pPr>
      <w:r>
        <w:rPr>
          <w:b/>
          <w:sz w:val="24"/>
          <w:szCs w:val="24"/>
        </w:rPr>
      </w:r>
    </w:p>
    <w:p>
      <w:pPr>
        <w:pStyle w:val="Normal"/>
        <w:rPr>
          <w:b/>
          <w:sz w:val="24"/>
          <w:szCs w:val="24"/>
        </w:rPr>
      </w:pPr>
      <w:r>
        <w:rPr>
          <w:b/>
          <w:sz w:val="24"/>
          <w:szCs w:val="24"/>
        </w:rPr>
      </w:r>
    </w:p>
    <w:p>
      <w:pPr>
        <w:pStyle w:val="Normal"/>
        <w:rPr>
          <w:b/>
          <w:sz w:val="24"/>
          <w:szCs w:val="24"/>
        </w:rPr>
      </w:pPr>
      <w:r>
        <w:rPr>
          <w:b/>
          <w:sz w:val="24"/>
          <w:szCs w:val="24"/>
        </w:rPr>
      </w:r>
    </w:p>
    <w:p>
      <w:pPr>
        <w:pStyle w:val="Normal"/>
        <w:rPr>
          <w:b/>
          <w:sz w:val="24"/>
          <w:szCs w:val="24"/>
        </w:rPr>
      </w:pPr>
      <w:r>
        <w:rPr>
          <w:b/>
          <w:sz w:val="24"/>
          <w:szCs w:val="24"/>
        </w:rPr>
      </w:r>
    </w:p>
    <w:p>
      <w:pPr>
        <w:pStyle w:val="Normal"/>
        <w:rPr>
          <w:b/>
          <w:sz w:val="24"/>
          <w:szCs w:val="24"/>
        </w:rPr>
      </w:pPr>
      <w:r>
        <w:rPr>
          <w:b/>
          <w:sz w:val="24"/>
          <w:szCs w:val="24"/>
        </w:rPr>
      </w:r>
    </w:p>
    <w:p>
      <w:pPr>
        <w:pStyle w:val="Normal"/>
        <w:rPr>
          <w:b/>
          <w:sz w:val="24"/>
          <w:szCs w:val="24"/>
        </w:rPr>
      </w:pPr>
      <w:r>
        <w:rPr>
          <w:b/>
          <w:sz w:val="24"/>
          <w:szCs w:val="24"/>
        </w:rPr>
      </w:r>
    </w:p>
    <w:p>
      <w:pPr>
        <w:pStyle w:val="Normal"/>
        <w:rPr>
          <w:b/>
          <w:sz w:val="24"/>
          <w:szCs w:val="24"/>
        </w:rPr>
      </w:pPr>
      <w:r>
        <w:rPr>
          <w:b/>
          <w:sz w:val="24"/>
          <w:szCs w:val="24"/>
        </w:rPr>
      </w:r>
    </w:p>
    <w:p>
      <w:pPr>
        <w:pStyle w:val="Normal"/>
        <w:rPr>
          <w:b/>
          <w:sz w:val="24"/>
          <w:szCs w:val="24"/>
        </w:rPr>
      </w:pPr>
      <w:r>
        <w:rPr>
          <w:b/>
          <w:sz w:val="24"/>
          <w:szCs w:val="24"/>
        </w:rPr>
      </w:r>
    </w:p>
    <w:p>
      <w:pPr>
        <w:pStyle w:val="Normal"/>
        <w:rPr>
          <w:b/>
          <w:sz w:val="24"/>
          <w:szCs w:val="24"/>
        </w:rPr>
      </w:pPr>
      <w:r>
        <w:rPr>
          <w:b/>
          <w:sz w:val="24"/>
          <w:szCs w:val="24"/>
        </w:rPr>
      </w:r>
    </w:p>
    <w:p>
      <w:pPr>
        <w:pStyle w:val="Normal"/>
        <w:rPr>
          <w:b/>
          <w:sz w:val="24"/>
          <w:szCs w:val="24"/>
        </w:rPr>
      </w:pPr>
      <w:r>
        <w:rPr>
          <w:b/>
          <w:sz w:val="24"/>
          <w:szCs w:val="24"/>
        </w:rPr>
      </w:r>
    </w:p>
    <w:p>
      <w:pPr>
        <w:pStyle w:val="Normal"/>
        <w:rPr>
          <w:b/>
          <w:sz w:val="24"/>
          <w:szCs w:val="24"/>
        </w:rPr>
      </w:pPr>
      <w:r>
        <w:rPr>
          <w:b/>
          <w:sz w:val="24"/>
          <w:szCs w:val="24"/>
        </w:rPr>
      </w:r>
    </w:p>
    <w:p>
      <w:pPr>
        <w:pStyle w:val="Normal"/>
        <w:rPr>
          <w:b/>
          <w:sz w:val="24"/>
          <w:szCs w:val="24"/>
        </w:rPr>
      </w:pPr>
      <w:r>
        <w:rPr>
          <w:b/>
          <w:sz w:val="24"/>
          <w:szCs w:val="24"/>
        </w:rPr>
      </w:r>
    </w:p>
    <w:p>
      <w:pPr>
        <w:pStyle w:val="Normal"/>
        <w:rPr>
          <w:b/>
          <w:sz w:val="24"/>
          <w:szCs w:val="24"/>
        </w:rPr>
      </w:pPr>
      <w:r>
        <w:rPr>
          <w:b/>
          <w:sz w:val="24"/>
          <w:szCs w:val="24"/>
        </w:rPr>
      </w:r>
    </w:p>
    <w:p>
      <w:pPr>
        <w:pStyle w:val="Normal"/>
        <w:rPr>
          <w:b/>
          <w:sz w:val="24"/>
          <w:szCs w:val="24"/>
        </w:rPr>
      </w:pPr>
      <w:r>
        <w:rPr>
          <w:b/>
          <w:sz w:val="24"/>
          <w:szCs w:val="24"/>
        </w:rPr>
      </w:r>
    </w:p>
    <w:p>
      <w:pPr>
        <w:sectPr>
          <w:headerReference w:type="even" r:id="rId2"/>
          <w:headerReference w:type="default" r:id="rId3"/>
          <w:headerReference w:type="first" r:id="rId4"/>
          <w:footerReference w:type="even" r:id="rId5"/>
          <w:footerReference w:type="default" r:id="rId6"/>
          <w:footerReference w:type="first" r:id="rId7"/>
          <w:type w:val="nextPage"/>
          <w:pgSz w:w="11906" w:h="16838"/>
          <w:pgMar w:left="1134" w:right="851" w:gutter="0" w:header="680" w:top="1134" w:footer="0" w:bottom="992"/>
          <w:pgNumType w:fmt="decimal"/>
          <w:formProt w:val="false"/>
          <w:titlePg/>
          <w:textDirection w:val="lrTb"/>
          <w:docGrid w:type="default" w:linePitch="360" w:charSpace="0"/>
        </w:sectPr>
        <w:pStyle w:val="Normal"/>
        <w:rPr>
          <w:b/>
          <w:sz w:val="24"/>
          <w:szCs w:val="24"/>
        </w:rPr>
      </w:pPr>
      <w:r>
        <w:rPr>
          <w:b/>
          <w:sz w:val="24"/>
          <w:szCs w:val="24"/>
        </w:rPr>
      </w:r>
    </w:p>
    <w:p>
      <w:pPr>
        <w:pStyle w:val="Normal"/>
        <w:rPr>
          <w:b/>
          <w:sz w:val="24"/>
          <w:szCs w:val="24"/>
        </w:rPr>
      </w:pPr>
      <w:r>
        <w:rPr>
          <w:b/>
          <w:sz w:val="24"/>
          <w:szCs w:val="24"/>
        </w:rPr>
      </w:r>
    </w:p>
    <w:p>
      <w:pPr>
        <w:pStyle w:val="Normal"/>
        <w:rPr>
          <w:b/>
          <w:sz w:val="24"/>
          <w:szCs w:val="24"/>
        </w:rPr>
      </w:pPr>
      <w:r>
        <w:rPr>
          <w:b/>
          <w:sz w:val="24"/>
          <w:szCs w:val="24"/>
        </w:rPr>
        <w:t>1.1.</w:t>
        <w:tab/>
        <w:t>Требования к качеству продукции</w:t>
      </w:r>
    </w:p>
    <w:p>
      <w:pPr>
        <w:pStyle w:val="Normal"/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 </w:t>
      </w:r>
      <w:r>
        <w:rPr>
          <w:b/>
          <w:sz w:val="24"/>
          <w:szCs w:val="24"/>
        </w:rPr>
        <w:t xml:space="preserve">Таблица 3. Требования к качеству продукции </w:t>
      </w:r>
    </w:p>
    <w:p>
      <w:pPr>
        <w:pStyle w:val="Normal"/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 </w:t>
      </w:r>
    </w:p>
    <w:p>
      <w:pPr>
        <w:pStyle w:val="Normal"/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Наименование продукции (Перечень продукции согласно Таблице 1.1): </w:t>
      </w:r>
      <w:r>
        <w:rPr>
          <w:b/>
          <w:color w:val="1A1A1A"/>
          <w:sz w:val="24"/>
          <w:szCs w:val="24"/>
        </w:rPr>
        <w:t xml:space="preserve">ОКПД 2: 27.11.62.110 </w:t>
      </w:r>
      <w:r>
        <w:rPr>
          <w:b/>
          <w:sz w:val="24"/>
          <w:szCs w:val="24"/>
        </w:rPr>
        <w:t>Поставка ввода высоковольтного для нужд Дагестанского филиала АО “Гидроремонт-ВКК” в г. Махачкала</w:t>
      </w:r>
    </w:p>
    <w:p>
      <w:pPr>
        <w:pStyle w:val="Normal"/>
        <w:rPr>
          <w:b/>
          <w:sz w:val="24"/>
          <w:szCs w:val="24"/>
        </w:rPr>
      </w:pPr>
      <w:r>
        <w:rPr>
          <w:b/>
          <w:sz w:val="24"/>
          <w:szCs w:val="24"/>
        </w:rPr>
      </w:r>
      <w:bookmarkStart w:id="32" w:name="_Hlk140587872_Копия_1"/>
      <w:bookmarkStart w:id="33" w:name="_Hlk140587872"/>
      <w:bookmarkStart w:id="34" w:name="_Hlk140587872_Копия_1_Копия_1"/>
      <w:bookmarkStart w:id="35" w:name="_Hlk140587872_Копия_1"/>
      <w:bookmarkStart w:id="36" w:name="_Hlk140587872"/>
      <w:bookmarkStart w:id="37" w:name="_Hlk140587872_Копия_1_Копия_1"/>
      <w:bookmarkEnd w:id="35"/>
      <w:bookmarkEnd w:id="36"/>
      <w:bookmarkEnd w:id="37"/>
    </w:p>
    <w:tbl>
      <w:tblPr>
        <w:tblStyle w:val="affff8"/>
        <w:tblW w:w="14281" w:type="dxa"/>
        <w:jc w:val="left"/>
        <w:tblInd w:w="108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val="04a0" w:noVBand="1" w:noHBand="0" w:lastColumn="0" w:firstColumn="1" w:lastRow="0" w:firstRow="1"/>
      </w:tblPr>
      <w:tblGrid>
        <w:gridCol w:w="675"/>
        <w:gridCol w:w="2099"/>
        <w:gridCol w:w="2145"/>
        <w:gridCol w:w="4159"/>
        <w:gridCol w:w="2022"/>
        <w:gridCol w:w="1650"/>
        <w:gridCol w:w="1530"/>
      </w:tblGrid>
      <w:tr>
        <w:trPr>
          <w:trHeight w:val="322" w:hRule="atLeast"/>
        </w:trPr>
        <w:tc>
          <w:tcPr>
            <w:tcW w:w="675" w:type="dxa"/>
            <w:vMerge w:val="restart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sz w:val="22"/>
                <w:szCs w:val="22"/>
              </w:rPr>
            </w:pPr>
            <w:r>
              <w:rPr>
                <w:rFonts w:eastAsia="Times New Roman" w:cs="Times New Roman"/>
                <w:b/>
                <w:bCs/>
                <w:kern w:val="0"/>
                <w:sz w:val="22"/>
                <w:szCs w:val="22"/>
                <w:lang w:val="ru-RU" w:eastAsia="ru-RU" w:bidi="ar-SA"/>
              </w:rPr>
              <w:t xml:space="preserve">№ </w:t>
            </w:r>
            <w:r>
              <w:rPr>
                <w:rFonts w:eastAsia="Times New Roman" w:cs="Times New Roman"/>
                <w:b/>
                <w:bCs/>
                <w:kern w:val="0"/>
                <w:sz w:val="22"/>
                <w:szCs w:val="22"/>
                <w:lang w:val="ru-RU" w:eastAsia="ru-RU" w:bidi="ar-SA"/>
              </w:rPr>
              <w:t>п/п</w:t>
            </w:r>
          </w:p>
        </w:tc>
        <w:tc>
          <w:tcPr>
            <w:tcW w:w="2099" w:type="dxa"/>
            <w:vMerge w:val="restart"/>
            <w:tcBorders>
              <w:right w:val="nil"/>
            </w:tcBorders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b/>
                <w:bCs/>
              </w:rPr>
            </w:pPr>
            <w:r>
              <w:rPr>
                <w:b/>
                <w:bCs/>
                <w:sz w:val="22"/>
                <w:szCs w:val="22"/>
              </w:rPr>
              <w:t>Наименование продукции</w:t>
            </w:r>
          </w:p>
        </w:tc>
        <w:tc>
          <w:tcPr>
            <w:tcW w:w="2145" w:type="dxa"/>
            <w:vMerge w:val="restart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sz w:val="22"/>
                <w:szCs w:val="22"/>
              </w:rPr>
            </w:pPr>
            <w:r>
              <w:rPr>
                <w:rFonts w:eastAsia="Times New Roman" w:cs="Times New Roman"/>
                <w:b/>
                <w:bCs/>
                <w:kern w:val="0"/>
                <w:sz w:val="22"/>
                <w:szCs w:val="22"/>
                <w:lang w:val="ru-RU" w:eastAsia="ru-RU" w:bidi="ar-SA"/>
              </w:rPr>
              <w:t>Наименование параметра</w:t>
            </w:r>
          </w:p>
        </w:tc>
        <w:tc>
          <w:tcPr>
            <w:tcW w:w="4159" w:type="dxa"/>
            <w:vMerge w:val="restart"/>
            <w:tcBorders>
              <w:right w:val="nil"/>
            </w:tcBorders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sz w:val="22"/>
                <w:szCs w:val="22"/>
              </w:rPr>
            </w:pPr>
            <w:r>
              <w:rPr>
                <w:rFonts w:eastAsia="Times New Roman" w:cs="Times New Roman"/>
                <w:b/>
                <w:bCs/>
                <w:kern w:val="0"/>
                <w:sz w:val="22"/>
                <w:szCs w:val="22"/>
                <w:lang w:val="ru-RU" w:eastAsia="ru-RU" w:bidi="ar-SA"/>
              </w:rPr>
              <w:t>Требование заказчика</w:t>
            </w:r>
          </w:p>
        </w:tc>
        <w:tc>
          <w:tcPr>
            <w:tcW w:w="3672" w:type="dxa"/>
            <w:gridSpan w:val="2"/>
            <w:tcBorders>
              <w:right w:val="nil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contextualSpacing/>
              <w:jc w:val="center"/>
              <w:rPr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Способ подтверждения участником соответствия требованиям</w:t>
            </w:r>
          </w:p>
        </w:tc>
        <w:tc>
          <w:tcPr>
            <w:tcW w:w="1530" w:type="dxa"/>
            <w:vMerge w:val="restart"/>
            <w:tcBorders/>
            <w:vAlign w:val="center"/>
          </w:tcPr>
          <w:p>
            <w:pPr>
              <w:pStyle w:val="Normal"/>
              <w:widowControl w:val="false"/>
              <w:spacing w:before="0" w:after="0"/>
              <w:contextualSpacing/>
              <w:jc w:val="center"/>
              <w:rPr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Предложение участника по характеристикам и параметрам</w:t>
            </w:r>
          </w:p>
        </w:tc>
      </w:tr>
      <w:tr>
        <w:trPr/>
        <w:tc>
          <w:tcPr>
            <w:tcW w:w="675" w:type="dxa"/>
            <w:vMerge w:val="continue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rFonts w:eastAsia="Times New Roman" w:cs="Times New Roman"/>
                <w:b/>
                <w:kern w:val="0"/>
                <w:lang w:val="ru-RU" w:eastAsia="ru-RU" w:bidi="ar-SA"/>
              </w:rPr>
            </w:pPr>
            <w:r>
              <w:rPr>
                <w:rFonts w:eastAsia="Times New Roman" w:cs="Times New Roman"/>
                <w:b/>
                <w:kern w:val="0"/>
                <w:lang w:val="ru-RU" w:eastAsia="ru-RU" w:bidi="ar-SA"/>
              </w:rPr>
            </w:r>
          </w:p>
        </w:tc>
        <w:tc>
          <w:tcPr>
            <w:tcW w:w="2099" w:type="dxa"/>
            <w:vMerge w:val="continue"/>
            <w:tcBorders>
              <w:right w:val="nil"/>
            </w:tcBorders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</w:p>
        </w:tc>
        <w:tc>
          <w:tcPr>
            <w:tcW w:w="2145" w:type="dxa"/>
            <w:vMerge w:val="continue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rFonts w:eastAsia="Times New Roman" w:cs="Times New Roman"/>
                <w:b/>
                <w:kern w:val="0"/>
                <w:lang w:val="ru-RU" w:eastAsia="ru-RU" w:bidi="ar-SA"/>
              </w:rPr>
            </w:pPr>
            <w:r>
              <w:rPr>
                <w:rFonts w:eastAsia="Times New Roman" w:cs="Times New Roman"/>
                <w:b/>
                <w:kern w:val="0"/>
                <w:lang w:val="ru-RU" w:eastAsia="ru-RU" w:bidi="ar-SA"/>
              </w:rPr>
            </w:r>
          </w:p>
        </w:tc>
        <w:tc>
          <w:tcPr>
            <w:tcW w:w="4159" w:type="dxa"/>
            <w:vMerge w:val="continue"/>
            <w:tcBorders>
              <w:right w:val="nil"/>
            </w:tcBorders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rFonts w:eastAsia="Times New Roman" w:cs="Times New Roman"/>
                <w:b/>
                <w:kern w:val="0"/>
                <w:lang w:val="ru-RU" w:eastAsia="ru-RU" w:bidi="ar-SA"/>
              </w:rPr>
            </w:pPr>
            <w:r>
              <w:rPr>
                <w:rFonts w:eastAsia="Times New Roman" w:cs="Times New Roman"/>
                <w:b/>
                <w:kern w:val="0"/>
                <w:lang w:val="ru-RU" w:eastAsia="ru-RU" w:bidi="ar-SA"/>
              </w:rPr>
            </w:r>
          </w:p>
        </w:tc>
        <w:tc>
          <w:tcPr>
            <w:tcW w:w="2022" w:type="dxa"/>
            <w:tcBorders>
              <w:right w:val="nil"/>
            </w:tcBorders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rFonts w:eastAsia="Times New Roman" w:cs="Times New Roman"/>
                <w:b/>
                <w:bCs/>
                <w:kern w:val="0"/>
                <w:sz w:val="22"/>
                <w:szCs w:val="22"/>
                <w:lang w:val="ru-RU" w:eastAsia="ru-RU" w:bidi="ar-SA"/>
              </w:rPr>
              <w:t>Согласие с требованием/ указание характеристик</w:t>
            </w:r>
          </w:p>
        </w:tc>
        <w:tc>
          <w:tcPr>
            <w:tcW w:w="1650" w:type="dxa"/>
            <w:tcBorders>
              <w:right w:val="nil"/>
            </w:tcBorders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rFonts w:ascii="Times New Roman" w:hAnsi="Times New Roman" w:cs="Times New Roman"/>
                <w:b/>
                <w:bCs/>
                <w:kern w:val="0"/>
                <w:sz w:val="22"/>
                <w:szCs w:val="22"/>
                <w:lang w:val="ru-RU" w:eastAsia="ru-RU" w:bidi="ar-SA"/>
              </w:rPr>
            </w:pPr>
            <w:r>
              <w:rPr>
                <w:rFonts w:eastAsia="Calibri" w:cs="Times New Roman"/>
                <w:b/>
                <w:bCs/>
                <w:kern w:val="0"/>
                <w:sz w:val="22"/>
                <w:szCs w:val="22"/>
                <w:lang w:val="ru-RU" w:eastAsia="ru-RU" w:bidi="ar-SA"/>
              </w:rPr>
              <w:t>Предоставление подтверждающего документа на этапе закупки</w:t>
            </w:r>
          </w:p>
        </w:tc>
        <w:tc>
          <w:tcPr>
            <w:tcW w:w="1530" w:type="dxa"/>
            <w:vMerge w:val="continue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</w:r>
          </w:p>
        </w:tc>
      </w:tr>
      <w:tr>
        <w:trPr/>
        <w:tc>
          <w:tcPr>
            <w:tcW w:w="675" w:type="dxa"/>
            <w:tcBorders>
              <w:top w:val="nil"/>
            </w:tcBorders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rFonts w:eastAsia="Times New Roman" w:cs="Times New Roman"/>
                <w:b/>
                <w:bCs/>
                <w:kern w:val="0"/>
                <w:sz w:val="22"/>
                <w:szCs w:val="22"/>
                <w:lang w:val="ru-RU" w:eastAsia="ru-RU" w:bidi="ar-SA"/>
              </w:rPr>
              <w:t>1</w:t>
            </w:r>
          </w:p>
        </w:tc>
        <w:tc>
          <w:tcPr>
            <w:tcW w:w="2099" w:type="dxa"/>
            <w:tcBorders>
              <w:top w:val="nil"/>
              <w:right w:val="nil"/>
            </w:tcBorders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2</w:t>
            </w:r>
          </w:p>
        </w:tc>
        <w:tc>
          <w:tcPr>
            <w:tcW w:w="2145" w:type="dxa"/>
            <w:tcBorders>
              <w:top w:val="nil"/>
            </w:tcBorders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rFonts w:eastAsia="Times New Roman" w:cs="Times New Roman"/>
                <w:b/>
                <w:bCs/>
                <w:kern w:val="0"/>
                <w:sz w:val="22"/>
                <w:szCs w:val="22"/>
                <w:lang w:val="ru-RU" w:eastAsia="ru-RU" w:bidi="ar-SA"/>
              </w:rPr>
              <w:t>3</w:t>
            </w:r>
          </w:p>
        </w:tc>
        <w:tc>
          <w:tcPr>
            <w:tcW w:w="4159" w:type="dxa"/>
            <w:tcBorders>
              <w:top w:val="nil"/>
              <w:right w:val="nil"/>
            </w:tcBorders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rFonts w:eastAsia="Times New Roman" w:cs="Times New Roman"/>
                <w:b/>
                <w:bCs/>
                <w:kern w:val="0"/>
                <w:sz w:val="22"/>
                <w:szCs w:val="22"/>
                <w:lang w:val="ru-RU" w:eastAsia="ru-RU" w:bidi="ar-SA"/>
              </w:rPr>
              <w:t>4</w:t>
            </w:r>
          </w:p>
        </w:tc>
        <w:tc>
          <w:tcPr>
            <w:tcW w:w="2022" w:type="dxa"/>
            <w:tcBorders>
              <w:top w:val="nil"/>
              <w:right w:val="nil"/>
            </w:tcBorders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rFonts w:ascii="Times New Roman" w:hAnsi="Times New Roman" w:eastAsia="Times New Roman" w:cs="Times New Roman"/>
                <w:b/>
                <w:bCs/>
                <w:kern w:val="0"/>
                <w:sz w:val="24"/>
                <w:szCs w:val="24"/>
                <w:lang w:val="ru-RU" w:eastAsia="ru-RU" w:bidi="ar-SA"/>
              </w:rPr>
            </w:pPr>
            <w:r>
              <w:rPr>
                <w:rFonts w:eastAsia="Times New Roman" w:cs="Times New Roman"/>
                <w:b/>
                <w:bCs/>
                <w:kern w:val="0"/>
                <w:sz w:val="24"/>
                <w:szCs w:val="24"/>
                <w:lang w:val="ru-RU" w:eastAsia="ru-RU" w:bidi="ar-SA"/>
              </w:rPr>
              <w:t>5</w:t>
            </w:r>
          </w:p>
        </w:tc>
        <w:tc>
          <w:tcPr>
            <w:tcW w:w="1650" w:type="dxa"/>
            <w:tcBorders>
              <w:top w:val="nil"/>
              <w:right w:val="nil"/>
            </w:tcBorders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6</w:t>
            </w:r>
          </w:p>
        </w:tc>
        <w:tc>
          <w:tcPr>
            <w:tcW w:w="1530" w:type="dxa"/>
            <w:tcBorders>
              <w:top w:val="nil"/>
            </w:tcBorders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7</w:t>
            </w:r>
          </w:p>
        </w:tc>
      </w:tr>
      <w:tr>
        <w:trPr/>
        <w:tc>
          <w:tcPr>
            <w:tcW w:w="675" w:type="dxa"/>
            <w:tcBorders/>
            <w:vAlign w:val="center"/>
          </w:tcPr>
          <w:p>
            <w:pPr>
              <w:pStyle w:val="Normal"/>
              <w:widowControl w:val="false"/>
              <w:numPr>
                <w:ilvl w:val="0"/>
                <w:numId w:val="6"/>
              </w:numPr>
              <w:suppressAutoHyphens w:val="true"/>
              <w:spacing w:before="0" w:after="0"/>
              <w:jc w:val="lef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</w:p>
        </w:tc>
        <w:tc>
          <w:tcPr>
            <w:tcW w:w="2099" w:type="dxa"/>
            <w:tcBorders>
              <w:right w:val="nil"/>
            </w:tcBorders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</w:p>
        </w:tc>
        <w:tc>
          <w:tcPr>
            <w:tcW w:w="6304" w:type="dxa"/>
            <w:gridSpan w:val="2"/>
            <w:tcBorders>
              <w:right w:val="nil"/>
            </w:tcBorders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sz w:val="22"/>
                <w:szCs w:val="22"/>
              </w:rPr>
            </w:pPr>
            <w:r>
              <w:rPr>
                <w:rFonts w:eastAsia="Times New Roman" w:cs="Times New Roman"/>
                <w:b/>
                <w:kern w:val="0"/>
                <w:sz w:val="22"/>
                <w:szCs w:val="22"/>
                <w:lang w:val="ru-RU" w:eastAsia="ru-RU" w:bidi="ar-SA"/>
              </w:rPr>
              <w:t>Требования к техническим и функциональным характеристикам (включая гарантируемые показатели)</w:t>
            </w:r>
          </w:p>
        </w:tc>
        <w:tc>
          <w:tcPr>
            <w:tcW w:w="3672" w:type="dxa"/>
            <w:gridSpan w:val="2"/>
            <w:tcBorders>
              <w:right w:val="nil"/>
            </w:tcBorders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</w:r>
          </w:p>
        </w:tc>
        <w:tc>
          <w:tcPr>
            <w:tcW w:w="1530" w:type="dxa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</w:r>
          </w:p>
        </w:tc>
      </w:tr>
      <w:tr>
        <w:trPr/>
        <w:tc>
          <w:tcPr>
            <w:tcW w:w="675" w:type="dxa"/>
            <w:vMerge w:val="restart"/>
            <w:tcBorders>
              <w:top w:val="nil"/>
            </w:tcBorders>
            <w:vAlign w:val="center"/>
          </w:tcPr>
          <w:p>
            <w:pPr>
              <w:pStyle w:val="Normal"/>
              <w:widowControl w:val="false"/>
              <w:numPr>
                <w:ilvl w:val="1"/>
                <w:numId w:val="6"/>
              </w:numPr>
              <w:suppressAutoHyphens w:val="true"/>
              <w:spacing w:before="0" w:after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</w:p>
        </w:tc>
        <w:tc>
          <w:tcPr>
            <w:tcW w:w="2099" w:type="dxa"/>
            <w:vMerge w:val="restart"/>
            <w:tcBorders>
              <w:top w:val="nil"/>
              <w:right w:val="nil"/>
            </w:tcBorders>
            <w:shd w:color="000000" w:fill="FFFFFF" w:val="clear"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rFonts w:eastAsia="Times New Roman" w:cs="Times New Roman"/>
                <w:b/>
                <w:bCs/>
                <w:color w:val="2C2D2E"/>
                <w:kern w:val="0"/>
                <w:sz w:val="22"/>
                <w:szCs w:val="22"/>
                <w:lang w:val="ru-RU" w:eastAsia="ru-RU" w:bidi="ar-SA"/>
              </w:rPr>
              <w:t>Ввод высоковольтный 10,5 кВ ВСТА-10/630-1</w:t>
            </w:r>
          </w:p>
        </w:tc>
        <w:tc>
          <w:tcPr>
            <w:tcW w:w="2145" w:type="dxa"/>
            <w:tcBorders>
              <w:top w:val="nil"/>
              <w:right w:val="single" w:sz="8" w:space="0" w:color="000000"/>
            </w:tcBorders>
            <w:shd w:color="000000" w:fill="FFFFFF" w:val="clear"/>
            <w:vAlign w:val="bottom"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sz w:val="22"/>
                <w:szCs w:val="22"/>
              </w:rPr>
            </w:pPr>
            <w:r>
              <w:rPr>
                <w:rFonts w:eastAsia="Times New Roman" w:cs="Times New Roman"/>
                <w:kern w:val="0"/>
                <w:sz w:val="22"/>
                <w:szCs w:val="22"/>
                <w:lang w:val="ru-RU" w:eastAsia="ru-RU" w:bidi="ar-SA"/>
              </w:rPr>
              <w:t>Категория электрооборудования по ГОСТ 9920-75</w:t>
            </w:r>
          </w:p>
        </w:tc>
        <w:tc>
          <w:tcPr>
            <w:tcW w:w="4159" w:type="dxa"/>
            <w:tcBorders>
              <w:right w:val="nil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sz w:val="22"/>
                <w:szCs w:val="22"/>
              </w:rPr>
            </w:pPr>
            <w:r>
              <w:rPr>
                <w:rFonts w:eastAsia="Times New Roman" w:cs="Times New Roman"/>
                <w:kern w:val="0"/>
                <w:sz w:val="22"/>
                <w:szCs w:val="22"/>
                <w:lang w:val="ru-RU" w:eastAsia="ru-RU" w:bidi="ar-SA"/>
              </w:rPr>
              <w:t>«А»</w:t>
            </w:r>
          </w:p>
        </w:tc>
        <w:tc>
          <w:tcPr>
            <w:tcW w:w="2022" w:type="dxa"/>
            <w:tcBorders>
              <w:right w:val="nil"/>
            </w:tcBorders>
            <w:shd w:color="auto" w:fill="auto" w:val="clea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rFonts w:ascii="Times New Roman" w:hAnsi="Times New Roman" w:eastAsia="Times New Roman" w:cs="Times New Roman"/>
                <w:kern w:val="0"/>
                <w:sz w:val="22"/>
                <w:szCs w:val="22"/>
                <w:lang w:val="ru-RU" w:eastAsia="ru-RU" w:bidi="ar-SA"/>
              </w:rPr>
            </w:pPr>
            <w:r>
              <w:rPr>
                <w:rFonts w:eastAsia="Times New Roman" w:cs="Times New Roman"/>
                <w:kern w:val="0"/>
                <w:sz w:val="22"/>
                <w:szCs w:val="22"/>
                <w:lang w:val="ru-RU" w:eastAsia="ru-RU" w:bidi="ar-SA"/>
              </w:rPr>
              <w:t>Согласие с требованием</w:t>
            </w:r>
          </w:p>
        </w:tc>
        <w:tc>
          <w:tcPr>
            <w:tcW w:w="1650" w:type="dxa"/>
            <w:tcBorders>
              <w:right w:val="nil"/>
            </w:tcBorders>
            <w:shd w:color="auto" w:fill="auto" w:val="clear"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rFonts w:ascii="Times New Roman" w:hAnsi="Times New Roman" w:eastAsia="Times New Roman" w:cs="Times New Roman"/>
                <w:kern w:val="0"/>
                <w:sz w:val="22"/>
                <w:szCs w:val="22"/>
                <w:lang w:val="ru-RU" w:eastAsia="ru-RU" w:bidi="ar-SA"/>
              </w:rPr>
            </w:pPr>
            <w:r>
              <w:rPr>
                <w:rFonts w:eastAsia="Times New Roman" w:cs="Times New Roman"/>
                <w:kern w:val="0"/>
                <w:sz w:val="22"/>
                <w:szCs w:val="22"/>
                <w:lang w:val="ru-RU" w:eastAsia="ru-RU" w:bidi="ar-SA"/>
              </w:rPr>
            </w:r>
          </w:p>
        </w:tc>
        <w:tc>
          <w:tcPr>
            <w:tcW w:w="1530" w:type="dxa"/>
            <w:tcBorders/>
            <w:shd w:color="auto" w:fill="auto" w:val="clear"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rFonts w:ascii="Times New Roman" w:hAnsi="Times New Roman" w:eastAsia="Times New Roman" w:cs="Times New Roman"/>
                <w:kern w:val="0"/>
                <w:sz w:val="22"/>
                <w:szCs w:val="22"/>
                <w:lang w:val="ru-RU" w:eastAsia="ru-RU" w:bidi="ar-SA"/>
              </w:rPr>
            </w:pPr>
            <w:r>
              <w:rPr>
                <w:rFonts w:eastAsia="Times New Roman" w:cs="Times New Roman"/>
                <w:kern w:val="0"/>
                <w:sz w:val="22"/>
                <w:szCs w:val="22"/>
                <w:lang w:val="ru-RU" w:eastAsia="ru-RU" w:bidi="ar-SA"/>
              </w:rPr>
            </w:r>
          </w:p>
        </w:tc>
      </w:tr>
      <w:tr>
        <w:trPr>
          <w:trHeight w:val="811" w:hRule="atLeast"/>
        </w:trPr>
        <w:tc>
          <w:tcPr>
            <w:tcW w:w="675" w:type="dxa"/>
            <w:vMerge w:val="continue"/>
            <w:tcBorders>
              <w:top w:val="nil"/>
            </w:tcBorders>
            <w:vAlign w:val="center"/>
          </w:tcPr>
          <w:p>
            <w:pPr>
              <w:pStyle w:val="Normal"/>
              <w:widowControl w:val="false"/>
              <w:numPr>
                <w:ilvl w:val="0"/>
                <w:numId w:val="0"/>
              </w:numPr>
              <w:suppressAutoHyphens w:val="true"/>
              <w:spacing w:before="0" w:after="0"/>
              <w:ind w:left="0" w:hanging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</w:p>
        </w:tc>
        <w:tc>
          <w:tcPr>
            <w:tcW w:w="2099" w:type="dxa"/>
            <w:vMerge w:val="continue"/>
            <w:tcBorders>
              <w:top w:val="nil"/>
              <w:right w:val="nil"/>
            </w:tcBorders>
            <w:shd w:color="000000" w:fill="FFFFFF" w:val="clear"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</w:r>
          </w:p>
        </w:tc>
        <w:tc>
          <w:tcPr>
            <w:tcW w:w="2145" w:type="dxa"/>
            <w:tcBorders>
              <w:top w:val="nil"/>
              <w:right w:val="single" w:sz="8" w:space="0" w:color="000000"/>
            </w:tcBorders>
            <w:shd w:color="000000" w:fill="FFFFFF" w:val="clear"/>
            <w:vAlign w:val="bottom"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sz w:val="22"/>
                <w:szCs w:val="22"/>
              </w:rPr>
            </w:pPr>
            <w:r>
              <w:rPr>
                <w:rFonts w:eastAsia="Times New Roman" w:cs="Times New Roman"/>
                <w:kern w:val="0"/>
                <w:sz w:val="22"/>
                <w:szCs w:val="22"/>
                <w:lang w:val="ru-RU" w:eastAsia="ru-RU" w:bidi="ar-SA"/>
              </w:rPr>
              <w:t>Номинальное напряжение, кВ</w:t>
            </w:r>
          </w:p>
        </w:tc>
        <w:tc>
          <w:tcPr>
            <w:tcW w:w="4159" w:type="dxa"/>
            <w:tcBorders>
              <w:top w:val="nil"/>
              <w:right w:val="nil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10</w:t>
            </w:r>
          </w:p>
        </w:tc>
        <w:tc>
          <w:tcPr>
            <w:tcW w:w="2022" w:type="dxa"/>
            <w:tcBorders>
              <w:top w:val="nil"/>
              <w:right w:val="nil"/>
            </w:tcBorders>
            <w:shd w:color="auto" w:fill="auto" w:val="clea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rFonts w:ascii="Times New Roman" w:hAnsi="Times New Roman" w:eastAsia="Times New Roman" w:cs="Times New Roman"/>
                <w:kern w:val="0"/>
                <w:sz w:val="22"/>
                <w:szCs w:val="22"/>
                <w:lang w:val="ru-RU" w:eastAsia="ru-RU" w:bidi="ar-SA"/>
              </w:rPr>
            </w:pPr>
            <w:r>
              <w:rPr>
                <w:rFonts w:eastAsia="Times New Roman" w:cs="Times New Roman"/>
                <w:kern w:val="0"/>
                <w:sz w:val="22"/>
                <w:szCs w:val="22"/>
                <w:lang w:val="ru-RU" w:eastAsia="ru-RU" w:bidi="ar-SA"/>
              </w:rPr>
              <w:t>Согласие с требованием</w:t>
            </w:r>
          </w:p>
        </w:tc>
        <w:tc>
          <w:tcPr>
            <w:tcW w:w="1650" w:type="dxa"/>
            <w:tcBorders>
              <w:top w:val="nil"/>
              <w:right w:val="nil"/>
            </w:tcBorders>
            <w:shd w:color="auto" w:fill="auto" w:val="clear"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rFonts w:ascii="Times New Roman" w:hAnsi="Times New Roman" w:eastAsia="Times New Roman" w:cs="Times New Roman"/>
                <w:kern w:val="0"/>
                <w:sz w:val="22"/>
                <w:szCs w:val="22"/>
                <w:lang w:val="ru-RU" w:eastAsia="ru-RU" w:bidi="ar-SA"/>
              </w:rPr>
            </w:pPr>
            <w:r>
              <w:rPr>
                <w:rFonts w:eastAsia="Times New Roman" w:cs="Times New Roman"/>
                <w:kern w:val="0"/>
                <w:sz w:val="22"/>
                <w:szCs w:val="22"/>
                <w:lang w:val="ru-RU" w:eastAsia="ru-RU" w:bidi="ar-SA"/>
              </w:rPr>
            </w:r>
          </w:p>
        </w:tc>
        <w:tc>
          <w:tcPr>
            <w:tcW w:w="1530" w:type="dxa"/>
            <w:tcBorders>
              <w:top w:val="nil"/>
            </w:tcBorders>
            <w:shd w:color="auto" w:fill="auto" w:val="clear"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rFonts w:ascii="Times New Roman" w:hAnsi="Times New Roman" w:eastAsia="Times New Roman" w:cs="Times New Roman"/>
                <w:kern w:val="0"/>
                <w:sz w:val="22"/>
                <w:szCs w:val="22"/>
                <w:lang w:val="ru-RU" w:eastAsia="ru-RU" w:bidi="ar-SA"/>
              </w:rPr>
            </w:pPr>
            <w:r>
              <w:rPr>
                <w:rFonts w:eastAsia="Times New Roman" w:cs="Times New Roman"/>
                <w:kern w:val="0"/>
                <w:sz w:val="22"/>
                <w:szCs w:val="22"/>
                <w:lang w:val="ru-RU" w:eastAsia="ru-RU" w:bidi="ar-SA"/>
              </w:rPr>
            </w:r>
          </w:p>
        </w:tc>
      </w:tr>
      <w:tr>
        <w:trPr>
          <w:trHeight w:val="811" w:hRule="atLeast"/>
        </w:trPr>
        <w:tc>
          <w:tcPr>
            <w:tcW w:w="675" w:type="dxa"/>
            <w:vMerge w:val="continue"/>
            <w:tcBorders>
              <w:top w:val="nil"/>
            </w:tcBorders>
            <w:vAlign w:val="center"/>
          </w:tcPr>
          <w:p>
            <w:pPr>
              <w:pStyle w:val="Normal"/>
              <w:widowControl w:val="false"/>
              <w:numPr>
                <w:ilvl w:val="0"/>
                <w:numId w:val="0"/>
              </w:numPr>
              <w:suppressAutoHyphens w:val="true"/>
              <w:spacing w:before="0" w:after="0"/>
              <w:ind w:left="0" w:hanging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</w:p>
        </w:tc>
        <w:tc>
          <w:tcPr>
            <w:tcW w:w="2099" w:type="dxa"/>
            <w:vMerge w:val="continue"/>
            <w:tcBorders>
              <w:top w:val="nil"/>
              <w:right w:val="nil"/>
            </w:tcBorders>
            <w:shd w:color="000000" w:fill="FFFFFF" w:val="clear"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</w:r>
          </w:p>
        </w:tc>
        <w:tc>
          <w:tcPr>
            <w:tcW w:w="2145" w:type="dxa"/>
            <w:tcBorders>
              <w:top w:val="nil"/>
              <w:right w:val="single" w:sz="8" w:space="0" w:color="000000"/>
            </w:tcBorders>
            <w:shd w:color="000000" w:fill="FFFFFF" w:val="clear"/>
            <w:vAlign w:val="bottom"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/>
            </w:pPr>
            <w:r>
              <w:rPr>
                <w:rStyle w:val="Strong"/>
                <w:rFonts w:eastAsia="Times New Roman" w:cs="Times New Roman"/>
                <w:b w:val="false"/>
                <w:bCs w:val="false"/>
                <w:color w:val="auto"/>
                <w:kern w:val="0"/>
                <w:sz w:val="22"/>
                <w:szCs w:val="22"/>
                <w:lang w:val="ru-RU" w:eastAsia="ru-RU" w:bidi="ar-SA"/>
              </w:rPr>
              <w:t>Н</w:t>
            </w:r>
            <w:r>
              <w:rPr>
                <w:rStyle w:val="Strong"/>
                <w:rFonts w:eastAsia="Times New Roman" w:cs="Times New Roman"/>
                <w:b w:val="false"/>
                <w:bCs w:val="false"/>
                <w:color w:val="auto"/>
                <w:kern w:val="0"/>
                <w:sz w:val="22"/>
                <w:szCs w:val="22"/>
                <w:lang w:val="ru-RU" w:eastAsia="ru-RU" w:bidi="ar-SA"/>
              </w:rPr>
              <w:t xml:space="preserve">аибольшее рабочее напряжение, </w:t>
            </w:r>
            <w:r>
              <w:rPr>
                <w:rStyle w:val="Strong"/>
                <w:rFonts w:eastAsia="Times New Roman" w:cs="Times New Roman"/>
                <w:b w:val="false"/>
                <w:bCs w:val="false"/>
                <w:color w:val="auto"/>
                <w:kern w:val="0"/>
                <w:sz w:val="22"/>
                <w:szCs w:val="22"/>
                <w:lang w:val="ru-RU" w:eastAsia="ru-RU" w:bidi="ar-SA"/>
              </w:rPr>
              <w:t>кВ</w:t>
            </w:r>
          </w:p>
        </w:tc>
        <w:tc>
          <w:tcPr>
            <w:tcW w:w="4159" w:type="dxa"/>
            <w:tcBorders>
              <w:top w:val="nil"/>
              <w:right w:val="nil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Указать</w:t>
            </w:r>
          </w:p>
        </w:tc>
        <w:tc>
          <w:tcPr>
            <w:tcW w:w="2022" w:type="dxa"/>
            <w:tcBorders>
              <w:top w:val="nil"/>
              <w:right w:val="nil"/>
            </w:tcBorders>
            <w:shd w:color="auto" w:fill="auto" w:val="clea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rFonts w:ascii="Times New Roman" w:hAnsi="Times New Roman" w:eastAsia="Times New Roman" w:cs="Times New Roman"/>
                <w:kern w:val="0"/>
                <w:sz w:val="22"/>
                <w:szCs w:val="22"/>
                <w:lang w:val="ru-RU" w:eastAsia="ru-RU" w:bidi="ar-SA"/>
              </w:rPr>
            </w:pPr>
            <w:r>
              <w:rPr>
                <w:rFonts w:eastAsia="Times New Roman" w:cs="Times New Roman"/>
                <w:kern w:val="0"/>
                <w:sz w:val="22"/>
                <w:szCs w:val="22"/>
                <w:lang w:val="ru-RU" w:eastAsia="ru-RU" w:bidi="ar-SA"/>
              </w:rPr>
              <w:t>Указание характеристик</w:t>
            </w:r>
          </w:p>
        </w:tc>
        <w:tc>
          <w:tcPr>
            <w:tcW w:w="1650" w:type="dxa"/>
            <w:tcBorders>
              <w:top w:val="nil"/>
              <w:right w:val="nil"/>
            </w:tcBorders>
            <w:shd w:color="auto" w:fill="auto" w:val="clear"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rFonts w:ascii="Times New Roman" w:hAnsi="Times New Roman" w:eastAsia="Times New Roman" w:cs="Times New Roman"/>
                <w:kern w:val="0"/>
                <w:sz w:val="22"/>
                <w:szCs w:val="22"/>
                <w:lang w:val="ru-RU" w:eastAsia="ru-RU" w:bidi="ar-SA"/>
              </w:rPr>
            </w:pPr>
            <w:r>
              <w:rPr>
                <w:rFonts w:eastAsia="Times New Roman" w:cs="Times New Roman"/>
                <w:kern w:val="0"/>
                <w:sz w:val="22"/>
                <w:szCs w:val="22"/>
                <w:lang w:val="ru-RU" w:eastAsia="ru-RU" w:bidi="ar-SA"/>
              </w:rPr>
            </w:r>
          </w:p>
        </w:tc>
        <w:tc>
          <w:tcPr>
            <w:tcW w:w="1530" w:type="dxa"/>
            <w:tcBorders>
              <w:top w:val="nil"/>
            </w:tcBorders>
            <w:shd w:color="auto" w:fill="auto" w:val="clear"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rFonts w:ascii="Times New Roman" w:hAnsi="Times New Roman" w:eastAsia="Times New Roman" w:cs="Times New Roman"/>
                <w:kern w:val="0"/>
                <w:sz w:val="22"/>
                <w:szCs w:val="22"/>
                <w:lang w:val="ru-RU" w:eastAsia="ru-RU" w:bidi="ar-SA"/>
              </w:rPr>
            </w:pPr>
            <w:r>
              <w:rPr>
                <w:rFonts w:eastAsia="Times New Roman" w:cs="Times New Roman"/>
                <w:kern w:val="0"/>
                <w:sz w:val="22"/>
                <w:szCs w:val="22"/>
                <w:lang w:val="ru-RU" w:eastAsia="ru-RU" w:bidi="ar-SA"/>
              </w:rPr>
            </w:r>
          </w:p>
        </w:tc>
      </w:tr>
      <w:tr>
        <w:trPr>
          <w:trHeight w:val="811" w:hRule="atLeast"/>
        </w:trPr>
        <w:tc>
          <w:tcPr>
            <w:tcW w:w="675" w:type="dxa"/>
            <w:vMerge w:val="continue"/>
            <w:tcBorders>
              <w:top w:val="nil"/>
            </w:tcBorders>
            <w:vAlign w:val="center"/>
          </w:tcPr>
          <w:p>
            <w:pPr>
              <w:pStyle w:val="Normal"/>
              <w:widowControl w:val="false"/>
              <w:numPr>
                <w:ilvl w:val="0"/>
                <w:numId w:val="0"/>
              </w:numPr>
              <w:suppressAutoHyphens w:val="true"/>
              <w:spacing w:before="0" w:after="0"/>
              <w:ind w:left="0" w:hanging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</w:p>
        </w:tc>
        <w:tc>
          <w:tcPr>
            <w:tcW w:w="2099" w:type="dxa"/>
            <w:vMerge w:val="continue"/>
            <w:tcBorders>
              <w:top w:val="nil"/>
              <w:right w:val="nil"/>
            </w:tcBorders>
            <w:shd w:color="000000" w:fill="FFFFFF" w:val="clear"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</w:r>
          </w:p>
        </w:tc>
        <w:tc>
          <w:tcPr>
            <w:tcW w:w="2145" w:type="dxa"/>
            <w:tcBorders>
              <w:top w:val="nil"/>
              <w:right w:val="single" w:sz="8" w:space="0" w:color="000000"/>
            </w:tcBorders>
            <w:shd w:color="000000" w:fill="FFFFFF" w:val="clear"/>
            <w:vAlign w:val="bottom"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Тип изоляции</w:t>
            </w:r>
          </w:p>
        </w:tc>
        <w:tc>
          <w:tcPr>
            <w:tcW w:w="4159" w:type="dxa"/>
            <w:tcBorders>
              <w:top w:val="nil"/>
              <w:right w:val="nil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Указать</w:t>
            </w:r>
          </w:p>
        </w:tc>
        <w:tc>
          <w:tcPr>
            <w:tcW w:w="2022" w:type="dxa"/>
            <w:tcBorders>
              <w:top w:val="nil"/>
              <w:right w:val="nil"/>
            </w:tcBorders>
            <w:shd w:color="auto" w:fill="auto" w:val="clea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rFonts w:ascii="Times New Roman" w:hAnsi="Times New Roman" w:eastAsia="Times New Roman" w:cs="Times New Roman"/>
                <w:kern w:val="0"/>
                <w:sz w:val="22"/>
                <w:szCs w:val="22"/>
                <w:lang w:val="ru-RU" w:eastAsia="ru-RU" w:bidi="ar-SA"/>
              </w:rPr>
            </w:pPr>
            <w:r>
              <w:rPr>
                <w:rFonts w:eastAsia="Times New Roman" w:cs="Times New Roman"/>
                <w:kern w:val="0"/>
                <w:sz w:val="22"/>
                <w:szCs w:val="22"/>
                <w:lang w:val="ru-RU" w:eastAsia="ru-RU" w:bidi="ar-SA"/>
              </w:rPr>
              <w:t>Указание характеристик</w:t>
            </w:r>
          </w:p>
        </w:tc>
        <w:tc>
          <w:tcPr>
            <w:tcW w:w="1650" w:type="dxa"/>
            <w:tcBorders>
              <w:top w:val="nil"/>
              <w:right w:val="nil"/>
            </w:tcBorders>
            <w:shd w:color="auto" w:fill="auto" w:val="clear"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rFonts w:ascii="Times New Roman" w:hAnsi="Times New Roman" w:eastAsia="Times New Roman" w:cs="Times New Roman"/>
                <w:kern w:val="0"/>
                <w:sz w:val="22"/>
                <w:szCs w:val="22"/>
                <w:lang w:val="ru-RU" w:eastAsia="ru-RU" w:bidi="ar-SA"/>
              </w:rPr>
            </w:pPr>
            <w:r>
              <w:rPr>
                <w:rFonts w:eastAsia="Times New Roman" w:cs="Times New Roman"/>
                <w:kern w:val="0"/>
                <w:sz w:val="22"/>
                <w:szCs w:val="22"/>
                <w:lang w:val="ru-RU" w:eastAsia="ru-RU" w:bidi="ar-SA"/>
              </w:rPr>
            </w:r>
          </w:p>
        </w:tc>
        <w:tc>
          <w:tcPr>
            <w:tcW w:w="1530" w:type="dxa"/>
            <w:tcBorders>
              <w:top w:val="nil"/>
            </w:tcBorders>
            <w:shd w:color="auto" w:fill="auto" w:val="clear"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rFonts w:ascii="Times New Roman" w:hAnsi="Times New Roman" w:eastAsia="Times New Roman" w:cs="Times New Roman"/>
                <w:kern w:val="0"/>
                <w:sz w:val="22"/>
                <w:szCs w:val="22"/>
                <w:lang w:val="ru-RU" w:eastAsia="ru-RU" w:bidi="ar-SA"/>
              </w:rPr>
            </w:pPr>
            <w:r>
              <w:rPr>
                <w:rFonts w:eastAsia="Times New Roman" w:cs="Times New Roman"/>
                <w:kern w:val="0"/>
                <w:sz w:val="22"/>
                <w:szCs w:val="22"/>
                <w:lang w:val="ru-RU" w:eastAsia="ru-RU" w:bidi="ar-SA"/>
              </w:rPr>
            </w:r>
          </w:p>
        </w:tc>
      </w:tr>
      <w:tr>
        <w:trPr/>
        <w:tc>
          <w:tcPr>
            <w:tcW w:w="675" w:type="dxa"/>
            <w:vMerge w:val="continue"/>
            <w:tcBorders>
              <w:top w:val="nil"/>
            </w:tcBorders>
            <w:vAlign w:val="center"/>
          </w:tcPr>
          <w:p>
            <w:pPr>
              <w:pStyle w:val="Normal"/>
              <w:widowControl w:val="false"/>
              <w:numPr>
                <w:ilvl w:val="0"/>
                <w:numId w:val="0"/>
              </w:numPr>
              <w:suppressAutoHyphens w:val="true"/>
              <w:spacing w:before="0" w:after="0"/>
              <w:ind w:left="0" w:hanging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</w:p>
        </w:tc>
        <w:tc>
          <w:tcPr>
            <w:tcW w:w="2099" w:type="dxa"/>
            <w:vMerge w:val="continue"/>
            <w:tcBorders>
              <w:top w:val="nil"/>
              <w:right w:val="nil"/>
            </w:tcBorders>
            <w:shd w:color="000000" w:fill="FFFFFF" w:val="clear"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</w:r>
          </w:p>
        </w:tc>
        <w:tc>
          <w:tcPr>
            <w:tcW w:w="2145" w:type="dxa"/>
            <w:tcBorders>
              <w:top w:val="nil"/>
              <w:right w:val="single" w:sz="8" w:space="0" w:color="000000"/>
            </w:tcBorders>
            <w:shd w:color="000000" w:fill="FFFFFF" w:val="clear"/>
            <w:vAlign w:val="bottom"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sz w:val="22"/>
                <w:szCs w:val="22"/>
              </w:rPr>
            </w:pPr>
            <w:r>
              <w:rPr>
                <w:rFonts w:eastAsia="Times New Roman" w:cs="Times New Roman"/>
                <w:kern w:val="0"/>
                <w:sz w:val="22"/>
                <w:szCs w:val="22"/>
                <w:lang w:val="ru-RU" w:eastAsia="ru-RU" w:bidi="ar-SA"/>
              </w:rPr>
              <w:t>Номинальный ток, А</w:t>
            </w:r>
          </w:p>
        </w:tc>
        <w:tc>
          <w:tcPr>
            <w:tcW w:w="4159" w:type="dxa"/>
            <w:tcBorders>
              <w:top w:val="nil"/>
              <w:right w:val="nil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630</w:t>
            </w:r>
          </w:p>
        </w:tc>
        <w:tc>
          <w:tcPr>
            <w:tcW w:w="2022" w:type="dxa"/>
            <w:tcBorders>
              <w:top w:val="nil"/>
              <w:right w:val="nil"/>
            </w:tcBorders>
            <w:shd w:color="auto" w:fill="auto" w:val="clea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rFonts w:ascii="Times New Roman" w:hAnsi="Times New Roman" w:eastAsia="Times New Roman" w:cs="Times New Roman"/>
                <w:kern w:val="0"/>
                <w:sz w:val="22"/>
                <w:szCs w:val="22"/>
                <w:lang w:val="ru-RU" w:eastAsia="ru-RU" w:bidi="ar-SA"/>
              </w:rPr>
            </w:pPr>
            <w:r>
              <w:rPr>
                <w:rFonts w:eastAsia="Times New Roman" w:cs="Times New Roman"/>
                <w:kern w:val="0"/>
                <w:sz w:val="22"/>
                <w:szCs w:val="22"/>
                <w:lang w:val="ru-RU" w:eastAsia="ru-RU" w:bidi="ar-SA"/>
              </w:rPr>
              <w:t>Согласие с требованием</w:t>
            </w:r>
          </w:p>
        </w:tc>
        <w:tc>
          <w:tcPr>
            <w:tcW w:w="1650" w:type="dxa"/>
            <w:tcBorders>
              <w:top w:val="nil"/>
              <w:right w:val="nil"/>
            </w:tcBorders>
            <w:shd w:color="auto" w:fill="auto" w:val="clear"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rFonts w:ascii="Times New Roman" w:hAnsi="Times New Roman" w:eastAsia="Times New Roman" w:cs="Times New Roman"/>
                <w:kern w:val="0"/>
                <w:sz w:val="22"/>
                <w:szCs w:val="22"/>
                <w:lang w:val="ru-RU" w:eastAsia="ru-RU" w:bidi="ar-SA"/>
              </w:rPr>
            </w:pPr>
            <w:r>
              <w:rPr>
                <w:rFonts w:eastAsia="Times New Roman" w:cs="Times New Roman"/>
                <w:kern w:val="0"/>
                <w:sz w:val="22"/>
                <w:szCs w:val="22"/>
                <w:lang w:val="ru-RU" w:eastAsia="ru-RU" w:bidi="ar-SA"/>
              </w:rPr>
            </w:r>
          </w:p>
        </w:tc>
        <w:tc>
          <w:tcPr>
            <w:tcW w:w="1530" w:type="dxa"/>
            <w:tcBorders>
              <w:top w:val="nil"/>
            </w:tcBorders>
            <w:shd w:color="auto" w:fill="auto" w:val="clear"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rFonts w:ascii="Times New Roman" w:hAnsi="Times New Roman" w:eastAsia="Times New Roman" w:cs="Times New Roman"/>
                <w:kern w:val="0"/>
                <w:sz w:val="22"/>
                <w:szCs w:val="22"/>
                <w:lang w:val="ru-RU" w:eastAsia="ru-RU" w:bidi="ar-SA"/>
              </w:rPr>
            </w:pPr>
            <w:r>
              <w:rPr>
                <w:rFonts w:eastAsia="Times New Roman" w:cs="Times New Roman"/>
                <w:kern w:val="0"/>
                <w:sz w:val="22"/>
                <w:szCs w:val="22"/>
                <w:lang w:val="ru-RU" w:eastAsia="ru-RU" w:bidi="ar-SA"/>
              </w:rPr>
            </w:r>
          </w:p>
        </w:tc>
      </w:tr>
      <w:tr>
        <w:trPr/>
        <w:tc>
          <w:tcPr>
            <w:tcW w:w="675" w:type="dxa"/>
            <w:vMerge w:val="continue"/>
            <w:tcBorders>
              <w:top w:val="nil"/>
            </w:tcBorders>
            <w:vAlign w:val="center"/>
          </w:tcPr>
          <w:p>
            <w:pPr>
              <w:pStyle w:val="Normal"/>
              <w:widowControl w:val="false"/>
              <w:numPr>
                <w:ilvl w:val="0"/>
                <w:numId w:val="0"/>
              </w:numPr>
              <w:suppressAutoHyphens w:val="true"/>
              <w:spacing w:before="0" w:after="0"/>
              <w:ind w:left="0" w:hanging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</w:p>
        </w:tc>
        <w:tc>
          <w:tcPr>
            <w:tcW w:w="2099" w:type="dxa"/>
            <w:vMerge w:val="continue"/>
            <w:tcBorders>
              <w:top w:val="nil"/>
              <w:right w:val="nil"/>
            </w:tcBorders>
            <w:shd w:color="000000" w:fill="FFFFFF" w:val="clear"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</w:r>
          </w:p>
        </w:tc>
        <w:tc>
          <w:tcPr>
            <w:tcW w:w="2145" w:type="dxa"/>
            <w:tcBorders>
              <w:top w:val="nil"/>
              <w:right w:val="single" w:sz="8" w:space="0" w:color="000000"/>
            </w:tcBorders>
            <w:shd w:color="000000" w:fill="FFFFFF" w:val="clear"/>
            <w:vAlign w:val="bottom"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sz w:val="22"/>
                <w:szCs w:val="22"/>
              </w:rPr>
            </w:pPr>
            <w:r>
              <w:rPr>
                <w:rFonts w:eastAsia="Times New Roman" w:cs="Times New Roman"/>
                <w:kern w:val="0"/>
                <w:sz w:val="22"/>
                <w:szCs w:val="22"/>
                <w:lang w:val="ru-RU" w:eastAsia="ru-RU" w:bidi="ar-SA"/>
              </w:rPr>
              <w:t>Климатическое исполнение согласно ГОСТ 15150-69.</w:t>
            </w:r>
          </w:p>
        </w:tc>
        <w:tc>
          <w:tcPr>
            <w:tcW w:w="4159" w:type="dxa"/>
            <w:tcBorders>
              <w:top w:val="nil"/>
              <w:right w:val="nil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У1</w:t>
            </w:r>
          </w:p>
        </w:tc>
        <w:tc>
          <w:tcPr>
            <w:tcW w:w="2022" w:type="dxa"/>
            <w:tcBorders>
              <w:top w:val="nil"/>
              <w:right w:val="nil"/>
            </w:tcBorders>
            <w:shd w:color="auto" w:fill="auto" w:val="clea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rFonts w:ascii="Times New Roman" w:hAnsi="Times New Roman" w:eastAsia="Times New Roman" w:cs="Times New Roman"/>
                <w:kern w:val="0"/>
                <w:sz w:val="22"/>
                <w:szCs w:val="22"/>
                <w:lang w:val="ru-RU" w:eastAsia="ru-RU" w:bidi="ar-SA"/>
              </w:rPr>
            </w:pPr>
            <w:r>
              <w:rPr>
                <w:rFonts w:eastAsia="Times New Roman" w:cs="Times New Roman"/>
                <w:kern w:val="0"/>
                <w:sz w:val="22"/>
                <w:szCs w:val="22"/>
                <w:lang w:val="ru-RU" w:eastAsia="ru-RU" w:bidi="ar-SA"/>
              </w:rPr>
              <w:t>Согласие с требованием</w:t>
            </w:r>
          </w:p>
        </w:tc>
        <w:tc>
          <w:tcPr>
            <w:tcW w:w="1650" w:type="dxa"/>
            <w:tcBorders>
              <w:top w:val="nil"/>
              <w:right w:val="nil"/>
            </w:tcBorders>
            <w:shd w:color="auto" w:fill="auto" w:val="clear"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rFonts w:ascii="Times New Roman" w:hAnsi="Times New Roman" w:eastAsia="Times New Roman" w:cs="Times New Roman"/>
                <w:kern w:val="0"/>
                <w:sz w:val="22"/>
                <w:szCs w:val="22"/>
                <w:lang w:val="ru-RU" w:eastAsia="ru-RU" w:bidi="ar-SA"/>
              </w:rPr>
            </w:pPr>
            <w:r>
              <w:rPr>
                <w:rFonts w:eastAsia="Times New Roman" w:cs="Times New Roman"/>
                <w:kern w:val="0"/>
                <w:sz w:val="22"/>
                <w:szCs w:val="22"/>
                <w:lang w:val="ru-RU" w:eastAsia="ru-RU" w:bidi="ar-SA"/>
              </w:rPr>
            </w:r>
          </w:p>
        </w:tc>
        <w:tc>
          <w:tcPr>
            <w:tcW w:w="1530" w:type="dxa"/>
            <w:tcBorders>
              <w:top w:val="nil"/>
            </w:tcBorders>
            <w:shd w:color="auto" w:fill="auto" w:val="clear"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rFonts w:ascii="Times New Roman" w:hAnsi="Times New Roman" w:eastAsia="Times New Roman" w:cs="Times New Roman"/>
                <w:kern w:val="0"/>
                <w:sz w:val="22"/>
                <w:szCs w:val="22"/>
                <w:lang w:val="ru-RU" w:eastAsia="ru-RU" w:bidi="ar-SA"/>
              </w:rPr>
            </w:pPr>
            <w:r>
              <w:rPr>
                <w:rFonts w:eastAsia="Times New Roman" w:cs="Times New Roman"/>
                <w:kern w:val="0"/>
                <w:sz w:val="22"/>
                <w:szCs w:val="22"/>
                <w:lang w:val="ru-RU" w:eastAsia="ru-RU" w:bidi="ar-SA"/>
              </w:rPr>
            </w:r>
          </w:p>
        </w:tc>
      </w:tr>
      <w:tr>
        <w:trPr/>
        <w:tc>
          <w:tcPr>
            <w:tcW w:w="675" w:type="dxa"/>
            <w:vMerge w:val="continue"/>
            <w:tcBorders>
              <w:top w:val="nil"/>
            </w:tcBorders>
            <w:vAlign w:val="center"/>
          </w:tcPr>
          <w:p>
            <w:pPr>
              <w:pStyle w:val="Normal"/>
              <w:widowControl w:val="false"/>
              <w:numPr>
                <w:ilvl w:val="0"/>
                <w:numId w:val="0"/>
              </w:numPr>
              <w:suppressAutoHyphens w:val="true"/>
              <w:spacing w:before="0" w:after="0"/>
              <w:ind w:left="0" w:hanging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</w:p>
        </w:tc>
        <w:tc>
          <w:tcPr>
            <w:tcW w:w="2099" w:type="dxa"/>
            <w:vMerge w:val="continue"/>
            <w:tcBorders>
              <w:top w:val="nil"/>
              <w:right w:val="nil"/>
            </w:tcBorders>
            <w:shd w:color="000000" w:fill="FFFFFF" w:val="clear"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</w:r>
          </w:p>
        </w:tc>
        <w:tc>
          <w:tcPr>
            <w:tcW w:w="2145" w:type="dxa"/>
            <w:tcBorders>
              <w:top w:val="nil"/>
              <w:right w:val="single" w:sz="8" w:space="0" w:color="000000"/>
            </w:tcBorders>
            <w:shd w:color="000000" w:fill="FFFFFF" w:val="clear"/>
            <w:vAlign w:val="bottom"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sz w:val="22"/>
                <w:szCs w:val="22"/>
              </w:rPr>
            </w:pPr>
            <w:r>
              <w:rPr>
                <w:rFonts w:eastAsia="Times New Roman" w:cs="Times New Roman"/>
                <w:kern w:val="0"/>
                <w:sz w:val="22"/>
                <w:szCs w:val="22"/>
                <w:lang w:val="ru-RU" w:eastAsia="ru-RU" w:bidi="ar-SA"/>
              </w:rPr>
              <w:t>Способ соединения стержня с выводом обмотки</w:t>
            </w:r>
          </w:p>
        </w:tc>
        <w:tc>
          <w:tcPr>
            <w:tcW w:w="4159" w:type="dxa"/>
            <w:tcBorders>
              <w:top w:val="nil"/>
              <w:right w:val="nil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sz w:val="22"/>
                <w:szCs w:val="22"/>
              </w:rPr>
            </w:pPr>
            <w:r>
              <w:rPr>
                <w:rFonts w:eastAsia="Times New Roman" w:cs="Times New Roman"/>
                <w:kern w:val="0"/>
                <w:sz w:val="22"/>
                <w:szCs w:val="22"/>
                <w:lang w:val="ru-RU" w:eastAsia="ru-RU" w:bidi="ar-SA"/>
              </w:rPr>
              <w:t>Разборный</w:t>
            </w:r>
          </w:p>
        </w:tc>
        <w:tc>
          <w:tcPr>
            <w:tcW w:w="2022" w:type="dxa"/>
            <w:tcBorders>
              <w:top w:val="nil"/>
              <w:right w:val="nil"/>
            </w:tcBorders>
            <w:shd w:color="auto" w:fill="auto" w:val="clea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rFonts w:ascii="Times New Roman" w:hAnsi="Times New Roman" w:eastAsia="Times New Roman" w:cs="Times New Roman"/>
                <w:kern w:val="0"/>
                <w:sz w:val="22"/>
                <w:szCs w:val="22"/>
                <w:lang w:val="ru-RU" w:eastAsia="ru-RU" w:bidi="ar-SA"/>
              </w:rPr>
            </w:pPr>
            <w:r>
              <w:rPr>
                <w:rFonts w:eastAsia="Times New Roman" w:cs="Times New Roman"/>
                <w:kern w:val="0"/>
                <w:sz w:val="22"/>
                <w:szCs w:val="22"/>
                <w:lang w:val="ru-RU" w:eastAsia="ru-RU" w:bidi="ar-SA"/>
              </w:rPr>
              <w:t>Согласие с требованием</w:t>
            </w:r>
          </w:p>
        </w:tc>
        <w:tc>
          <w:tcPr>
            <w:tcW w:w="1650" w:type="dxa"/>
            <w:tcBorders>
              <w:top w:val="nil"/>
              <w:right w:val="nil"/>
            </w:tcBorders>
            <w:shd w:color="auto" w:fill="auto" w:val="clear"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rFonts w:ascii="Times New Roman" w:hAnsi="Times New Roman" w:eastAsia="Times New Roman" w:cs="Times New Roman"/>
                <w:kern w:val="0"/>
                <w:sz w:val="22"/>
                <w:szCs w:val="22"/>
                <w:lang w:val="ru-RU" w:eastAsia="ru-RU" w:bidi="ar-SA"/>
              </w:rPr>
            </w:pPr>
            <w:r>
              <w:rPr>
                <w:rFonts w:eastAsia="Times New Roman" w:cs="Times New Roman"/>
                <w:kern w:val="0"/>
                <w:sz w:val="22"/>
                <w:szCs w:val="22"/>
                <w:lang w:val="ru-RU" w:eastAsia="ru-RU" w:bidi="ar-SA"/>
              </w:rPr>
            </w:r>
          </w:p>
        </w:tc>
        <w:tc>
          <w:tcPr>
            <w:tcW w:w="1530" w:type="dxa"/>
            <w:tcBorders>
              <w:top w:val="nil"/>
            </w:tcBorders>
            <w:shd w:color="auto" w:fill="auto" w:val="clear"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rFonts w:ascii="Times New Roman" w:hAnsi="Times New Roman" w:eastAsia="Times New Roman" w:cs="Times New Roman"/>
                <w:kern w:val="0"/>
                <w:sz w:val="22"/>
                <w:szCs w:val="22"/>
                <w:lang w:val="ru-RU" w:eastAsia="ru-RU" w:bidi="ar-SA"/>
              </w:rPr>
            </w:pPr>
            <w:r>
              <w:rPr>
                <w:rFonts w:eastAsia="Times New Roman" w:cs="Times New Roman"/>
                <w:kern w:val="0"/>
                <w:sz w:val="22"/>
                <w:szCs w:val="22"/>
                <w:lang w:val="ru-RU" w:eastAsia="ru-RU" w:bidi="ar-SA"/>
              </w:rPr>
            </w:r>
          </w:p>
        </w:tc>
      </w:tr>
      <w:tr>
        <w:trPr/>
        <w:tc>
          <w:tcPr>
            <w:tcW w:w="675" w:type="dxa"/>
            <w:vMerge w:val="continue"/>
            <w:tcBorders>
              <w:top w:val="nil"/>
            </w:tcBorders>
            <w:vAlign w:val="center"/>
          </w:tcPr>
          <w:p>
            <w:pPr>
              <w:pStyle w:val="Normal"/>
              <w:widowControl w:val="false"/>
              <w:numPr>
                <w:ilvl w:val="0"/>
                <w:numId w:val="0"/>
              </w:numPr>
              <w:suppressAutoHyphens w:val="true"/>
              <w:spacing w:before="0" w:after="0"/>
              <w:ind w:left="0" w:hanging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</w:p>
        </w:tc>
        <w:tc>
          <w:tcPr>
            <w:tcW w:w="2099" w:type="dxa"/>
            <w:vMerge w:val="continue"/>
            <w:tcBorders>
              <w:top w:val="nil"/>
              <w:right w:val="nil"/>
            </w:tcBorders>
            <w:shd w:color="000000" w:fill="FFFFFF" w:val="clear"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</w:r>
          </w:p>
        </w:tc>
        <w:tc>
          <w:tcPr>
            <w:tcW w:w="2145" w:type="dxa"/>
            <w:tcBorders>
              <w:top w:val="nil"/>
              <w:right w:val="single" w:sz="8" w:space="0" w:color="000000"/>
            </w:tcBorders>
            <w:shd w:color="000000" w:fill="FFFFFF" w:val="clear"/>
            <w:vAlign w:val="bottom"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Присоединительные и габаритные размеры</w:t>
            </w:r>
          </w:p>
        </w:tc>
        <w:tc>
          <w:tcPr>
            <w:tcW w:w="4159" w:type="dxa"/>
            <w:tcBorders>
              <w:top w:val="nil"/>
              <w:right w:val="nil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sz w:val="22"/>
                <w:szCs w:val="22"/>
              </w:rPr>
            </w:pPr>
            <w:r>
              <w:rPr>
                <w:rFonts w:eastAsia="Times New Roman" w:cs="Times New Roman"/>
                <w:kern w:val="0"/>
                <w:sz w:val="22"/>
                <w:szCs w:val="22"/>
                <w:lang w:val="ru-RU" w:eastAsia="ru-RU" w:bidi="ar-SA"/>
              </w:rPr>
              <w:t>В приложении 1 к настоящему ТТ.</w:t>
            </w:r>
          </w:p>
        </w:tc>
        <w:tc>
          <w:tcPr>
            <w:tcW w:w="2022" w:type="dxa"/>
            <w:tcBorders>
              <w:top w:val="nil"/>
              <w:right w:val="nil"/>
            </w:tcBorders>
            <w:shd w:color="auto" w:fill="auto" w:val="clea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rFonts w:ascii="Times New Roman" w:hAnsi="Times New Roman" w:eastAsia="Times New Roman" w:cs="Times New Roman"/>
                <w:kern w:val="0"/>
                <w:sz w:val="22"/>
                <w:szCs w:val="22"/>
                <w:lang w:val="ru-RU" w:eastAsia="ru-RU" w:bidi="ar-SA"/>
              </w:rPr>
            </w:pPr>
            <w:r>
              <w:rPr>
                <w:rFonts w:eastAsia="Times New Roman" w:cs="Times New Roman"/>
                <w:kern w:val="0"/>
                <w:sz w:val="22"/>
                <w:szCs w:val="22"/>
                <w:lang w:val="ru-RU" w:eastAsia="ru-RU" w:bidi="ar-SA"/>
              </w:rPr>
              <w:t>Согласие с требованием</w:t>
            </w:r>
          </w:p>
        </w:tc>
        <w:tc>
          <w:tcPr>
            <w:tcW w:w="1650" w:type="dxa"/>
            <w:tcBorders>
              <w:top w:val="nil"/>
              <w:right w:val="nil"/>
            </w:tcBorders>
            <w:shd w:color="auto" w:fill="auto" w:val="clear"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rFonts w:ascii="Times New Roman" w:hAnsi="Times New Roman" w:eastAsia="Times New Roman" w:cs="Times New Roman"/>
                <w:kern w:val="0"/>
                <w:sz w:val="22"/>
                <w:szCs w:val="22"/>
                <w:lang w:val="ru-RU" w:eastAsia="ru-RU" w:bidi="ar-SA"/>
              </w:rPr>
            </w:pPr>
            <w:r>
              <w:rPr>
                <w:rFonts w:eastAsia="Times New Roman" w:cs="Times New Roman"/>
                <w:kern w:val="0"/>
                <w:sz w:val="22"/>
                <w:szCs w:val="22"/>
                <w:lang w:val="ru-RU" w:eastAsia="ru-RU" w:bidi="ar-SA"/>
              </w:rPr>
            </w:r>
          </w:p>
        </w:tc>
        <w:tc>
          <w:tcPr>
            <w:tcW w:w="1530" w:type="dxa"/>
            <w:tcBorders>
              <w:top w:val="nil"/>
            </w:tcBorders>
            <w:shd w:color="auto" w:fill="auto" w:val="clear"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rFonts w:ascii="Times New Roman" w:hAnsi="Times New Roman" w:eastAsia="Times New Roman" w:cs="Times New Roman"/>
                <w:kern w:val="0"/>
                <w:sz w:val="22"/>
                <w:szCs w:val="22"/>
                <w:lang w:val="ru-RU" w:eastAsia="ru-RU" w:bidi="ar-SA"/>
              </w:rPr>
            </w:pPr>
            <w:r>
              <w:rPr>
                <w:rFonts w:eastAsia="Times New Roman" w:cs="Times New Roman"/>
                <w:kern w:val="0"/>
                <w:sz w:val="22"/>
                <w:szCs w:val="22"/>
                <w:lang w:val="ru-RU" w:eastAsia="ru-RU" w:bidi="ar-SA"/>
              </w:rPr>
            </w:r>
          </w:p>
        </w:tc>
      </w:tr>
      <w:tr>
        <w:trPr/>
        <w:tc>
          <w:tcPr>
            <w:tcW w:w="675" w:type="dxa"/>
            <w:vMerge w:val="restart"/>
            <w:tcBorders>
              <w:top w:val="nil"/>
            </w:tcBorders>
            <w:vAlign w:val="center"/>
          </w:tcPr>
          <w:p>
            <w:pPr>
              <w:pStyle w:val="Normal"/>
              <w:widowControl w:val="false"/>
              <w:numPr>
                <w:ilvl w:val="1"/>
                <w:numId w:val="6"/>
              </w:numPr>
              <w:suppressAutoHyphens w:val="true"/>
              <w:spacing w:before="0" w:after="0"/>
              <w:jc w:val="lef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</w:p>
        </w:tc>
        <w:tc>
          <w:tcPr>
            <w:tcW w:w="2099" w:type="dxa"/>
            <w:vMerge w:val="restart"/>
            <w:tcBorders>
              <w:top w:val="nil"/>
              <w:right w:val="nil"/>
            </w:tcBorders>
            <w:shd w:color="000000" w:fill="FFFFFF" w:val="clear"/>
            <w:vAlign w:val="center"/>
          </w:tcPr>
          <w:p>
            <w:pPr>
              <w:pStyle w:val="Normal"/>
              <w:widowControl w:val="false"/>
              <w:bidi w:val="0"/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rFonts w:eastAsia="Times New Roman" w:cs="Times New Roman"/>
                <w:b/>
                <w:bCs/>
                <w:color w:val="000000"/>
                <w:kern w:val="0"/>
                <w:sz w:val="22"/>
                <w:szCs w:val="22"/>
                <w:lang w:val="ru-RU" w:eastAsia="ru-RU" w:bidi="ar-SA"/>
              </w:rPr>
              <w:t>Фланец переходной для ввода ВСТА-10/630</w:t>
            </w:r>
          </w:p>
        </w:tc>
        <w:tc>
          <w:tcPr>
            <w:tcW w:w="2145" w:type="dxa"/>
            <w:tcBorders>
              <w:top w:val="nil"/>
              <w:right w:val="single" w:sz="8" w:space="0" w:color="000000"/>
            </w:tcBorders>
            <w:shd w:color="000000" w:fill="FFFFFF" w:val="clear"/>
            <w:vAlign w:val="bottom"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sz w:val="22"/>
                <w:szCs w:val="22"/>
              </w:rPr>
            </w:pPr>
            <w:r>
              <w:rPr>
                <w:rFonts w:eastAsia="Times New Roman" w:cs="Times New Roman"/>
                <w:color w:val="000000"/>
                <w:kern w:val="0"/>
                <w:sz w:val="22"/>
                <w:szCs w:val="22"/>
                <w:lang w:val="ru-RU" w:eastAsia="ru-RU" w:bidi="ar-SA"/>
              </w:rPr>
              <w:t>Марка стали</w:t>
            </w:r>
          </w:p>
        </w:tc>
        <w:tc>
          <w:tcPr>
            <w:tcW w:w="4159" w:type="dxa"/>
            <w:tcBorders>
              <w:top w:val="nil"/>
              <w:right w:val="nil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sz w:val="22"/>
                <w:szCs w:val="22"/>
              </w:rPr>
            </w:pPr>
            <w:r>
              <w:rPr>
                <w:rFonts w:eastAsia="Times New Roman" w:cs="Times New Roman"/>
                <w:kern w:val="0"/>
                <w:sz w:val="22"/>
                <w:szCs w:val="22"/>
                <w:lang w:val="ru-RU" w:eastAsia="ru-RU" w:bidi="ar-SA"/>
              </w:rPr>
              <w:t>Ст3;</w:t>
            </w:r>
          </w:p>
        </w:tc>
        <w:tc>
          <w:tcPr>
            <w:tcW w:w="2022" w:type="dxa"/>
            <w:tcBorders>
              <w:top w:val="nil"/>
              <w:right w:val="nil"/>
            </w:tcBorders>
            <w:shd w:color="auto" w:fill="auto" w:val="clea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rFonts w:ascii="Times New Roman" w:hAnsi="Times New Roman" w:eastAsia="Times New Roman" w:cs="Times New Roman"/>
                <w:kern w:val="0"/>
                <w:sz w:val="22"/>
                <w:szCs w:val="22"/>
                <w:lang w:val="ru-RU" w:eastAsia="ru-RU" w:bidi="ar-SA"/>
              </w:rPr>
            </w:pPr>
            <w:r>
              <w:rPr>
                <w:rFonts w:eastAsia="Times New Roman" w:cs="Times New Roman"/>
                <w:kern w:val="0"/>
                <w:sz w:val="22"/>
                <w:szCs w:val="22"/>
                <w:lang w:val="ru-RU" w:eastAsia="ru-RU" w:bidi="ar-SA"/>
              </w:rPr>
              <w:t>Согласие с требованием</w:t>
            </w:r>
          </w:p>
        </w:tc>
        <w:tc>
          <w:tcPr>
            <w:tcW w:w="1650" w:type="dxa"/>
            <w:tcBorders>
              <w:top w:val="nil"/>
              <w:right w:val="nil"/>
            </w:tcBorders>
            <w:shd w:color="auto" w:fill="auto" w:val="clear"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rFonts w:ascii="Times New Roman" w:hAnsi="Times New Roman" w:eastAsia="Times New Roman" w:cs="Times New Roman"/>
                <w:kern w:val="0"/>
                <w:sz w:val="22"/>
                <w:szCs w:val="22"/>
                <w:lang w:val="ru-RU" w:eastAsia="ru-RU" w:bidi="ar-SA"/>
              </w:rPr>
            </w:pPr>
            <w:r>
              <w:rPr>
                <w:rFonts w:eastAsia="Times New Roman" w:cs="Times New Roman"/>
                <w:kern w:val="0"/>
                <w:sz w:val="22"/>
                <w:szCs w:val="22"/>
                <w:lang w:val="ru-RU" w:eastAsia="ru-RU" w:bidi="ar-SA"/>
              </w:rPr>
            </w:r>
          </w:p>
        </w:tc>
        <w:tc>
          <w:tcPr>
            <w:tcW w:w="1530" w:type="dxa"/>
            <w:tcBorders>
              <w:top w:val="nil"/>
            </w:tcBorders>
            <w:shd w:color="auto" w:fill="auto" w:val="clear"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rFonts w:ascii="Times New Roman" w:hAnsi="Times New Roman" w:eastAsia="Times New Roman" w:cs="Times New Roman"/>
                <w:kern w:val="0"/>
                <w:sz w:val="22"/>
                <w:szCs w:val="22"/>
                <w:lang w:val="ru-RU" w:eastAsia="ru-RU" w:bidi="ar-SA"/>
              </w:rPr>
            </w:pPr>
            <w:r>
              <w:rPr>
                <w:rFonts w:eastAsia="Times New Roman" w:cs="Times New Roman"/>
                <w:kern w:val="0"/>
                <w:sz w:val="22"/>
                <w:szCs w:val="22"/>
                <w:lang w:val="ru-RU" w:eastAsia="ru-RU" w:bidi="ar-SA"/>
              </w:rPr>
            </w:r>
          </w:p>
        </w:tc>
      </w:tr>
      <w:tr>
        <w:trPr/>
        <w:tc>
          <w:tcPr>
            <w:tcW w:w="675" w:type="dxa"/>
            <w:vMerge w:val="continue"/>
            <w:tcBorders>
              <w:top w:val="nil"/>
            </w:tcBorders>
            <w:vAlign w:val="center"/>
          </w:tcPr>
          <w:p>
            <w:pPr>
              <w:pStyle w:val="Normal"/>
              <w:widowControl w:val="false"/>
              <w:numPr>
                <w:ilvl w:val="0"/>
                <w:numId w:val="0"/>
              </w:numPr>
              <w:suppressAutoHyphens w:val="true"/>
              <w:spacing w:before="0" w:after="0"/>
              <w:ind w:left="0" w:hanging="0"/>
              <w:jc w:val="lef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</w:p>
        </w:tc>
        <w:tc>
          <w:tcPr>
            <w:tcW w:w="2099" w:type="dxa"/>
            <w:vMerge w:val="continue"/>
            <w:tcBorders>
              <w:top w:val="nil"/>
              <w:right w:val="nil"/>
            </w:tcBorders>
            <w:shd w:color="000000" w:fill="FFFFFF" w:val="clear"/>
            <w:vAlign w:val="center"/>
          </w:tcPr>
          <w:p>
            <w:pPr>
              <w:pStyle w:val="Normal"/>
              <w:widowControl w:val="false"/>
              <w:bidi w:val="0"/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</w:r>
          </w:p>
        </w:tc>
        <w:tc>
          <w:tcPr>
            <w:tcW w:w="2145" w:type="dxa"/>
            <w:tcBorders>
              <w:top w:val="nil"/>
              <w:right w:val="single" w:sz="8" w:space="0" w:color="000000"/>
            </w:tcBorders>
            <w:shd w:color="000000" w:fill="FFFFFF" w:val="clear"/>
            <w:vAlign w:val="bottom"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sz w:val="22"/>
                <w:szCs w:val="22"/>
              </w:rPr>
            </w:pPr>
            <w:r>
              <w:rPr>
                <w:rFonts w:eastAsia="Times New Roman" w:cs="Times New Roman"/>
                <w:kern w:val="0"/>
                <w:sz w:val="22"/>
                <w:szCs w:val="22"/>
                <w:lang w:val="ru-RU" w:eastAsia="ru-RU" w:bidi="ar-SA"/>
              </w:rPr>
              <w:t>Габаритные размеры</w:t>
            </w:r>
          </w:p>
        </w:tc>
        <w:tc>
          <w:tcPr>
            <w:tcW w:w="4159" w:type="dxa"/>
            <w:tcBorders>
              <w:top w:val="nil"/>
              <w:right w:val="nil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sz w:val="22"/>
                <w:szCs w:val="22"/>
              </w:rPr>
            </w:pPr>
            <w:r>
              <w:rPr>
                <w:rFonts w:eastAsia="Times New Roman" w:cs="Times New Roman"/>
                <w:kern w:val="0"/>
                <w:sz w:val="22"/>
                <w:szCs w:val="22"/>
                <w:lang w:val="ru-RU" w:eastAsia="ru-RU" w:bidi="ar-SA"/>
              </w:rPr>
              <w:t>В приложении 2 к настоящему ТТ.</w:t>
            </w:r>
          </w:p>
        </w:tc>
        <w:tc>
          <w:tcPr>
            <w:tcW w:w="2022" w:type="dxa"/>
            <w:tcBorders>
              <w:top w:val="nil"/>
              <w:right w:val="nil"/>
            </w:tcBorders>
            <w:shd w:color="auto" w:fill="auto" w:val="clea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rFonts w:ascii="Times New Roman" w:hAnsi="Times New Roman" w:eastAsia="Times New Roman" w:cs="Times New Roman"/>
                <w:kern w:val="0"/>
                <w:sz w:val="22"/>
                <w:szCs w:val="22"/>
                <w:lang w:val="ru-RU" w:eastAsia="ru-RU" w:bidi="ar-SA"/>
              </w:rPr>
            </w:pPr>
            <w:r>
              <w:rPr>
                <w:rFonts w:eastAsia="Times New Roman" w:cs="Times New Roman"/>
                <w:kern w:val="0"/>
                <w:sz w:val="22"/>
                <w:szCs w:val="22"/>
                <w:lang w:val="ru-RU" w:eastAsia="ru-RU" w:bidi="ar-SA"/>
              </w:rPr>
              <w:t>Согласие с требованием</w:t>
            </w:r>
          </w:p>
        </w:tc>
        <w:tc>
          <w:tcPr>
            <w:tcW w:w="1650" w:type="dxa"/>
            <w:tcBorders>
              <w:top w:val="nil"/>
              <w:right w:val="nil"/>
            </w:tcBorders>
            <w:shd w:color="auto" w:fill="auto" w:val="clear"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rFonts w:ascii="Times New Roman" w:hAnsi="Times New Roman" w:eastAsia="Times New Roman" w:cs="Times New Roman"/>
                <w:kern w:val="0"/>
                <w:sz w:val="22"/>
                <w:szCs w:val="22"/>
                <w:lang w:val="ru-RU" w:eastAsia="ru-RU" w:bidi="ar-SA"/>
              </w:rPr>
            </w:pPr>
            <w:r>
              <w:rPr>
                <w:rFonts w:eastAsia="Times New Roman" w:cs="Times New Roman"/>
                <w:kern w:val="0"/>
                <w:sz w:val="22"/>
                <w:szCs w:val="22"/>
                <w:lang w:val="ru-RU" w:eastAsia="ru-RU" w:bidi="ar-SA"/>
              </w:rPr>
            </w:r>
          </w:p>
        </w:tc>
        <w:tc>
          <w:tcPr>
            <w:tcW w:w="1530" w:type="dxa"/>
            <w:tcBorders>
              <w:top w:val="nil"/>
            </w:tcBorders>
            <w:shd w:color="auto" w:fill="auto" w:val="clear"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rFonts w:ascii="Times New Roman" w:hAnsi="Times New Roman" w:eastAsia="Times New Roman" w:cs="Times New Roman"/>
                <w:kern w:val="0"/>
                <w:sz w:val="22"/>
                <w:szCs w:val="22"/>
                <w:lang w:val="ru-RU" w:eastAsia="ru-RU" w:bidi="ar-SA"/>
              </w:rPr>
            </w:pPr>
            <w:r>
              <w:rPr>
                <w:rFonts w:eastAsia="Times New Roman" w:cs="Times New Roman"/>
                <w:kern w:val="0"/>
                <w:sz w:val="22"/>
                <w:szCs w:val="22"/>
                <w:lang w:val="ru-RU" w:eastAsia="ru-RU" w:bidi="ar-SA"/>
              </w:rPr>
            </w:r>
          </w:p>
        </w:tc>
      </w:tr>
      <w:tr>
        <w:trPr/>
        <w:tc>
          <w:tcPr>
            <w:tcW w:w="675" w:type="dxa"/>
            <w:vMerge w:val="restart"/>
            <w:tcBorders>
              <w:top w:val="nil"/>
            </w:tcBorders>
            <w:vAlign w:val="center"/>
          </w:tcPr>
          <w:p>
            <w:pPr>
              <w:pStyle w:val="Normal"/>
              <w:widowControl w:val="false"/>
              <w:numPr>
                <w:ilvl w:val="1"/>
                <w:numId w:val="6"/>
              </w:numPr>
              <w:suppressAutoHyphens w:val="true"/>
              <w:spacing w:before="0" w:after="0"/>
              <w:jc w:val="lef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</w:p>
        </w:tc>
        <w:tc>
          <w:tcPr>
            <w:tcW w:w="2099" w:type="dxa"/>
            <w:vMerge w:val="restart"/>
            <w:tcBorders>
              <w:top w:val="nil"/>
              <w:right w:val="nil"/>
            </w:tcBorders>
            <w:shd w:color="000000" w:fill="FFFFFF" w:val="clear"/>
            <w:vAlign w:val="center"/>
          </w:tcPr>
          <w:p>
            <w:pPr>
              <w:pStyle w:val="Normal"/>
              <w:widowControl w:val="false"/>
              <w:bidi w:val="0"/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rFonts w:eastAsia="Times New Roman" w:cs="Times New Roman"/>
                <w:b/>
                <w:bCs/>
                <w:color w:val="000000"/>
                <w:kern w:val="0"/>
                <w:sz w:val="22"/>
                <w:szCs w:val="22"/>
                <w:lang w:val="ru-RU" w:eastAsia="ru-RU" w:bidi="ar-SA"/>
              </w:rPr>
              <w:t>Фланец прижимной для ввода ВСТА-10/630</w:t>
            </w:r>
          </w:p>
        </w:tc>
        <w:tc>
          <w:tcPr>
            <w:tcW w:w="2145" w:type="dxa"/>
            <w:tcBorders>
              <w:top w:val="nil"/>
              <w:right w:val="single" w:sz="8" w:space="0" w:color="000000"/>
            </w:tcBorders>
            <w:shd w:color="000000" w:fill="FFFFFF" w:val="clear"/>
            <w:vAlign w:val="bottom"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sz w:val="22"/>
                <w:szCs w:val="22"/>
              </w:rPr>
            </w:pPr>
            <w:r>
              <w:rPr>
                <w:rFonts w:eastAsia="Times New Roman" w:cs="Times New Roman"/>
                <w:color w:val="000000"/>
                <w:kern w:val="0"/>
                <w:sz w:val="22"/>
                <w:szCs w:val="22"/>
                <w:lang w:val="ru-RU" w:eastAsia="ru-RU" w:bidi="ar-SA"/>
              </w:rPr>
              <w:t>Марка стали</w:t>
            </w:r>
          </w:p>
        </w:tc>
        <w:tc>
          <w:tcPr>
            <w:tcW w:w="4159" w:type="dxa"/>
            <w:tcBorders>
              <w:top w:val="nil"/>
              <w:right w:val="nil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sz w:val="22"/>
                <w:szCs w:val="22"/>
              </w:rPr>
            </w:pPr>
            <w:r>
              <w:rPr>
                <w:rFonts w:eastAsia="Times New Roman" w:cs="Times New Roman"/>
                <w:kern w:val="0"/>
                <w:sz w:val="22"/>
                <w:szCs w:val="22"/>
                <w:lang w:val="ru-RU" w:eastAsia="ru-RU" w:bidi="ar-SA"/>
              </w:rPr>
              <w:t>Ст3;</w:t>
            </w:r>
          </w:p>
        </w:tc>
        <w:tc>
          <w:tcPr>
            <w:tcW w:w="2022" w:type="dxa"/>
            <w:tcBorders>
              <w:top w:val="nil"/>
              <w:right w:val="nil"/>
            </w:tcBorders>
            <w:shd w:color="auto" w:fill="auto" w:val="clea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rFonts w:ascii="Times New Roman" w:hAnsi="Times New Roman" w:eastAsia="Times New Roman" w:cs="Times New Roman"/>
                <w:kern w:val="0"/>
                <w:sz w:val="22"/>
                <w:szCs w:val="22"/>
                <w:lang w:val="ru-RU" w:eastAsia="ru-RU" w:bidi="ar-SA"/>
              </w:rPr>
            </w:pPr>
            <w:r>
              <w:rPr>
                <w:rFonts w:eastAsia="Times New Roman" w:cs="Times New Roman"/>
                <w:kern w:val="0"/>
                <w:sz w:val="22"/>
                <w:szCs w:val="22"/>
                <w:lang w:val="ru-RU" w:eastAsia="ru-RU" w:bidi="ar-SA"/>
              </w:rPr>
              <w:t>Согласие с требованием</w:t>
            </w:r>
          </w:p>
        </w:tc>
        <w:tc>
          <w:tcPr>
            <w:tcW w:w="1650" w:type="dxa"/>
            <w:tcBorders>
              <w:top w:val="nil"/>
              <w:right w:val="nil"/>
            </w:tcBorders>
            <w:shd w:color="auto" w:fill="auto" w:val="clear"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</w:p>
        </w:tc>
        <w:tc>
          <w:tcPr>
            <w:tcW w:w="1530" w:type="dxa"/>
            <w:tcBorders>
              <w:top w:val="nil"/>
            </w:tcBorders>
            <w:shd w:color="auto" w:fill="auto" w:val="clear"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</w:p>
        </w:tc>
      </w:tr>
      <w:tr>
        <w:trPr>
          <w:trHeight w:val="1081" w:hRule="atLeast"/>
        </w:trPr>
        <w:tc>
          <w:tcPr>
            <w:tcW w:w="675" w:type="dxa"/>
            <w:vMerge w:val="continue"/>
            <w:tcBorders>
              <w:top w:val="nil"/>
            </w:tcBorders>
            <w:vAlign w:val="center"/>
          </w:tcPr>
          <w:p>
            <w:pPr>
              <w:pStyle w:val="Normal"/>
              <w:widowControl w:val="false"/>
              <w:numPr>
                <w:ilvl w:val="0"/>
                <w:numId w:val="0"/>
              </w:numPr>
              <w:suppressAutoHyphens w:val="true"/>
              <w:spacing w:before="0" w:after="0"/>
              <w:ind w:left="0" w:hanging="0"/>
              <w:jc w:val="lef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</w:p>
        </w:tc>
        <w:tc>
          <w:tcPr>
            <w:tcW w:w="2099" w:type="dxa"/>
            <w:vMerge w:val="continue"/>
            <w:tcBorders>
              <w:top w:val="nil"/>
              <w:right w:val="nil"/>
            </w:tcBorders>
            <w:shd w:color="000000" w:fill="FFFFFF" w:val="clear"/>
            <w:vAlign w:val="bottom"/>
          </w:tcPr>
          <w:p>
            <w:pPr>
              <w:pStyle w:val="Normal"/>
              <w:widowControl w:val="false"/>
              <w:bidi w:val="0"/>
              <w:jc w:val="lef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</w:p>
        </w:tc>
        <w:tc>
          <w:tcPr>
            <w:tcW w:w="2145" w:type="dxa"/>
            <w:tcBorders>
              <w:top w:val="nil"/>
              <w:right w:val="single" w:sz="8" w:space="0" w:color="000000"/>
            </w:tcBorders>
            <w:shd w:color="000000" w:fill="FFFFFF" w:val="clear"/>
            <w:vAlign w:val="bottom"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sz w:val="22"/>
                <w:szCs w:val="22"/>
              </w:rPr>
            </w:pPr>
            <w:r>
              <w:rPr>
                <w:rFonts w:eastAsia="Times New Roman" w:cs="Times New Roman"/>
                <w:kern w:val="0"/>
                <w:sz w:val="22"/>
                <w:szCs w:val="22"/>
                <w:lang w:val="ru-RU" w:eastAsia="ru-RU" w:bidi="ar-SA"/>
              </w:rPr>
              <w:t>Габаритные размеры</w:t>
            </w:r>
          </w:p>
        </w:tc>
        <w:tc>
          <w:tcPr>
            <w:tcW w:w="4159" w:type="dxa"/>
            <w:tcBorders>
              <w:top w:val="nil"/>
              <w:right w:val="nil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sz w:val="22"/>
                <w:szCs w:val="22"/>
              </w:rPr>
            </w:pPr>
            <w:r>
              <w:rPr>
                <w:rFonts w:eastAsia="Times New Roman" w:cs="Times New Roman"/>
                <w:kern w:val="0"/>
                <w:sz w:val="22"/>
                <w:szCs w:val="22"/>
                <w:lang w:val="ru-RU" w:eastAsia="ru-RU" w:bidi="ar-SA"/>
              </w:rPr>
              <w:t>В приложении 3 к настоящему ТТ.</w:t>
            </w:r>
          </w:p>
        </w:tc>
        <w:tc>
          <w:tcPr>
            <w:tcW w:w="2022" w:type="dxa"/>
            <w:tcBorders>
              <w:top w:val="nil"/>
              <w:right w:val="nil"/>
            </w:tcBorders>
            <w:shd w:color="auto" w:fill="auto" w:val="clea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rFonts w:ascii="Times New Roman" w:hAnsi="Times New Roman" w:eastAsia="Times New Roman" w:cs="Times New Roman"/>
                <w:kern w:val="0"/>
                <w:sz w:val="22"/>
                <w:szCs w:val="22"/>
                <w:lang w:val="ru-RU" w:eastAsia="ru-RU" w:bidi="ar-SA"/>
              </w:rPr>
            </w:pPr>
            <w:r>
              <w:rPr>
                <w:rFonts w:eastAsia="Times New Roman" w:cs="Times New Roman"/>
                <w:kern w:val="0"/>
                <w:sz w:val="22"/>
                <w:szCs w:val="22"/>
                <w:lang w:val="ru-RU" w:eastAsia="ru-RU" w:bidi="ar-SA"/>
              </w:rPr>
              <w:t>Согласие с требованием</w:t>
            </w:r>
          </w:p>
        </w:tc>
        <w:tc>
          <w:tcPr>
            <w:tcW w:w="1650" w:type="dxa"/>
            <w:tcBorders>
              <w:top w:val="nil"/>
              <w:right w:val="nil"/>
            </w:tcBorders>
            <w:shd w:color="auto" w:fill="auto" w:val="clear"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</w:p>
        </w:tc>
        <w:tc>
          <w:tcPr>
            <w:tcW w:w="1530" w:type="dxa"/>
            <w:tcBorders>
              <w:top w:val="nil"/>
            </w:tcBorders>
            <w:shd w:color="auto" w:fill="auto" w:val="clear"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</w:p>
        </w:tc>
      </w:tr>
      <w:tr>
        <w:trPr/>
        <w:tc>
          <w:tcPr>
            <w:tcW w:w="675" w:type="dxa"/>
            <w:tcBorders/>
            <w:vAlign w:val="center"/>
          </w:tcPr>
          <w:p>
            <w:pPr>
              <w:pStyle w:val="Normal"/>
              <w:widowControl w:val="false"/>
              <w:numPr>
                <w:ilvl w:val="0"/>
                <w:numId w:val="6"/>
              </w:numPr>
              <w:suppressAutoHyphens w:val="true"/>
              <w:spacing w:before="0" w:after="0"/>
              <w:jc w:val="lef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</w:p>
        </w:tc>
        <w:tc>
          <w:tcPr>
            <w:tcW w:w="8403" w:type="dxa"/>
            <w:gridSpan w:val="3"/>
            <w:tcBorders>
              <w:right w:val="nil"/>
            </w:tcBorders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</w:p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sz w:val="22"/>
                <w:szCs w:val="22"/>
              </w:rPr>
            </w:pPr>
            <w:r>
              <w:rPr>
                <w:rFonts w:eastAsia="Times New Roman" w:cs="Times New Roman"/>
                <w:b/>
                <w:bCs/>
                <w:kern w:val="0"/>
                <w:sz w:val="22"/>
                <w:szCs w:val="22"/>
                <w:lang w:val="ru-RU" w:eastAsia="ru-RU" w:bidi="ar-SA"/>
              </w:rPr>
              <w:t>Требования к доставке, маркировке, упаковке, транспортировке, перемещению, условиям хранения, приемке и испытаниям</w:t>
            </w:r>
          </w:p>
        </w:tc>
        <w:tc>
          <w:tcPr>
            <w:tcW w:w="3672" w:type="dxa"/>
            <w:gridSpan w:val="2"/>
            <w:tcBorders>
              <w:right w:val="nil"/>
            </w:tcBorders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</w:r>
          </w:p>
        </w:tc>
        <w:tc>
          <w:tcPr>
            <w:tcW w:w="1530" w:type="dxa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</w:r>
          </w:p>
        </w:tc>
      </w:tr>
      <w:tr>
        <w:trPr/>
        <w:tc>
          <w:tcPr>
            <w:tcW w:w="675" w:type="dxa"/>
            <w:tcBorders/>
            <w:vAlign w:val="center"/>
          </w:tcPr>
          <w:p>
            <w:pPr>
              <w:pStyle w:val="Normal"/>
              <w:widowControl w:val="false"/>
              <w:numPr>
                <w:ilvl w:val="1"/>
                <w:numId w:val="6"/>
              </w:numPr>
              <w:suppressAutoHyphens w:val="true"/>
              <w:spacing w:before="0" w:after="0"/>
              <w:jc w:val="lef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</w:p>
        </w:tc>
        <w:tc>
          <w:tcPr>
            <w:tcW w:w="2099" w:type="dxa"/>
            <w:tcBorders>
              <w:right w:val="nil"/>
            </w:tcBorders>
          </w:tcPr>
          <w:p>
            <w:pPr>
              <w:pStyle w:val="Normal"/>
              <w:widowControl w:val="false"/>
              <w:numPr>
                <w:ilvl w:val="0"/>
                <w:numId w:val="0"/>
              </w:numPr>
              <w:suppressAutoHyphens w:val="true"/>
              <w:spacing w:before="0" w:after="0"/>
              <w:ind w:left="0" w:hanging="0"/>
              <w:jc w:val="center"/>
              <w:rPr>
                <w:rFonts w:ascii="Times New Roman" w:hAnsi="Times New Roman" w:eastAsia="Times New Roman" w:cs="Times New Roman"/>
                <w:kern w:val="0"/>
                <w:sz w:val="22"/>
                <w:szCs w:val="22"/>
                <w:lang w:eastAsia="ru-RU" w:bidi="ar-SA"/>
              </w:rPr>
            </w:pPr>
            <w:r>
              <w:rPr>
                <w:rFonts w:eastAsia="Times New Roman" w:cs="Times New Roman"/>
                <w:kern w:val="0"/>
                <w:sz w:val="22"/>
                <w:szCs w:val="22"/>
                <w:lang w:val="en-US" w:eastAsia="ru-RU" w:bidi="ar-SA"/>
              </w:rPr>
              <w:t>Место доставки</w:t>
            </w:r>
          </w:p>
        </w:tc>
        <w:tc>
          <w:tcPr>
            <w:tcW w:w="6304" w:type="dxa"/>
            <w:gridSpan w:val="2"/>
            <w:tcBorders>
              <w:right w:val="nil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sz w:val="22"/>
                <w:szCs w:val="22"/>
              </w:rPr>
            </w:pPr>
            <w:r>
              <w:rPr>
                <w:rFonts w:eastAsia="Times New Roman" w:cs="Times New Roman"/>
                <w:kern w:val="0"/>
                <w:sz w:val="22"/>
                <w:szCs w:val="22"/>
                <w:lang w:val="ru-RU" w:eastAsia="ru-RU" w:bidi="ar-SA"/>
              </w:rPr>
              <w:t>Доставка осуществляется силами и средствами Поставщика в герметичной таре и защищена от атмосферных осадков. по адресу: Республика Дагестан, Кизилюртовский район, Чирюртская ГЭС-1</w:t>
            </w:r>
          </w:p>
        </w:tc>
        <w:tc>
          <w:tcPr>
            <w:tcW w:w="2022" w:type="dxa"/>
            <w:tcBorders>
              <w:right w:val="nil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rFonts w:ascii="Times New Roman" w:hAnsi="Times New Roman" w:eastAsia="Times New Roman" w:cs="Times New Roman"/>
                <w:kern w:val="0"/>
                <w:sz w:val="22"/>
                <w:szCs w:val="22"/>
                <w:lang w:val="ru-RU" w:eastAsia="ru-RU" w:bidi="ar-SA"/>
              </w:rPr>
            </w:pPr>
            <w:r>
              <w:rPr>
                <w:rFonts w:eastAsia="Times New Roman" w:cs="Times New Roman"/>
                <w:kern w:val="0"/>
                <w:sz w:val="22"/>
                <w:szCs w:val="22"/>
                <w:lang w:val="ru-RU" w:eastAsia="ru-RU" w:bidi="ar-SA"/>
              </w:rPr>
              <w:t>Согласие с требованием</w:t>
            </w:r>
          </w:p>
        </w:tc>
        <w:tc>
          <w:tcPr>
            <w:tcW w:w="1650" w:type="dxa"/>
            <w:tcBorders>
              <w:right w:val="nil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</w:p>
        </w:tc>
        <w:tc>
          <w:tcPr>
            <w:tcW w:w="1530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</w:p>
        </w:tc>
      </w:tr>
      <w:tr>
        <w:trPr/>
        <w:tc>
          <w:tcPr>
            <w:tcW w:w="675" w:type="dxa"/>
            <w:tcBorders/>
            <w:vAlign w:val="center"/>
          </w:tcPr>
          <w:p>
            <w:pPr>
              <w:pStyle w:val="Normal"/>
              <w:widowControl w:val="false"/>
              <w:numPr>
                <w:ilvl w:val="0"/>
                <w:numId w:val="6"/>
              </w:numPr>
              <w:suppressAutoHyphens w:val="true"/>
              <w:spacing w:before="0" w:after="0"/>
              <w:jc w:val="lef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</w:p>
        </w:tc>
        <w:tc>
          <w:tcPr>
            <w:tcW w:w="8403" w:type="dxa"/>
            <w:gridSpan w:val="3"/>
            <w:tcBorders>
              <w:right w:val="nil"/>
            </w:tcBorders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</w:p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sz w:val="22"/>
                <w:szCs w:val="22"/>
              </w:rPr>
            </w:pPr>
            <w:r>
              <w:rPr>
                <w:rFonts w:eastAsia="Times New Roman" w:cs="Times New Roman"/>
                <w:b/>
                <w:kern w:val="0"/>
                <w:sz w:val="22"/>
                <w:szCs w:val="22"/>
                <w:lang w:val="ru-RU" w:eastAsia="ru-RU" w:bidi="ar-SA"/>
              </w:rPr>
              <w:t>Требования к гарантиям, гарантийному и послегарантийному обслуживанию</w:t>
            </w:r>
          </w:p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</w:r>
          </w:p>
        </w:tc>
        <w:tc>
          <w:tcPr>
            <w:tcW w:w="3672" w:type="dxa"/>
            <w:gridSpan w:val="2"/>
            <w:tcBorders>
              <w:right w:val="nil"/>
            </w:tcBorders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</w:r>
          </w:p>
        </w:tc>
        <w:tc>
          <w:tcPr>
            <w:tcW w:w="1530" w:type="dxa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</w:r>
          </w:p>
        </w:tc>
      </w:tr>
      <w:tr>
        <w:trPr/>
        <w:tc>
          <w:tcPr>
            <w:tcW w:w="675" w:type="dxa"/>
            <w:tcBorders/>
            <w:vAlign w:val="center"/>
          </w:tcPr>
          <w:p>
            <w:pPr>
              <w:pStyle w:val="Normal"/>
              <w:widowControl w:val="false"/>
              <w:numPr>
                <w:ilvl w:val="1"/>
                <w:numId w:val="6"/>
              </w:numPr>
              <w:suppressAutoHyphens w:val="true"/>
              <w:spacing w:before="0" w:after="0"/>
              <w:jc w:val="lef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</w:p>
        </w:tc>
        <w:tc>
          <w:tcPr>
            <w:tcW w:w="2099" w:type="dxa"/>
            <w:tcBorders>
              <w:right w:val="nil"/>
            </w:tcBorders>
          </w:tcPr>
          <w:p>
            <w:pPr>
              <w:pStyle w:val="Normal"/>
              <w:widowControl w:val="false"/>
              <w:numPr>
                <w:ilvl w:val="0"/>
                <w:numId w:val="0"/>
              </w:numPr>
              <w:suppressAutoHyphens w:val="true"/>
              <w:spacing w:before="0" w:after="0"/>
              <w:ind w:left="0" w:hanging="0"/>
              <w:jc w:val="center"/>
              <w:rPr>
                <w:rFonts w:ascii="Times New Roman" w:hAnsi="Times New Roman" w:eastAsia="Times New Roman" w:cs="Times New Roman"/>
                <w:kern w:val="0"/>
                <w:sz w:val="22"/>
                <w:szCs w:val="22"/>
                <w:lang w:eastAsia="ru-RU" w:bidi="ar-SA"/>
              </w:rPr>
            </w:pPr>
            <w:r>
              <w:rPr>
                <w:rFonts w:eastAsia="Times New Roman" w:cs="Times New Roman"/>
                <w:kern w:val="0"/>
                <w:sz w:val="22"/>
                <w:szCs w:val="22"/>
                <w:lang w:val="en-US" w:eastAsia="ru-RU" w:bidi="ar-SA"/>
              </w:rPr>
              <w:t>Срок гарантии</w:t>
            </w:r>
          </w:p>
        </w:tc>
        <w:tc>
          <w:tcPr>
            <w:tcW w:w="6304" w:type="dxa"/>
            <w:gridSpan w:val="2"/>
            <w:tcBorders>
              <w:right w:val="nil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sz w:val="22"/>
                <w:szCs w:val="22"/>
              </w:rPr>
            </w:pPr>
            <w:r>
              <w:rPr>
                <w:rFonts w:eastAsia="Times New Roman" w:cs="Times New Roman"/>
                <w:kern w:val="0"/>
                <w:sz w:val="22"/>
                <w:szCs w:val="22"/>
                <w:lang w:val="ru-RU" w:eastAsia="ru-RU" w:bidi="ar-SA"/>
              </w:rPr>
              <w:t>Гарантия не менее 12 месяцев с даты подписания сторонами ТОРГ-12 или Универсального передаточного документа (УПД), но не менее   гарантийного срока изготовителя (производителя) продукции.</w:t>
            </w:r>
          </w:p>
        </w:tc>
        <w:tc>
          <w:tcPr>
            <w:tcW w:w="2022" w:type="dxa"/>
            <w:tcBorders>
              <w:right w:val="nil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rFonts w:ascii="Times New Roman" w:hAnsi="Times New Roman" w:eastAsia="Times New Roman" w:cs="Times New Roman"/>
                <w:kern w:val="0"/>
                <w:sz w:val="22"/>
                <w:szCs w:val="22"/>
                <w:lang w:val="ru-RU" w:eastAsia="ru-RU" w:bidi="ar-SA"/>
              </w:rPr>
            </w:pPr>
            <w:r>
              <w:rPr>
                <w:rFonts w:eastAsia="Times New Roman" w:cs="Times New Roman"/>
                <w:kern w:val="0"/>
                <w:sz w:val="22"/>
                <w:szCs w:val="22"/>
                <w:lang w:val="ru-RU" w:eastAsia="ru-RU" w:bidi="ar-SA"/>
              </w:rPr>
              <w:t>Согласие с требованием</w:t>
            </w:r>
          </w:p>
        </w:tc>
        <w:tc>
          <w:tcPr>
            <w:tcW w:w="1650" w:type="dxa"/>
            <w:tcBorders>
              <w:right w:val="nil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</w:p>
        </w:tc>
        <w:tc>
          <w:tcPr>
            <w:tcW w:w="1530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</w:p>
        </w:tc>
      </w:tr>
      <w:tr>
        <w:trPr/>
        <w:tc>
          <w:tcPr>
            <w:tcW w:w="675" w:type="dxa"/>
            <w:tcBorders/>
            <w:vAlign w:val="center"/>
          </w:tcPr>
          <w:p>
            <w:pPr>
              <w:pStyle w:val="Normal"/>
              <w:widowControl w:val="false"/>
              <w:numPr>
                <w:ilvl w:val="0"/>
                <w:numId w:val="6"/>
              </w:numPr>
              <w:suppressAutoHyphens w:val="true"/>
              <w:spacing w:before="0" w:after="0"/>
              <w:jc w:val="lef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</w:p>
        </w:tc>
        <w:tc>
          <w:tcPr>
            <w:tcW w:w="8403" w:type="dxa"/>
            <w:gridSpan w:val="3"/>
            <w:tcBorders>
              <w:right w:val="nil"/>
            </w:tcBorders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</w:p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sz w:val="22"/>
                <w:szCs w:val="22"/>
              </w:rPr>
            </w:pPr>
            <w:r>
              <w:rPr>
                <w:rFonts w:eastAsia="Times New Roman" w:cs="Times New Roman"/>
                <w:b/>
                <w:kern w:val="0"/>
                <w:sz w:val="22"/>
                <w:szCs w:val="22"/>
                <w:lang w:val="ru-RU" w:eastAsia="ru-RU" w:bidi="ar-SA"/>
              </w:rPr>
              <w:t>Требования к комплектации и документам, поставляемым вместе с продукцией</w:t>
            </w:r>
          </w:p>
        </w:tc>
        <w:tc>
          <w:tcPr>
            <w:tcW w:w="3672" w:type="dxa"/>
            <w:gridSpan w:val="2"/>
            <w:tcBorders>
              <w:right w:val="nil"/>
            </w:tcBorders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</w:r>
          </w:p>
        </w:tc>
        <w:tc>
          <w:tcPr>
            <w:tcW w:w="1530" w:type="dxa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</w:r>
          </w:p>
        </w:tc>
      </w:tr>
      <w:tr>
        <w:trPr/>
        <w:tc>
          <w:tcPr>
            <w:tcW w:w="675" w:type="dxa"/>
            <w:tcBorders/>
            <w:vAlign w:val="center"/>
          </w:tcPr>
          <w:p>
            <w:pPr>
              <w:pStyle w:val="Normal"/>
              <w:widowControl w:val="false"/>
              <w:numPr>
                <w:ilvl w:val="1"/>
                <w:numId w:val="6"/>
              </w:numPr>
              <w:suppressAutoHyphens w:val="true"/>
              <w:spacing w:before="0" w:after="0"/>
              <w:jc w:val="lef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</w:p>
        </w:tc>
        <w:tc>
          <w:tcPr>
            <w:tcW w:w="2099" w:type="dxa"/>
            <w:tcBorders>
              <w:right w:val="nil"/>
            </w:tcBorders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rFonts w:ascii="Times New Roman" w:hAnsi="Times New Roman" w:eastAsia="Times New Roman" w:cs="Times New Roman"/>
                <w:kern w:val="0"/>
                <w:sz w:val="22"/>
                <w:szCs w:val="22"/>
                <w:lang w:val="ru-RU" w:eastAsia="ru-RU" w:bidi="ar-SA"/>
              </w:rPr>
            </w:pPr>
            <w:r>
              <w:rPr>
                <w:rFonts w:eastAsia="Times New Roman" w:cs="Times New Roman"/>
                <w:kern w:val="0"/>
                <w:sz w:val="22"/>
                <w:szCs w:val="22"/>
                <w:lang w:val="ru-RU" w:eastAsia="ru-RU" w:bidi="ar-SA"/>
              </w:rPr>
              <w:t>Требования к комплектации и документам, поставляемым вместе с продукцией</w:t>
            </w:r>
          </w:p>
        </w:tc>
        <w:tc>
          <w:tcPr>
            <w:tcW w:w="6304" w:type="dxa"/>
            <w:gridSpan w:val="2"/>
            <w:tcBorders>
              <w:right w:val="nil"/>
            </w:tcBorders>
            <w:vAlign w:val="center"/>
          </w:tcPr>
          <w:p>
            <w:pPr>
              <w:pStyle w:val="Normal"/>
              <w:widowControl w:val="false"/>
              <w:numPr>
                <w:ilvl w:val="0"/>
                <w:numId w:val="0"/>
              </w:numPr>
              <w:suppressAutoHyphens w:val="true"/>
              <w:spacing w:before="0" w:after="0"/>
              <w:ind w:left="0" w:hanging="0"/>
              <w:jc w:val="both"/>
              <w:rPr>
                <w:rFonts w:ascii="Times New Roman" w:hAnsi="Times New Roman" w:eastAsia="Times New Roman" w:cs="Times New Roman"/>
                <w:kern w:val="0"/>
                <w:sz w:val="22"/>
                <w:szCs w:val="22"/>
                <w:lang w:eastAsia="ru-RU" w:bidi="ar-SA"/>
              </w:rPr>
            </w:pPr>
            <w:r>
              <w:rPr>
                <w:rFonts w:eastAsia="Times New Roman" w:cs="Times New Roman"/>
                <w:kern w:val="0"/>
                <w:sz w:val="22"/>
                <w:szCs w:val="22"/>
                <w:lang w:val="ru-RU" w:eastAsia="ru-RU" w:bidi="ar-SA"/>
              </w:rPr>
              <w:t xml:space="preserve">Поставщик обязан одновременно с передачей продукции передать Покупателю относящиеся к нему документы, оформленные надлежащим образом: сертификаты качества, технические паспорта, руководства по эксплуатации; товарно - транспортные накладные, товарную накладную </w:t>
            </w:r>
            <w:r>
              <w:rPr>
                <w:rFonts w:eastAsia="Times New Roman" w:cs="Times New Roman"/>
                <w:kern w:val="0"/>
                <w:sz w:val="22"/>
                <w:szCs w:val="22"/>
                <w:lang w:val="en-US" w:eastAsia="ru-RU" w:bidi="ar-SA"/>
              </w:rPr>
              <w:t>ТОРГ-12 или УПД в 2-х экземплярах.</w:t>
            </w:r>
          </w:p>
        </w:tc>
        <w:tc>
          <w:tcPr>
            <w:tcW w:w="2022" w:type="dxa"/>
            <w:tcBorders>
              <w:right w:val="nil"/>
            </w:tcBorders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rFonts w:ascii="Times New Roman" w:hAnsi="Times New Roman" w:eastAsia="Times New Roman" w:cs="Times New Roman"/>
                <w:kern w:val="0"/>
                <w:sz w:val="22"/>
                <w:szCs w:val="22"/>
                <w:lang w:val="ru-RU" w:eastAsia="ru-RU" w:bidi="ar-SA"/>
              </w:rPr>
            </w:pPr>
            <w:r>
              <w:rPr>
                <w:rFonts w:eastAsia="Times New Roman" w:cs="Times New Roman"/>
                <w:kern w:val="0"/>
                <w:sz w:val="22"/>
                <w:szCs w:val="22"/>
                <w:lang w:val="ru-RU" w:eastAsia="ru-RU" w:bidi="ar-SA"/>
              </w:rPr>
              <w:t>Согласие с требованием</w:t>
            </w:r>
          </w:p>
        </w:tc>
        <w:tc>
          <w:tcPr>
            <w:tcW w:w="1650" w:type="dxa"/>
            <w:tcBorders>
              <w:right w:val="nil"/>
            </w:tcBorders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</w:p>
        </w:tc>
        <w:tc>
          <w:tcPr>
            <w:tcW w:w="1530" w:type="dxa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</w:p>
        </w:tc>
      </w:tr>
      <w:tr>
        <w:trPr/>
        <w:tc>
          <w:tcPr>
            <w:tcW w:w="675" w:type="dxa"/>
            <w:tcBorders>
              <w:top w:val="nil"/>
            </w:tcBorders>
            <w:vAlign w:val="center"/>
          </w:tcPr>
          <w:p>
            <w:pPr>
              <w:pStyle w:val="ListParagraph"/>
              <w:widowControl w:val="false"/>
              <w:suppressAutoHyphens w:val="true"/>
              <w:spacing w:before="60" w:after="60"/>
              <w:ind w:left="-117" w:hanging="0"/>
              <w:contextualSpacing/>
              <w:jc w:val="center"/>
              <w:rPr>
                <w:rFonts w:ascii="Times New Roman" w:hAnsi="Times New Roman" w:cs="Times New Roman"/>
                <w:kern w:val="0"/>
                <w:sz w:val="22"/>
                <w:szCs w:val="22"/>
                <w:lang w:val="ru-RU" w:eastAsia="ru-RU" w:bidi="ar-SA"/>
              </w:rPr>
            </w:pPr>
            <w:r>
              <w:rPr>
                <w:rFonts w:cs="Times New Roman"/>
                <w:b/>
                <w:bCs/>
                <w:kern w:val="0"/>
                <w:sz w:val="22"/>
                <w:szCs w:val="22"/>
                <w:lang w:val="ru-RU" w:eastAsia="ru-RU" w:bidi="ar-SA"/>
              </w:rPr>
              <w:t>5.</w:t>
            </w:r>
          </w:p>
        </w:tc>
        <w:tc>
          <w:tcPr>
            <w:tcW w:w="8403" w:type="dxa"/>
            <w:gridSpan w:val="3"/>
            <w:tcBorders>
              <w:top w:val="nil"/>
              <w:right w:val="nil"/>
            </w:tcBorders>
            <w:vAlign w:val="center"/>
          </w:tcPr>
          <w:p>
            <w:pPr>
              <w:pStyle w:val="Normal"/>
              <w:widowControl w:val="false"/>
              <w:numPr>
                <w:ilvl w:val="0"/>
                <w:numId w:val="0"/>
              </w:numPr>
              <w:suppressAutoHyphens w:val="true"/>
              <w:spacing w:before="0" w:after="0"/>
              <w:ind w:left="0" w:hanging="0"/>
              <w:jc w:val="left"/>
              <w:rPr>
                <w:rFonts w:ascii="Times New Roman" w:hAnsi="Times New Roman" w:eastAsia="Times New Roman" w:cs="Times New Roman"/>
                <w:kern w:val="0"/>
                <w:sz w:val="22"/>
                <w:szCs w:val="22"/>
                <w:lang w:val="ru-RU" w:eastAsia="ru-RU" w:bidi="ar-SA"/>
              </w:rPr>
            </w:pPr>
            <w:r>
              <w:rPr>
                <w:rFonts w:eastAsia="Times New Roman" w:cs="Times New Roman"/>
                <w:b/>
                <w:bCs/>
                <w:kern w:val="0"/>
                <w:sz w:val="22"/>
                <w:szCs w:val="22"/>
                <w:lang w:val="ru-RU" w:eastAsia="ru-RU" w:bidi="ar-SA"/>
              </w:rPr>
              <w:t>Прочие (дополнительные) требования к продукции</w:t>
            </w:r>
          </w:p>
        </w:tc>
        <w:tc>
          <w:tcPr>
            <w:tcW w:w="2022" w:type="dxa"/>
            <w:tcBorders>
              <w:top w:val="nil"/>
              <w:right w:val="nil"/>
            </w:tcBorders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rFonts w:ascii="Times New Roman" w:hAnsi="Times New Roman" w:eastAsia="Times New Roman" w:cs="Times New Roman"/>
                <w:kern w:val="0"/>
                <w:sz w:val="22"/>
                <w:szCs w:val="22"/>
                <w:lang w:val="ru-RU" w:eastAsia="ru-RU" w:bidi="ar-SA"/>
              </w:rPr>
            </w:pPr>
            <w:r>
              <w:rPr>
                <w:rFonts w:eastAsia="Times New Roman" w:cs="Times New Roman"/>
                <w:kern w:val="0"/>
                <w:sz w:val="22"/>
                <w:szCs w:val="22"/>
                <w:lang w:val="ru-RU" w:eastAsia="ru-RU" w:bidi="ar-SA"/>
              </w:rPr>
            </w:r>
          </w:p>
        </w:tc>
        <w:tc>
          <w:tcPr>
            <w:tcW w:w="1650" w:type="dxa"/>
            <w:tcBorders>
              <w:top w:val="nil"/>
              <w:right w:val="nil"/>
            </w:tcBorders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</w:p>
        </w:tc>
        <w:tc>
          <w:tcPr>
            <w:tcW w:w="1530" w:type="dxa"/>
            <w:tcBorders>
              <w:top w:val="nil"/>
            </w:tcBorders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</w:p>
        </w:tc>
      </w:tr>
      <w:tr>
        <w:trPr/>
        <w:tc>
          <w:tcPr>
            <w:tcW w:w="675" w:type="dxa"/>
            <w:tcBorders>
              <w:top w:val="nil"/>
            </w:tcBorders>
            <w:vAlign w:val="center"/>
          </w:tcPr>
          <w:p>
            <w:pPr>
              <w:pStyle w:val="ListParagraph"/>
              <w:widowControl w:val="false"/>
              <w:suppressAutoHyphens w:val="true"/>
              <w:spacing w:before="60" w:after="60"/>
              <w:ind w:left="-117" w:hanging="0"/>
              <w:contextualSpacing/>
              <w:jc w:val="center"/>
              <w:rPr>
                <w:rFonts w:ascii="Times New Roman" w:hAnsi="Times New Roman" w:cs="Times New Roman"/>
                <w:kern w:val="0"/>
                <w:sz w:val="22"/>
                <w:szCs w:val="22"/>
                <w:lang w:val="ru-RU" w:eastAsia="ru-RU" w:bidi="ar-SA"/>
              </w:rPr>
            </w:pPr>
            <w:r>
              <w:rPr>
                <w:rFonts w:cs="Times New Roman"/>
                <w:kern w:val="0"/>
                <w:sz w:val="22"/>
                <w:szCs w:val="22"/>
                <w:lang w:val="ru-RU" w:eastAsia="ru-RU" w:bidi="ar-SA"/>
              </w:rPr>
              <w:t>5.1</w:t>
            </w:r>
          </w:p>
        </w:tc>
        <w:tc>
          <w:tcPr>
            <w:tcW w:w="8403" w:type="dxa"/>
            <w:gridSpan w:val="3"/>
            <w:tcBorders>
              <w:top w:val="nil"/>
              <w:right w:val="nil"/>
            </w:tcBorders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rFonts w:ascii="Times New Roman" w:hAnsi="Times New Roman" w:eastAsia="Times New Roman" w:cs="Times New Roman"/>
                <w:kern w:val="0"/>
                <w:sz w:val="22"/>
                <w:szCs w:val="22"/>
                <w:lang w:val="ru-RU" w:eastAsia="ru-RU" w:bidi="ar-SA"/>
              </w:rPr>
            </w:pPr>
            <w:r>
              <w:rPr>
                <w:rFonts w:eastAsia="Times New Roman" w:cs="Times New Roman"/>
                <w:kern w:val="0"/>
                <w:sz w:val="22"/>
                <w:szCs w:val="22"/>
                <w:lang w:val="ru-RU" w:eastAsia="ru-RU" w:bidi="ar-SA"/>
              </w:rPr>
              <w:t>Продукция должна быть новой, не бывшей в употреблении, не должна быть восстановленной, не ранее 2024 года выпуска.</w:t>
            </w:r>
          </w:p>
        </w:tc>
        <w:tc>
          <w:tcPr>
            <w:tcW w:w="2022" w:type="dxa"/>
            <w:tcBorders>
              <w:top w:val="nil"/>
              <w:right w:val="nil"/>
            </w:tcBorders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rFonts w:ascii="Times New Roman" w:hAnsi="Times New Roman" w:eastAsia="Times New Roman" w:cs="Times New Roman"/>
                <w:kern w:val="0"/>
                <w:sz w:val="22"/>
                <w:szCs w:val="22"/>
                <w:lang w:val="ru-RU" w:eastAsia="ru-RU" w:bidi="ar-SA"/>
              </w:rPr>
            </w:pPr>
            <w:r>
              <w:rPr>
                <w:rFonts w:eastAsia="Times New Roman" w:cs="Times New Roman"/>
                <w:kern w:val="0"/>
                <w:sz w:val="22"/>
                <w:szCs w:val="22"/>
                <w:lang w:val="ru-RU" w:eastAsia="ru-RU" w:bidi="ar-SA"/>
              </w:rPr>
              <w:t>Согласие с требованием</w:t>
            </w:r>
          </w:p>
        </w:tc>
        <w:tc>
          <w:tcPr>
            <w:tcW w:w="1650" w:type="dxa"/>
            <w:tcBorders>
              <w:top w:val="nil"/>
              <w:right w:val="nil"/>
            </w:tcBorders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</w:p>
        </w:tc>
        <w:tc>
          <w:tcPr>
            <w:tcW w:w="1530" w:type="dxa"/>
            <w:tcBorders>
              <w:top w:val="nil"/>
            </w:tcBorders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</w:p>
        </w:tc>
      </w:tr>
      <w:tr>
        <w:trPr/>
        <w:tc>
          <w:tcPr>
            <w:tcW w:w="675" w:type="dxa"/>
            <w:tcBorders>
              <w:top w:val="nil"/>
            </w:tcBorders>
            <w:vAlign w:val="center"/>
          </w:tcPr>
          <w:p>
            <w:pPr>
              <w:pStyle w:val="ListParagraph"/>
              <w:widowControl w:val="false"/>
              <w:suppressAutoHyphens w:val="true"/>
              <w:spacing w:before="60" w:after="60"/>
              <w:ind w:left="-117" w:hanging="0"/>
              <w:contextualSpacing/>
              <w:jc w:val="center"/>
              <w:rPr>
                <w:rFonts w:ascii="Times New Roman" w:hAnsi="Times New Roman" w:cs="Times New Roman"/>
                <w:kern w:val="0"/>
                <w:sz w:val="22"/>
                <w:szCs w:val="22"/>
                <w:lang w:val="ru-RU" w:eastAsia="ru-RU" w:bidi="ar-SA"/>
              </w:rPr>
            </w:pPr>
            <w:r>
              <w:rPr>
                <w:rFonts w:cs="Times New Roman"/>
                <w:kern w:val="0"/>
                <w:sz w:val="22"/>
                <w:szCs w:val="22"/>
                <w:lang w:val="ru-RU" w:eastAsia="ru-RU" w:bidi="ar-SA"/>
              </w:rPr>
              <w:t>5.2</w:t>
            </w:r>
          </w:p>
        </w:tc>
        <w:tc>
          <w:tcPr>
            <w:tcW w:w="8403" w:type="dxa"/>
            <w:gridSpan w:val="3"/>
            <w:tcBorders>
              <w:top w:val="nil"/>
              <w:right w:val="nil"/>
            </w:tcBorders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rFonts w:ascii="Times New Roman" w:hAnsi="Times New Roman" w:eastAsia="Times New Roman" w:cs="Times New Roman"/>
                <w:kern w:val="0"/>
                <w:sz w:val="22"/>
                <w:szCs w:val="22"/>
                <w:lang w:val="ru-RU" w:eastAsia="ru-RU" w:bidi="ar-SA"/>
              </w:rPr>
            </w:pPr>
            <w:r>
              <w:rPr>
                <w:rFonts w:eastAsia="Times New Roman" w:cs="Times New Roman"/>
                <w:kern w:val="0"/>
                <w:sz w:val="22"/>
                <w:szCs w:val="22"/>
                <w:lang w:val="ru-RU" w:eastAsia="ru-RU" w:bidi="ar-SA"/>
              </w:rPr>
              <w:t>Продукция должна соответствовать обязательным требованиям, установленным нормативными документами, действующими в РФ.</w:t>
            </w:r>
          </w:p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rFonts w:ascii="Times New Roman" w:hAnsi="Times New Roman" w:eastAsia="Times New Roman" w:cs="Times New Roman"/>
                <w:kern w:val="0"/>
                <w:sz w:val="22"/>
                <w:szCs w:val="22"/>
                <w:lang w:val="ru-RU" w:eastAsia="ru-RU" w:bidi="ar-SA"/>
              </w:rPr>
            </w:pPr>
            <w:r>
              <w:rPr>
                <w:rFonts w:eastAsia="Times New Roman" w:cs="Times New Roman"/>
                <w:kern w:val="0"/>
                <w:sz w:val="22"/>
                <w:szCs w:val="22"/>
                <w:lang w:val="ru-RU" w:eastAsia="ru-RU" w:bidi="ar-SA"/>
              </w:rPr>
              <w:t>Продукция должна соответствовать техническим параметрам, стандартам и требованиям для данной продукции, в том числе общеизвестным техническим параметрам, а также соответствовать стандартам и требованиям для данной продукции, установленных нормативными регламентами и законодательством Российской Федерации. В случае наличия особенностей производства продукции, особенности технических параметров продукции или отступления от стандартов Поставщик обязан согласовывать это с Покупателем.</w:t>
            </w:r>
          </w:p>
        </w:tc>
        <w:tc>
          <w:tcPr>
            <w:tcW w:w="2022" w:type="dxa"/>
            <w:tcBorders>
              <w:top w:val="nil"/>
              <w:right w:val="nil"/>
            </w:tcBorders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rFonts w:ascii="Times New Roman" w:hAnsi="Times New Roman" w:eastAsia="Times New Roman" w:cs="Times New Roman"/>
                <w:kern w:val="0"/>
                <w:sz w:val="22"/>
                <w:szCs w:val="22"/>
                <w:lang w:val="ru-RU" w:eastAsia="ru-RU" w:bidi="ar-SA"/>
              </w:rPr>
            </w:pPr>
            <w:r>
              <w:rPr>
                <w:rFonts w:eastAsia="Times New Roman" w:cs="Times New Roman"/>
                <w:kern w:val="0"/>
                <w:sz w:val="22"/>
                <w:szCs w:val="22"/>
                <w:lang w:val="ru-RU" w:eastAsia="ru-RU" w:bidi="ar-SA"/>
              </w:rPr>
              <w:t>Согласие с требованием</w:t>
            </w:r>
          </w:p>
        </w:tc>
        <w:tc>
          <w:tcPr>
            <w:tcW w:w="1650" w:type="dxa"/>
            <w:tcBorders>
              <w:top w:val="nil"/>
              <w:right w:val="nil"/>
            </w:tcBorders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</w:p>
        </w:tc>
        <w:tc>
          <w:tcPr>
            <w:tcW w:w="1530" w:type="dxa"/>
            <w:tcBorders>
              <w:top w:val="nil"/>
            </w:tcBorders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</w:p>
        </w:tc>
      </w:tr>
    </w:tbl>
    <w:p>
      <w:pPr>
        <w:sectPr>
          <w:headerReference w:type="default" r:id="rId8"/>
          <w:headerReference w:type="first" r:id="rId9"/>
          <w:footerReference w:type="default" r:id="rId10"/>
          <w:footerReference w:type="first" r:id="rId11"/>
          <w:type w:val="nextPage"/>
          <w:pgSz w:orient="landscape" w:w="16838" w:h="11906"/>
          <w:pgMar w:left="1134" w:right="1134" w:gutter="0" w:header="0" w:top="1134" w:footer="0" w:bottom="1134"/>
          <w:pgNumType w:fmt="decimal"/>
          <w:formProt w:val="false"/>
          <w:textDirection w:val="lrTb"/>
          <w:docGrid w:type="default" w:linePitch="100" w:charSpace="0"/>
        </w:sectPr>
      </w:pPr>
    </w:p>
    <w:p>
      <w:pPr>
        <w:pStyle w:val="Normal"/>
        <w:tabs>
          <w:tab w:val="clear" w:pos="708"/>
          <w:tab w:val="left" w:pos="1267" w:leader="none"/>
        </w:tabs>
        <w:rPr>
          <w:sz w:val="24"/>
          <w:szCs w:val="24"/>
        </w:rPr>
      </w:pPr>
      <w:r>
        <w:rPr/>
        <w:t>Приложения:</w:t>
      </w:r>
    </w:p>
    <w:p>
      <w:pPr>
        <w:pStyle w:val="Normal"/>
        <w:tabs>
          <w:tab w:val="clear" w:pos="708"/>
          <w:tab w:val="left" w:pos="1267" w:leader="none"/>
        </w:tabs>
        <w:rPr>
          <w:sz w:val="24"/>
          <w:szCs w:val="24"/>
        </w:rPr>
      </w:pPr>
      <w:r>
        <w:rPr/>
        <w:t>1) Чертеж ввод высоковольтный ВСТА-10/630-1 на 2л.</w:t>
      </w:r>
    </w:p>
    <w:p>
      <w:pPr>
        <w:pStyle w:val="Normal"/>
        <w:tabs>
          <w:tab w:val="clear" w:pos="708"/>
          <w:tab w:val="left" w:pos="1267" w:leader="none"/>
        </w:tabs>
        <w:rPr>
          <w:sz w:val="24"/>
          <w:szCs w:val="24"/>
        </w:rPr>
      </w:pPr>
      <w:r>
        <w:rPr/>
        <w:t>2) Чертеж</w:t>
      </w:r>
      <w:r>
        <w:rPr>
          <w:rFonts w:eastAsia="Times New Roman" w:cs="Times New Roman"/>
          <w:color w:val="auto"/>
          <w:kern w:val="0"/>
          <w:sz w:val="28"/>
          <w:szCs w:val="28"/>
          <w:lang w:val="ru-RU" w:eastAsia="ru-RU" w:bidi="ar-SA"/>
        </w:rPr>
        <w:t xml:space="preserve"> фланец переходной для ввода ВСТА-10/630 на 1л.</w:t>
      </w:r>
    </w:p>
    <w:p>
      <w:pPr>
        <w:pStyle w:val="Normal"/>
        <w:tabs>
          <w:tab w:val="clear" w:pos="708"/>
          <w:tab w:val="left" w:pos="1267" w:leader="none"/>
        </w:tabs>
        <w:rPr>
          <w:sz w:val="24"/>
          <w:szCs w:val="24"/>
        </w:rPr>
      </w:pPr>
      <w:r>
        <w:rPr/>
        <w:t>3) Чертеж</w:t>
      </w:r>
      <w:r>
        <w:rPr>
          <w:rFonts w:eastAsia="Times New Roman" w:cs="Times New Roman"/>
          <w:color w:val="auto"/>
          <w:kern w:val="0"/>
          <w:sz w:val="28"/>
          <w:szCs w:val="28"/>
          <w:lang w:val="ru-RU" w:eastAsia="ru-RU" w:bidi="ar-SA"/>
        </w:rPr>
        <w:t xml:space="preserve"> фланец прижимной для ввода ВСТА-10/630 на 1л.</w:t>
      </w:r>
    </w:p>
    <w:sectPr>
      <w:headerReference w:type="default" r:id="rId12"/>
      <w:headerReference w:type="first" r:id="rId13"/>
      <w:footerReference w:type="default" r:id="rId14"/>
      <w:footerReference w:type="first" r:id="rId15"/>
      <w:type w:val="nextPage"/>
      <w:pgSz w:w="11906" w:h="16838"/>
      <w:pgMar w:left="851" w:right="851" w:gutter="0" w:header="680" w:top="737" w:footer="737" w:bottom="992"/>
      <w:pgNumType w:fmt="decimal"/>
      <w:formProt w:val="false"/>
      <w:textDirection w:val="lrTb"/>
      <w:docGrid w:type="default" w:linePitch="381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01"/>
    <w:family w:val="roman"/>
    <w:pitch w:val="variable"/>
  </w:font>
  <w:font w:name="Times New Roman">
    <w:charset w:val="01"/>
    <w:family w:val="roman"/>
    <w:pitch w:val="variable"/>
  </w:font>
  <w:font w:name="Cambria">
    <w:charset w:val="01"/>
    <w:family w:val="roman"/>
    <w:pitch w:val="variable"/>
  </w:font>
  <w:font w:name="Arial">
    <w:charset w:val="01"/>
    <w:family w:val="roman"/>
    <w:pitch w:val="variable"/>
  </w:font>
  <w:font w:name="Calibri">
    <w:charset w:val="01"/>
    <w:family w:val="roman"/>
    <w:pitch w:val="variable"/>
  </w:font>
  <w:font w:name="OpenSymbol">
    <w:altName w:val="Arial Unicode MS"/>
    <w:charset w:val="01"/>
    <w:family w:val="roman"/>
    <w:pitch w:val="variable"/>
  </w:font>
  <w:font w:name="Liberation Sans">
    <w:altName w:val="Arial"/>
    <w:charset w:val="01"/>
    <w:family w:val="roman"/>
    <w:pitch w:val="variable"/>
  </w:font>
  <w:font w:name="Tahoma">
    <w:charset w:val="01"/>
    <w:family w:val="roman"/>
    <w:pitch w:val="variable"/>
  </w:font>
  <w:font w:name="Arial Unicode MS">
    <w:charset w:val="01"/>
    <w:family w:val="roman"/>
    <w:pitch w:val="variable"/>
  </w:font>
  <w:font w:name="Verdana">
    <w:charset w:val="01"/>
    <w:family w:val="roman"/>
    <w:pitch w:val="variable"/>
  </w:font>
  <w:font w:name="Garamond">
    <w:charset w:val="01"/>
    <w:family w:val="roman"/>
    <w:pitch w:val="variable"/>
  </w:font>
  <w:font w:name="Courier New">
    <w:charset w:val="01"/>
    <w:family w:val="modern"/>
    <w:pitch w:val="fixed"/>
  </w:font>
  <w:font w:name="Wingdings">
    <w:charset w:val="02"/>
    <w:family w:val="auto"/>
    <w:pitch w:val="default"/>
  </w:font>
  <w:font w:name="Symbol">
    <w:charset w:val="02"/>
    <w:family w:val="auto"/>
    <w:pitch w:val="default"/>
  </w:font>
</w:fonts>
</file>

<file path=word/footer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Footer"/>
      <w:rPr/>
    </w:pPr>
    <w:r>
      <w:rPr/>
    </w:r>
  </w:p>
</w:ftr>
</file>

<file path=word/footer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Footer"/>
      <w:rPr/>
    </w:pPr>
    <w:r>
      <w:rPr/>
    </w:r>
  </w:p>
</w:ftr>
</file>

<file path=word/footer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Footer"/>
      <w:rPr/>
    </w:pPr>
    <w:r>
      <w:rPr/>
    </w:r>
  </w:p>
</w:ftr>
</file>

<file path=word/footer4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rPr/>
    </w:pPr>
    <w:r>
      <w:rPr/>
    </w:r>
  </w:p>
</w:ftr>
</file>

<file path=word/footer5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/>
</w:ftr>
</file>

<file path=word/footer6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rPr/>
    </w:pPr>
    <w:r>
      <w:rPr/>
    </w:r>
  </w:p>
</w:ftr>
</file>

<file path=word/footer7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/>
</w:ftr>
</file>

<file path=word/header1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Header"/>
      <w:rPr/>
    </w:pPr>
    <w:r>
      <w:rPr/>
      <mc:AlternateContent>
        <mc:Choice Requires="wps">
          <w:drawing>
            <wp:anchor behindDoc="1" distT="0" distB="0" distL="0" distR="0" simplePos="0" locked="0" layoutInCell="0" allowOverlap="1" relativeHeight="2" wp14:anchorId="0EFACE66">
              <wp:simplePos x="0" y="0"/>
              <wp:positionH relativeFrom="margin">
                <wp:align>center</wp:align>
              </wp:positionH>
              <wp:positionV relativeFrom="paragraph">
                <wp:posOffset>635</wp:posOffset>
              </wp:positionV>
              <wp:extent cx="14605" cy="14605"/>
              <wp:effectExtent l="0" t="0" r="0" b="0"/>
              <wp:wrapSquare wrapText="bothSides"/>
              <wp:docPr id="1" name="Врезка1"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14760" cy="14760"/>
                      </a:xfrm>
                      <a:prstGeom prst="rect">
                        <a:avLst/>
                      </a:prstGeom>
                      <a:noFill/>
                      <a:ln w="0">
                        <a:noFill/>
                      </a:ln>
                    </wps:spPr>
                    <wps:style>
                      <a:lnRef idx="0"/>
                      <a:fillRef idx="0"/>
                      <a:effectRef idx="0"/>
                      <a:fontRef idx="minor"/>
                    </wps:style>
                    <wps:txbx>
                      <w:txbxContent>
                        <w:p>
                          <w:pPr>
                            <w:pStyle w:val="Header"/>
                            <w:rPr>
                              <w:rStyle w:val="Pagenumber"/>
                            </w:rPr>
                          </w:pPr>
                          <w:r>
                            <w:rPr>
                              <w:rStyle w:val="Pagenumber"/>
                              <w:color w:val="000000"/>
                            </w:rPr>
                            <w:fldChar w:fldCharType="begin"/>
                          </w:r>
                          <w:r>
                            <w:rPr>
                              <w:rStyle w:val="Pagenumber"/>
                              <w:color w:val="000000"/>
                            </w:rPr>
                            <w:instrText xml:space="preserve"> PAGE </w:instrText>
                          </w:r>
                          <w:r>
                            <w:rPr>
                              <w:rStyle w:val="Pagenumber"/>
                              <w:color w:val="000000"/>
                            </w:rPr>
                            <w:fldChar w:fldCharType="separate"/>
                          </w:r>
                          <w:r>
                            <w:rPr>
                              <w:rStyle w:val="Pagenumber"/>
                              <w:color w:val="000000"/>
                            </w:rPr>
                            <w:t>0</w:t>
                          </w:r>
                          <w:r>
                            <w:rPr>
                              <w:rStyle w:val="Pagenumber"/>
                              <w:color w:val="000000"/>
                            </w:rPr>
                            <w:fldChar w:fldCharType="end"/>
                          </w:r>
                        </w:p>
                      </w:txbxContent>
                    </wps:txbx>
                    <wps:bodyPr lIns="0" rIns="0" tIns="0" bIns="0" anchor="t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rect id="shape_0" ID="Врезка1" path="m0,0l-2147483645,0l-2147483645,-2147483646l0,-2147483646xe" stroked="f" o:allowincell="f" style="position:absolute;margin-left:0pt;margin-top:0.05pt;width:1.1pt;height:1.1pt;mso-wrap-style:square;v-text-anchor:top;mso-position-horizontal:center;mso-position-horizontal-relative:margin" wp14:anchorId="0EFACE66">
              <v:fill o:detectmouseclick="t" on="false"/>
              <v:stroke color="#3465a4" joinstyle="round" endcap="flat"/>
              <v:textbox>
                <w:txbxContent>
                  <w:p>
                    <w:pPr>
                      <w:pStyle w:val="Header"/>
                      <w:rPr>
                        <w:rStyle w:val="Pagenumber"/>
                      </w:rPr>
                    </w:pPr>
                    <w:r>
                      <w:rPr>
                        <w:rStyle w:val="Pagenumber"/>
                        <w:color w:val="000000"/>
                      </w:rPr>
                      <w:fldChar w:fldCharType="begin"/>
                    </w:r>
                    <w:r>
                      <w:rPr>
                        <w:rStyle w:val="Pagenumber"/>
                        <w:color w:val="000000"/>
                      </w:rPr>
                      <w:instrText xml:space="preserve"> PAGE </w:instrText>
                    </w:r>
                    <w:r>
                      <w:rPr>
                        <w:rStyle w:val="Pagenumber"/>
                        <w:color w:val="000000"/>
                      </w:rPr>
                      <w:fldChar w:fldCharType="separate"/>
                    </w:r>
                    <w:r>
                      <w:rPr>
                        <w:rStyle w:val="Pagenumber"/>
                        <w:color w:val="000000"/>
                      </w:rPr>
                      <w:t>0</w:t>
                    </w:r>
                    <w:r>
                      <w:rPr>
                        <w:rStyle w:val="Pagenumber"/>
                        <w:color w:val="000000"/>
                      </w:rPr>
                      <w:fldChar w:fldCharType="end"/>
                    </w:r>
                  </w:p>
                </w:txbxContent>
              </v:textbox>
              <w10:wrap type="square"/>
            </v:rect>
          </w:pict>
        </mc:Fallback>
      </mc:AlternateContent>
    </w:r>
  </w:p>
</w:hdr>
</file>

<file path=word/header2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Header"/>
      <w:jc w:val="center"/>
      <w:rPr/>
    </w:pPr>
    <w:r>
      <w:rPr/>
      <w:fldChar w:fldCharType="begin"/>
    </w:r>
    <w:r>
      <w:rPr/>
      <w:instrText xml:space="preserve"> PAGE </w:instrText>
    </w:r>
    <w:r>
      <w:rPr/>
      <w:fldChar w:fldCharType="separate"/>
    </w:r>
    <w:r>
      <w:rPr/>
      <w:t>3</w:t>
    </w:r>
    <w:r>
      <w:rPr/>
      <w:fldChar w:fldCharType="end"/>
    </w:r>
  </w:p>
</w:hdr>
</file>

<file path=word/header3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Header"/>
      <w:jc w:val="center"/>
      <w:rPr/>
    </w:pPr>
    <w:r>
      <w:rPr/>
    </w:r>
  </w:p>
</w:hdr>
</file>

<file path=word/header4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rPr/>
    </w:pPr>
    <w:r>
      <w:rPr/>
    </w:r>
  </w:p>
</w:hdr>
</file>

<file path=word/header5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/>
</w:hdr>
</file>

<file path=word/header6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Header"/>
      <w:rPr/>
    </w:pPr>
    <w:r>
      <w:rPr/>
    </w:r>
    <w:bookmarkStart w:id="38" w:name="_GoBack"/>
    <w:bookmarkStart w:id="39" w:name="_GoBack"/>
    <w:bookmarkEnd w:id="39"/>
  </w:p>
</w:hdr>
</file>

<file path=word/header7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/>
</w:hdr>
</file>

<file path=word/numbering.xml><?xml version="1.0" encoding="utf-8"?>
<w:numbering xmlns:w="http://schemas.openxmlformats.org/wordprocessingml/2006/main" xmlns:o="urn:schemas-microsoft-com:office:office" xmlns:r="http://schemas.openxmlformats.org/officeDocument/2006/relationships" xmlns:v="urn:schemas-microsoft-com:vml" xmlns:mc="http://schemas.openxmlformats.org/markup-compatibility/2006" xmlns:w14="http://schemas.microsoft.com/office/word/2010/wordml" mc:Ignorable="w14">
  <w:abstractNum w:abstractNumId="1"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/>
    </w:lvl>
    <w:lvl w:ilvl="1">
      <w:start w:val="1"/>
      <w:numFmt w:val="decimal"/>
      <w:lvlText w:val="%1.%2."/>
      <w:lvlJc w:val="left"/>
      <w:pPr>
        <w:tabs>
          <w:tab w:val="num" w:pos="357"/>
        </w:tabs>
        <w:ind w:left="0" w:hanging="0"/>
      </w:pPr>
      <w:rPr/>
    </w:lvl>
    <w:lvl w:ilvl="2">
      <w:start w:val="1"/>
      <w:numFmt w:val="decimal"/>
      <w:lvlText w:val="%1.%2.%3."/>
      <w:lvlJc w:val="left"/>
      <w:pPr>
        <w:tabs>
          <w:tab w:val="num" w:pos="357"/>
        </w:tabs>
        <w:ind w:left="0" w:hanging="0"/>
      </w:pPr>
      <w:rPr/>
    </w:lvl>
    <w:lvl w:ilvl="3">
      <w:start w:val="1"/>
      <w:numFmt w:val="decimal"/>
      <w:lvlText w:val="%1.%2.%3.%4."/>
      <w:lvlJc w:val="left"/>
      <w:pPr>
        <w:tabs>
          <w:tab w:val="num" w:pos="357"/>
        </w:tabs>
        <w:ind w:left="0" w:hanging="0"/>
      </w:pPr>
      <w:rPr/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0" w:hanging="0"/>
      </w:pPr>
      <w:rPr/>
    </w:lvl>
    <w:lvl w:ilvl="5">
      <w:start w:val="1"/>
      <w:numFmt w:val="decimal"/>
      <w:lvlText w:val="%1.%2.%3.%4.%5.%6."/>
      <w:lvlJc w:val="left"/>
      <w:pPr>
        <w:tabs>
          <w:tab w:val="num" w:pos="357"/>
        </w:tabs>
        <w:ind w:left="0" w:hanging="0"/>
      </w:pPr>
      <w:rPr/>
    </w:lvl>
    <w:lvl w:ilvl="6">
      <w:start w:val="1"/>
      <w:numFmt w:val="decimal"/>
      <w:lvlText w:val="%1.%2.%3.%4.%5.%6.%7."/>
      <w:lvlJc w:val="left"/>
      <w:pPr>
        <w:tabs>
          <w:tab w:val="num" w:pos="357"/>
        </w:tabs>
        <w:ind w:left="0" w:hanging="0"/>
      </w:pPr>
      <w:rPr/>
    </w:lvl>
    <w:lvl w:ilvl="7">
      <w:start w:val="1"/>
      <w:numFmt w:val="decimal"/>
      <w:lvlText w:val="%1.%2.%3.%4.%5.%6.%7.%8."/>
      <w:lvlJc w:val="left"/>
      <w:pPr>
        <w:tabs>
          <w:tab w:val="num" w:pos="357"/>
        </w:tabs>
        <w:ind w:left="0" w:hanging="0"/>
      </w:pPr>
      <w:rPr/>
    </w:lvl>
    <w:lvl w:ilvl="8">
      <w:start w:val="1"/>
      <w:numFmt w:val="decimal"/>
      <w:lvlText w:val="%1.%2.%3.%4.%5.%6.%7.%8.%9."/>
      <w:lvlJc w:val="left"/>
      <w:pPr>
        <w:tabs>
          <w:tab w:val="num" w:pos="357"/>
        </w:tabs>
        <w:ind w:left="0" w:hanging="0"/>
      </w:pPr>
      <w:rPr/>
    </w:lvl>
  </w:abstractNum>
  <w:abstractNum w:abstractNumId="2">
    <w:lvl w:ilvl="0">
      <w:start w:val="4"/>
      <w:numFmt w:val="bullet"/>
      <w:lvlText w:val="-"/>
      <w:lvlJc w:val="left"/>
      <w:pPr>
        <w:tabs>
          <w:tab w:val="num" w:pos="0"/>
        </w:tabs>
        <w:ind w:left="-207" w:hanging="360"/>
      </w:pPr>
      <w:rPr>
        <w:rFonts w:ascii="Times New Roman" w:hAnsi="Times New Roman" w:cs="Times New Roman" w:hint="default"/>
      </w:rPr>
    </w:lvl>
    <w:lvl w:ilvl="1">
      <w:start w:val="1"/>
      <w:numFmt w:val="bullet"/>
      <w:lvlText w:val="o"/>
      <w:lvlJc w:val="left"/>
      <w:pPr>
        <w:tabs>
          <w:tab w:val="num" w:pos="513"/>
        </w:tabs>
        <w:ind w:left="513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1233"/>
        </w:tabs>
        <w:ind w:left="1233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1953"/>
        </w:tabs>
        <w:ind w:left="1953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2673"/>
        </w:tabs>
        <w:ind w:left="2673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3393"/>
        </w:tabs>
        <w:ind w:left="3393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4113"/>
        </w:tabs>
        <w:ind w:left="4113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4833"/>
        </w:tabs>
        <w:ind w:left="4833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5553"/>
        </w:tabs>
        <w:ind w:left="5553" w:hanging="360"/>
      </w:pPr>
      <w:rPr>
        <w:rFonts w:ascii="Wingdings" w:hAnsi="Wingdings" w:cs="Wingdings" w:hint="default"/>
      </w:rPr>
    </w:lvl>
  </w:abstractNum>
  <w:abstractNum w:abstractNumId="3">
    <w:lvl w:ilvl="0">
      <w:start w:val="1"/>
      <w:numFmt w:val="decimal"/>
      <w:lvlText w:val="%1."/>
      <w:lvlJc w:val="left"/>
      <w:pPr>
        <w:tabs>
          <w:tab w:val="num" w:pos="0"/>
        </w:tabs>
        <w:ind w:left="5038" w:hanging="360"/>
      </w:pPr>
      <w:rPr>
        <w:smallCaps w:val="false"/>
        <w:caps w:val="false"/>
        <w:dstrike w:val="false"/>
        <w:strike w:val="false"/>
        <w:vertAlign w:val="baseline"/>
        <w:position w:val="0"/>
        <w:sz w:val="28"/>
        <w:sz w:val="28"/>
        <w:spacing w:val="0"/>
        <w:i w:val="false"/>
        <w:u w:val="none"/>
        <w:b/>
        <w:kern w:val="0"/>
        <w:effect w:val="none"/>
        <w:szCs w:val="28"/>
        <w:iCs w:val="false"/>
        <w:bCs w:val="false"/>
        <w:em w:val="none"/>
        <w:vanish w:val="false"/>
        <w:rFonts w:ascii="Times New Roman" w:hAnsi="Times New Roman" w:cs="Times New Roman"/>
        <w:color w:val="000000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>
      <w:start w:val="1"/>
      <w:numFmt w:val="decimal"/>
      <w:lvlText w:val="%1.%2."/>
      <w:lvlJc w:val="left"/>
      <w:pPr>
        <w:tabs>
          <w:tab w:val="num" w:pos="0"/>
        </w:tabs>
        <w:ind w:left="432" w:hanging="432"/>
      </w:pPr>
      <w:rPr>
        <w:sz w:val="24"/>
        <w:i w:val="false"/>
        <w:b/>
        <w:szCs w:val="24"/>
        <w:iCs/>
        <w:bCs/>
      </w:rPr>
    </w:lvl>
    <w:lvl w:ilvl="2">
      <w:start w:val="1"/>
      <w:numFmt w:val="decimal"/>
      <w:lvlText w:val="%1.%2.%3."/>
      <w:lvlJc w:val="left"/>
      <w:pPr>
        <w:tabs>
          <w:tab w:val="num" w:pos="0"/>
        </w:tabs>
        <w:ind w:left="1224" w:hanging="504"/>
      </w:pPr>
      <w:rPr/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728" w:hanging="648"/>
      </w:pPr>
      <w:rPr/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232" w:hanging="792"/>
      </w:pPr>
      <w:rPr/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736" w:hanging="936"/>
      </w:pPr>
      <w:rPr/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240" w:hanging="1080"/>
      </w:pPr>
      <w:rPr/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744" w:hanging="1224"/>
      </w:pPr>
      <w:rPr/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4320" w:hanging="1440"/>
      </w:pPr>
      <w:rPr/>
    </w:lvl>
  </w:abstractNum>
  <w:abstractNum w:abstractNumId="4">
    <w:lvl w:ilvl="0">
      <w:start w:val="1"/>
      <w:numFmt w:val="decimal"/>
      <w:lvlText w:val="%1."/>
      <w:lvlJc w:val="left"/>
      <w:pPr>
        <w:tabs>
          <w:tab w:val="num" w:pos="0"/>
        </w:tabs>
        <w:ind w:left="1134" w:hanging="1134"/>
      </w:pPr>
      <w:rPr/>
    </w:lvl>
    <w:lvl w:ilvl="1">
      <w:start w:val="1"/>
      <w:numFmt w:val="decimal"/>
      <w:lvlText w:val="%1.%2."/>
      <w:lvlJc w:val="left"/>
      <w:pPr>
        <w:tabs>
          <w:tab w:val="num" w:pos="0"/>
        </w:tabs>
        <w:ind w:left="1134" w:hanging="1134"/>
      </w:pPr>
      <w:rPr/>
    </w:lvl>
    <w:lvl w:ilvl="2">
      <w:start w:val="1"/>
      <w:numFmt w:val="decimal"/>
      <w:lvlText w:val="%1.%2.%3."/>
      <w:lvlJc w:val="left"/>
      <w:pPr>
        <w:tabs>
          <w:tab w:val="num" w:pos="0"/>
        </w:tabs>
        <w:ind w:left="1134" w:hanging="1134"/>
      </w:pPr>
      <w:rPr/>
    </w:lvl>
    <w:lvl w:ilvl="3">
      <w:start w:val="1"/>
      <w:numFmt w:val="russianLower"/>
      <w:lvlText w:val="(%4)"/>
      <w:lvlJc w:val="left"/>
      <w:pPr>
        <w:tabs>
          <w:tab w:val="num" w:pos="0"/>
        </w:tabs>
        <w:ind w:left="1985" w:hanging="567"/>
      </w:pPr>
      <w:rPr/>
    </w:lvl>
    <w:lvl w:ilvl="4">
      <w:start w:val="1"/>
      <w:numFmt w:val="bullet"/>
      <w:lvlText w:val="–"/>
      <w:lvlJc w:val="left"/>
      <w:pPr>
        <w:tabs>
          <w:tab w:val="num" w:pos="0"/>
        </w:tabs>
        <w:ind w:left="2268" w:hanging="567"/>
      </w:pPr>
      <w:rPr>
        <w:rFonts w:ascii="Times New Roman" w:hAnsi="Times New Roman" w:cs="Times New Roman" w:hint="default"/>
      </w:r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1134" w:hanging="0"/>
      </w:pPr>
      <w:rPr/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1701" w:hanging="0"/>
      </w:pPr>
      <w:rPr/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  <w:rPr/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1134" w:hanging="0"/>
      </w:pPr>
      <w:rPr/>
    </w:lvl>
  </w:abstractNum>
  <w:abstractNum w:abstractNumId="5">
    <w:lvl w:ilvl="0">
      <w:start w:val="1"/>
      <w:numFmt w:val="decimal"/>
      <w:lvlText w:val="1.%1"/>
      <w:lvlJc w:val="left"/>
      <w:pPr>
        <w:tabs>
          <w:tab w:val="num" w:pos="0"/>
        </w:tabs>
        <w:ind w:left="1429" w:hanging="360"/>
      </w:pPr>
      <w:rPr/>
    </w:lvl>
    <w:lvl w:ilvl="1">
      <w:start w:val="1"/>
      <w:numFmt w:val="lowerLetter"/>
      <w:lvlText w:val="%2."/>
      <w:lvlJc w:val="left"/>
      <w:pPr>
        <w:tabs>
          <w:tab w:val="num" w:pos="0"/>
        </w:tabs>
        <w:ind w:left="2149" w:hanging="360"/>
      </w:pPr>
      <w:rPr/>
    </w:lvl>
    <w:lvl w:ilvl="2">
      <w:start w:val="1"/>
      <w:numFmt w:val="lowerRoman"/>
      <w:lvlText w:val="%3."/>
      <w:lvlJc w:val="right"/>
      <w:pPr>
        <w:tabs>
          <w:tab w:val="num" w:pos="0"/>
        </w:tabs>
        <w:ind w:left="2869" w:hanging="180"/>
      </w:pPr>
      <w:rPr/>
    </w:lvl>
    <w:lvl w:ilvl="3">
      <w:start w:val="1"/>
      <w:numFmt w:val="decimal"/>
      <w:lvlText w:val="%4."/>
      <w:lvlJc w:val="left"/>
      <w:pPr>
        <w:tabs>
          <w:tab w:val="num" w:pos="0"/>
        </w:tabs>
        <w:ind w:left="3589" w:hanging="360"/>
      </w:pPr>
      <w:rPr/>
    </w:lvl>
    <w:lvl w:ilvl="4">
      <w:start w:val="1"/>
      <w:numFmt w:val="lowerLetter"/>
      <w:lvlText w:val="%5."/>
      <w:lvlJc w:val="left"/>
      <w:pPr>
        <w:tabs>
          <w:tab w:val="num" w:pos="0"/>
        </w:tabs>
        <w:ind w:left="4309" w:hanging="360"/>
      </w:pPr>
      <w:rPr/>
    </w:lvl>
    <w:lvl w:ilvl="5">
      <w:start w:val="1"/>
      <w:numFmt w:val="lowerRoman"/>
      <w:lvlText w:val="%6."/>
      <w:lvlJc w:val="right"/>
      <w:pPr>
        <w:tabs>
          <w:tab w:val="num" w:pos="0"/>
        </w:tabs>
        <w:ind w:left="5029" w:hanging="180"/>
      </w:pPr>
      <w:rPr/>
    </w:lvl>
    <w:lvl w:ilvl="6">
      <w:start w:val="1"/>
      <w:numFmt w:val="decimal"/>
      <w:lvlText w:val="%7."/>
      <w:lvlJc w:val="left"/>
      <w:pPr>
        <w:tabs>
          <w:tab w:val="num" w:pos="0"/>
        </w:tabs>
        <w:ind w:left="5749" w:hanging="360"/>
      </w:pPr>
      <w:rPr/>
    </w:lvl>
    <w:lvl w:ilvl="7">
      <w:start w:val="1"/>
      <w:numFmt w:val="lowerLetter"/>
      <w:lvlText w:val="%8."/>
      <w:lvlJc w:val="left"/>
      <w:pPr>
        <w:tabs>
          <w:tab w:val="num" w:pos="0"/>
        </w:tabs>
        <w:ind w:left="6469" w:hanging="360"/>
      </w:pPr>
      <w:rPr/>
    </w:lvl>
    <w:lvl w:ilvl="8">
      <w:start w:val="1"/>
      <w:numFmt w:val="lowerRoman"/>
      <w:lvlText w:val="%9."/>
      <w:lvlJc w:val="right"/>
      <w:pPr>
        <w:tabs>
          <w:tab w:val="num" w:pos="0"/>
        </w:tabs>
        <w:ind w:left="7189" w:hanging="180"/>
      </w:pPr>
      <w:rPr/>
    </w:lvl>
  </w:abstractNum>
  <w:abstractNum w:abstractNumId="6">
    <w:lvl w:ilvl="0">
      <w:start w:val="1"/>
      <w:numFmt w:val="decimal"/>
      <w:lvlText w:val="%1."/>
      <w:lvlJc w:val="left"/>
      <w:pPr>
        <w:tabs>
          <w:tab w:val="num" w:pos="0"/>
        </w:tabs>
        <w:ind w:left="360" w:hanging="360"/>
      </w:pPr>
      <w:rPr>
        <w:sz w:val="22"/>
        <w:b/>
        <w:kern w:val="0"/>
        <w:szCs w:val="22"/>
        <w:bCs w:val="false"/>
        <w:rFonts w:ascii="Times New Roman" w:hAnsi="Times New Roman" w:eastAsia="Times New Roman" w:cs="Times New Roman"/>
        <w:color w:val="auto"/>
        <w:lang w:val="ru-RU" w:eastAsia="ru-RU" w:bidi="ar-SA"/>
      </w:rPr>
    </w:lvl>
    <w:lvl w:ilvl="1">
      <w:start w:val="1"/>
      <w:numFmt w:val="decimal"/>
      <w:lvlText w:val="%1.%2."/>
      <w:lvlJc w:val="left"/>
      <w:pPr>
        <w:tabs>
          <w:tab w:val="num" w:pos="0"/>
        </w:tabs>
        <w:ind w:left="0" w:hanging="0"/>
      </w:pPr>
      <w:rPr>
        <w:sz w:val="22"/>
        <w:b w:val="false"/>
        <w:szCs w:val="22"/>
        <w:bCs/>
      </w:rPr>
    </w:lvl>
    <w:lvl w:ilvl="2">
      <w:start w:val="1"/>
      <w:numFmt w:val="decimal"/>
      <w:lvlText w:val="%1.%2.%3."/>
      <w:lvlJc w:val="left"/>
      <w:pPr>
        <w:tabs>
          <w:tab w:val="num" w:pos="0"/>
        </w:tabs>
        <w:ind w:left="1224" w:hanging="504"/>
      </w:pPr>
      <w:rPr>
        <w:sz w:val="24"/>
        <w:szCs w:val="24"/>
      </w:r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728" w:hanging="648"/>
      </w:pPr>
      <w:rPr/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232" w:hanging="792"/>
      </w:pPr>
      <w:rPr/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736" w:hanging="936"/>
      </w:pPr>
      <w:rPr/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240" w:hanging="1080"/>
      </w:pPr>
      <w:rPr/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744" w:hanging="1224"/>
      </w:pPr>
      <w:rPr/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4320" w:hanging="1440"/>
      </w:pPr>
      <w:rPr/>
    </w:lvl>
  </w:abstractNum>
  <w:abstractNum w:abstractNumId="7">
    <w:lvl w:ilvl="0">
      <w:start w:val="1"/>
      <w:numFmt w:val="decimal"/>
      <w:lvlText w:val="%1."/>
      <w:lvlJc w:val="left"/>
      <w:pPr>
        <w:tabs>
          <w:tab w:val="num" w:pos="0"/>
        </w:tabs>
        <w:ind w:left="360" w:hanging="360"/>
      </w:pPr>
      <w:rPr/>
    </w:lvl>
    <w:lvl w:ilvl="1">
      <w:start w:val="1"/>
      <w:numFmt w:val="decimal"/>
      <w:lvlText w:val="%1.%2."/>
      <w:lvlJc w:val="left"/>
      <w:pPr>
        <w:tabs>
          <w:tab w:val="num" w:pos="0"/>
        </w:tabs>
        <w:ind w:left="792" w:hanging="432"/>
      </w:pPr>
      <w:rPr/>
    </w:lvl>
    <w:lvl w:ilvl="2">
      <w:start w:val="1"/>
      <w:numFmt w:val="decimal"/>
      <w:lvlText w:val="%1.%2.%3."/>
      <w:lvlJc w:val="left"/>
      <w:pPr>
        <w:tabs>
          <w:tab w:val="num" w:pos="0"/>
        </w:tabs>
        <w:ind w:left="1224" w:hanging="504"/>
      </w:pPr>
      <w:rPr/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728" w:hanging="648"/>
      </w:pPr>
      <w:rPr/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232" w:hanging="792"/>
      </w:pPr>
      <w:rPr/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736" w:hanging="936"/>
      </w:pPr>
      <w:rPr/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240" w:hanging="1080"/>
      </w:pPr>
      <w:rPr/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744" w:hanging="1224"/>
      </w:pPr>
      <w:rPr/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4320" w:hanging="1440"/>
      </w:pPr>
      <w:rPr/>
    </w:lvl>
  </w:abstractNum>
  <w:abstractNum w:abstractNumId="8">
    <w:lvl w:ilvl="0">
      <w:start w:val="1"/>
      <w:numFmt w:val="decimal"/>
      <w:lvlText w:val="%1."/>
      <w:lvlJc w:val="left"/>
      <w:pPr>
        <w:tabs>
          <w:tab w:val="num" w:pos="0"/>
        </w:tabs>
        <w:ind w:left="360" w:hanging="360"/>
      </w:pPr>
      <w:rPr/>
    </w:lvl>
    <w:lvl w:ilvl="1">
      <w:start w:val="1"/>
      <w:numFmt w:val="decimal"/>
      <w:lvlText w:val="%1.%2."/>
      <w:lvlJc w:val="left"/>
      <w:pPr>
        <w:tabs>
          <w:tab w:val="num" w:pos="0"/>
        </w:tabs>
        <w:ind w:left="792" w:hanging="432"/>
      </w:pPr>
      <w:rPr/>
    </w:lvl>
    <w:lvl w:ilvl="2">
      <w:start w:val="1"/>
      <w:numFmt w:val="decimal"/>
      <w:lvlText w:val="%1.%2.%3."/>
      <w:lvlJc w:val="left"/>
      <w:pPr>
        <w:tabs>
          <w:tab w:val="num" w:pos="0"/>
        </w:tabs>
        <w:ind w:left="1224" w:hanging="504"/>
      </w:pPr>
      <w:rPr/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728" w:hanging="648"/>
      </w:pPr>
      <w:rPr/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232" w:hanging="792"/>
      </w:pPr>
      <w:rPr/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736" w:hanging="936"/>
      </w:pPr>
      <w:rPr/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240" w:hanging="1080"/>
      </w:pPr>
      <w:rPr/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744" w:hanging="1224"/>
      </w:pPr>
      <w:rPr/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4320" w:hanging="1440"/>
      </w:pPr>
      <w:rPr/>
    </w:lvl>
  </w:abstractNum>
  <w:abstractNum w:abstractNumId="9"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</w:numbering>
</file>

<file path=word/settings.xml><?xml version="1.0" encoding="utf-8"?>
<w:settings xmlns:w="http://schemas.openxmlformats.org/wordprocessingml/2006/main">
  <w:zoom w:percent="100"/>
  <w:defaultTabStop w:val="708"/>
  <w:autoHyphenation w:val="true"/>
  <w:compat>
    <w:compatSetting w:name="compatibilityMode" w:uri="http://schemas.microsoft.com/office/word" w:val="12"/>
  </w:compat>
  <w:themeFontLang w:val="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Times New Roman" w:hAnsi="Times New Roman" w:eastAsia="Times New Roman" w:cs="Times New Roman"/>
        <w:lang w:val="ru-RU" w:eastAsia="ru-RU" w:bidi="ar-SA"/>
      </w:rPr>
    </w:rPrDefault>
    <w:pPrDefault>
      <w:pPr>
        <w:suppressAutoHyphens w:val="true"/>
      </w:pPr>
    </w:pPrDefault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uiPriority="99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uiPriority="99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table of authorities" w:semiHidden="1" w:unhideWhenUsed="1"/>
    <w:lsdException w:name="macro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uiPriority="99" w:semiHidden="1" w:unhideWhenUsed="1"/>
    <w:lsdException w:name="FollowedHyperlink" w:semiHidden="1" w:unhideWhenUsed="1"/>
    <w:lsdException w:name="Strong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uiPriority="99" w:semiHidden="1" w:unhideWhenUsed="1"/>
    <w:lsdException w:name="HTML Top of Form" w:semiHidden="1" w:unhideWhenUsed="1"/>
    <w:lsdException w:name="HTML Bottom of Form" w:semiHidden="1" w:unhideWhenUsed="1"/>
    <w:lsdException w:name="Normal (Web)" w:uiPriority="99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uiPriority="99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uiPriority="99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uiPriority="99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styleId="Normal" w:default="1">
    <w:name w:val="Normal"/>
    <w:qFormat/>
    <w:rsid w:val="0086471d"/>
    <w:pPr>
      <w:widowControl/>
      <w:suppressAutoHyphens w:val="true"/>
      <w:bidi w:val="0"/>
      <w:spacing w:before="0" w:after="0"/>
      <w:jc w:val="left"/>
    </w:pPr>
    <w:rPr>
      <w:rFonts w:ascii="Times New Roman" w:hAnsi="Times New Roman" w:eastAsia="Times New Roman" w:cs="Times New Roman"/>
      <w:color w:val="auto"/>
      <w:kern w:val="0"/>
      <w:sz w:val="28"/>
      <w:szCs w:val="28"/>
      <w:lang w:val="ru-RU" w:eastAsia="ru-RU" w:bidi="ar-SA"/>
    </w:rPr>
  </w:style>
  <w:style w:type="paragraph" w:styleId="Heading1">
    <w:name w:val="Heading 1"/>
    <w:basedOn w:val="Heading3"/>
    <w:next w:val="Normal"/>
    <w:link w:val="1"/>
    <w:qFormat/>
    <w:rsid w:val="00353a27"/>
    <w:pPr>
      <w:numPr>
        <w:ilvl w:val="0"/>
      </w:numPr>
      <w:outlineLvl w:val="0"/>
    </w:pPr>
    <w:rPr>
      <w:sz w:val="28"/>
      <w:szCs w:val="28"/>
    </w:rPr>
  </w:style>
  <w:style w:type="paragraph" w:styleId="Heading2">
    <w:name w:val="Heading 2"/>
    <w:basedOn w:val="Heading4"/>
    <w:next w:val="Normal"/>
    <w:link w:val="2"/>
    <w:qFormat/>
    <w:rsid w:val="00ea61a8"/>
    <w:pPr>
      <w:outlineLvl w:val="1"/>
    </w:pPr>
    <w:rPr/>
  </w:style>
  <w:style w:type="paragraph" w:styleId="Heading3">
    <w:name w:val="Heading 3"/>
    <w:basedOn w:val="Normal"/>
    <w:next w:val="Normal"/>
    <w:link w:val="3"/>
    <w:qFormat/>
    <w:rsid w:val="00035e96"/>
    <w:pPr>
      <w:keepNext w:val="true"/>
      <w:numPr>
        <w:ilvl w:val="2"/>
        <w:numId w:val="3"/>
      </w:numPr>
      <w:spacing w:before="120" w:after="60"/>
      <w:outlineLvl w:val="2"/>
    </w:pPr>
    <w:rPr>
      <w:rFonts w:eastAsia="Calibri"/>
      <w:b/>
      <w:sz w:val="24"/>
      <w:szCs w:val="24"/>
      <w:lang w:val="x-none" w:eastAsia="x-none"/>
    </w:rPr>
  </w:style>
  <w:style w:type="paragraph" w:styleId="Heading4">
    <w:name w:val="Heading 4"/>
    <w:basedOn w:val="Heading3"/>
    <w:next w:val="Normal"/>
    <w:link w:val="4"/>
    <w:qFormat/>
    <w:rsid w:val="006629c9"/>
    <w:pPr>
      <w:numPr>
        <w:ilvl w:val="0"/>
        <w:numId w:val="0"/>
      </w:numPr>
      <w:tabs>
        <w:tab w:val="clear" w:pos="708"/>
        <w:tab w:val="left" w:pos="0" w:leader="none"/>
      </w:tabs>
      <w:ind w:left="432" w:hanging="432"/>
      <w:outlineLvl w:val="3"/>
    </w:pPr>
    <w:rPr>
      <w:bCs/>
    </w:rPr>
  </w:style>
  <w:style w:type="paragraph" w:styleId="Heading5">
    <w:name w:val="Heading 5"/>
    <w:basedOn w:val="Normal"/>
    <w:next w:val="Normal"/>
    <w:link w:val="5"/>
    <w:uiPriority w:val="9"/>
    <w:qFormat/>
    <w:rsid w:val="0076353a"/>
    <w:pPr>
      <w:spacing w:before="240" w:after="60"/>
      <w:outlineLvl w:val="4"/>
    </w:pPr>
    <w:rPr>
      <w:b/>
      <w:bCs/>
      <w:i/>
      <w:iCs/>
      <w:sz w:val="26"/>
      <w:szCs w:val="26"/>
      <w:lang w:val="x-none" w:eastAsia="x-none"/>
    </w:rPr>
  </w:style>
  <w:style w:type="paragraph" w:styleId="Heading6">
    <w:name w:val="Heading 6"/>
    <w:basedOn w:val="Normal"/>
    <w:next w:val="Normal"/>
    <w:link w:val="6"/>
    <w:uiPriority w:val="9"/>
    <w:qFormat/>
    <w:rsid w:val="00d22f6d"/>
    <w:pPr>
      <w:keepNext w:val="true"/>
      <w:keepLines/>
      <w:spacing w:before="200" w:after="0"/>
      <w:outlineLvl w:val="5"/>
    </w:pPr>
    <w:rPr>
      <w:rFonts w:ascii="Cambria" w:hAnsi="Cambria"/>
      <w:i/>
      <w:iCs/>
      <w:color w:val="243F60"/>
      <w:sz w:val="20"/>
      <w:szCs w:val="20"/>
      <w:lang w:val="x-none" w:eastAsia="x-none"/>
    </w:rPr>
  </w:style>
  <w:style w:type="paragraph" w:styleId="Heading7">
    <w:name w:val="Heading 7"/>
    <w:basedOn w:val="Normal"/>
    <w:next w:val="Normal"/>
    <w:link w:val="7"/>
    <w:uiPriority w:val="9"/>
    <w:qFormat/>
    <w:rsid w:val="00d22f6d"/>
    <w:pPr>
      <w:keepNext w:val="true"/>
      <w:keepLines/>
      <w:spacing w:before="200" w:after="0"/>
      <w:outlineLvl w:val="6"/>
    </w:pPr>
    <w:rPr>
      <w:rFonts w:ascii="Cambria" w:hAnsi="Cambria"/>
      <w:i/>
      <w:iCs/>
      <w:color w:val="404040"/>
      <w:sz w:val="20"/>
      <w:szCs w:val="20"/>
      <w:lang w:val="x-none" w:eastAsia="x-none"/>
    </w:rPr>
  </w:style>
  <w:style w:type="paragraph" w:styleId="Heading8">
    <w:name w:val="Heading 8"/>
    <w:basedOn w:val="Normal"/>
    <w:next w:val="Normal"/>
    <w:link w:val="8"/>
    <w:uiPriority w:val="9"/>
    <w:qFormat/>
    <w:rsid w:val="00d22f6d"/>
    <w:pPr>
      <w:keepNext w:val="true"/>
      <w:keepLines/>
      <w:spacing w:before="200" w:after="0"/>
      <w:outlineLvl w:val="7"/>
    </w:pPr>
    <w:rPr>
      <w:rFonts w:ascii="Cambria" w:hAnsi="Cambria"/>
      <w:color w:val="4F81BD"/>
      <w:sz w:val="20"/>
      <w:szCs w:val="20"/>
      <w:lang w:val="x-none" w:eastAsia="x-none"/>
    </w:rPr>
  </w:style>
  <w:style w:type="paragraph" w:styleId="Heading9">
    <w:name w:val="Heading 9"/>
    <w:basedOn w:val="Normal"/>
    <w:next w:val="Normal"/>
    <w:link w:val="9"/>
    <w:uiPriority w:val="9"/>
    <w:qFormat/>
    <w:rsid w:val="0076353a"/>
    <w:pPr>
      <w:spacing w:before="240" w:after="60"/>
      <w:outlineLvl w:val="8"/>
    </w:pPr>
    <w:rPr>
      <w:rFonts w:ascii="Arial" w:hAnsi="Arial"/>
      <w:sz w:val="22"/>
      <w:szCs w:val="22"/>
      <w:lang w:val="x-none" w:eastAsia="x-none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Style" w:customStyle="1">
    <w:name w:val="Символ сноски"/>
    <w:qFormat/>
    <w:rsid w:val="00d561d9"/>
    <w:rPr>
      <w:vertAlign w:val="superscript"/>
    </w:rPr>
  </w:style>
  <w:style w:type="character" w:styleId="FootnoteReference">
    <w:name w:val="Footnote Reference"/>
    <w:rPr>
      <w:vertAlign w:val="superscript"/>
    </w:rPr>
  </w:style>
  <w:style w:type="character" w:styleId="Pagenumber">
    <w:name w:val="page number"/>
    <w:basedOn w:val="DefaultParagraphFont"/>
    <w:qFormat/>
    <w:rsid w:val="006c2f3f"/>
    <w:rPr/>
  </w:style>
  <w:style w:type="character" w:styleId="Hyperlink">
    <w:name w:val="Hyperlink"/>
    <w:uiPriority w:val="99"/>
    <w:rsid w:val="006c2f3f"/>
    <w:rPr>
      <w:color w:val="0000FF"/>
      <w:u w:val="single"/>
    </w:rPr>
  </w:style>
  <w:style w:type="character" w:styleId="Annotationreference">
    <w:name w:val="annotation reference"/>
    <w:uiPriority w:val="99"/>
    <w:semiHidden/>
    <w:qFormat/>
    <w:rsid w:val="00b714b0"/>
    <w:rPr>
      <w:sz w:val="16"/>
      <w:szCs w:val="16"/>
    </w:rPr>
  </w:style>
  <w:style w:type="character" w:styleId="Strong1" w:customStyle="1">
    <w:name w:val="Strong1"/>
    <w:qFormat/>
    <w:rsid w:val="00165965"/>
    <w:rPr>
      <w:b/>
      <w:bCs/>
    </w:rPr>
  </w:style>
  <w:style w:type="character" w:styleId="6" w:customStyle="1">
    <w:name w:val="Заголовок 6 Знак"/>
    <w:uiPriority w:val="9"/>
    <w:qFormat/>
    <w:rsid w:val="00d22f6d"/>
    <w:rPr>
      <w:rFonts w:ascii="Cambria" w:hAnsi="Cambria"/>
      <w:i/>
      <w:iCs/>
      <w:color w:val="243F60"/>
      <w:lang w:val="x-none" w:eastAsia="x-none"/>
    </w:rPr>
  </w:style>
  <w:style w:type="character" w:styleId="7" w:customStyle="1">
    <w:name w:val="Заголовок 7 Знак"/>
    <w:uiPriority w:val="9"/>
    <w:qFormat/>
    <w:rsid w:val="00d22f6d"/>
    <w:rPr>
      <w:rFonts w:ascii="Cambria" w:hAnsi="Cambria"/>
      <w:i/>
      <w:iCs/>
      <w:color w:val="404040"/>
      <w:lang w:val="x-none" w:eastAsia="x-none"/>
    </w:rPr>
  </w:style>
  <w:style w:type="character" w:styleId="8" w:customStyle="1">
    <w:name w:val="Заголовок 8 Знак"/>
    <w:uiPriority w:val="9"/>
    <w:qFormat/>
    <w:rsid w:val="00d22f6d"/>
    <w:rPr>
      <w:rFonts w:ascii="Cambria" w:hAnsi="Cambria"/>
      <w:color w:val="4F81BD"/>
      <w:lang w:val="x-none" w:eastAsia="x-none"/>
    </w:rPr>
  </w:style>
  <w:style w:type="character" w:styleId="1" w:customStyle="1">
    <w:name w:val="Заголовок 1 Знак"/>
    <w:qFormat/>
    <w:rsid w:val="00353a27"/>
    <w:rPr>
      <w:rFonts w:eastAsia="Calibri"/>
      <w:b/>
      <w:sz w:val="28"/>
      <w:szCs w:val="28"/>
      <w:lang w:val="x-none" w:eastAsia="x-none"/>
    </w:rPr>
  </w:style>
  <w:style w:type="character" w:styleId="2" w:customStyle="1">
    <w:name w:val="Заголовок 2 Знак"/>
    <w:qFormat/>
    <w:rsid w:val="00ea61a8"/>
    <w:rPr>
      <w:rFonts w:eastAsia="Calibri"/>
      <w:b/>
      <w:bCs/>
      <w:sz w:val="24"/>
      <w:szCs w:val="24"/>
      <w:lang w:val="x-none" w:eastAsia="x-none"/>
    </w:rPr>
  </w:style>
  <w:style w:type="character" w:styleId="3" w:customStyle="1">
    <w:name w:val="Заголовок 3 Знак"/>
    <w:qFormat/>
    <w:rsid w:val="00035e96"/>
    <w:rPr>
      <w:rFonts w:eastAsia="Calibri"/>
      <w:b/>
      <w:sz w:val="24"/>
      <w:szCs w:val="24"/>
      <w:lang w:val="x-none" w:eastAsia="x-none"/>
    </w:rPr>
  </w:style>
  <w:style w:type="character" w:styleId="4" w:customStyle="1">
    <w:name w:val="Заголовок 4 Знак"/>
    <w:qFormat/>
    <w:rsid w:val="006629c9"/>
    <w:rPr>
      <w:rFonts w:eastAsia="Calibri"/>
      <w:b/>
      <w:bCs/>
      <w:sz w:val="24"/>
      <w:szCs w:val="24"/>
      <w:lang w:val="x-none" w:eastAsia="x-none"/>
    </w:rPr>
  </w:style>
  <w:style w:type="character" w:styleId="5" w:customStyle="1">
    <w:name w:val="Заголовок 5 Знак"/>
    <w:uiPriority w:val="9"/>
    <w:qFormat/>
    <w:rsid w:val="00d22f6d"/>
    <w:rPr>
      <w:b/>
      <w:bCs/>
      <w:i/>
      <w:iCs/>
      <w:sz w:val="26"/>
      <w:szCs w:val="26"/>
    </w:rPr>
  </w:style>
  <w:style w:type="character" w:styleId="9" w:customStyle="1">
    <w:name w:val="Заголовок 9 Знак"/>
    <w:uiPriority w:val="9"/>
    <w:qFormat/>
    <w:rsid w:val="00d22f6d"/>
    <w:rPr>
      <w:rFonts w:ascii="Arial" w:hAnsi="Arial" w:cs="Arial"/>
      <w:sz w:val="22"/>
      <w:szCs w:val="22"/>
    </w:rPr>
  </w:style>
  <w:style w:type="character" w:styleId="Style1" w:customStyle="1">
    <w:name w:val="Название Знак"/>
    <w:link w:val="15"/>
    <w:uiPriority w:val="10"/>
    <w:qFormat/>
    <w:rsid w:val="00d22f6d"/>
    <w:rPr>
      <w:sz w:val="28"/>
    </w:rPr>
  </w:style>
  <w:style w:type="character" w:styleId="Style2" w:customStyle="1">
    <w:name w:val="Подзаголовок Знак"/>
    <w:uiPriority w:val="11"/>
    <w:qFormat/>
    <w:rsid w:val="00d22f6d"/>
    <w:rPr>
      <w:rFonts w:ascii="Cambria" w:hAnsi="Cambria"/>
      <w:i/>
      <w:iCs/>
      <w:color w:val="4F81BD"/>
      <w:spacing w:val="15"/>
      <w:sz w:val="24"/>
      <w:szCs w:val="24"/>
      <w:lang w:val="x-none" w:eastAsia="x-none"/>
    </w:rPr>
  </w:style>
  <w:style w:type="character" w:styleId="Emphasis">
    <w:name w:val="Emphasis"/>
    <w:uiPriority w:val="20"/>
    <w:qFormat/>
    <w:rsid w:val="00d22f6d"/>
    <w:rPr>
      <w:i/>
      <w:iCs/>
    </w:rPr>
  </w:style>
  <w:style w:type="character" w:styleId="21" w:customStyle="1">
    <w:name w:val="Цитата 2 Знак"/>
    <w:link w:val="Quote"/>
    <w:uiPriority w:val="29"/>
    <w:qFormat/>
    <w:rsid w:val="00d22f6d"/>
    <w:rPr>
      <w:rFonts w:ascii="Calibri" w:hAnsi="Calibri" w:eastAsia="Calibri"/>
      <w:i/>
      <w:iCs/>
      <w:color w:val="000000"/>
      <w:lang w:val="x-none" w:eastAsia="x-none"/>
    </w:rPr>
  </w:style>
  <w:style w:type="character" w:styleId="Style3" w:customStyle="1">
    <w:name w:val="Выделенная цитата Знак"/>
    <w:link w:val="IntenseQuote"/>
    <w:uiPriority w:val="30"/>
    <w:qFormat/>
    <w:rsid w:val="00d22f6d"/>
    <w:rPr>
      <w:rFonts w:ascii="Calibri" w:hAnsi="Calibri" w:eastAsia="Calibri"/>
      <w:b/>
      <w:bCs/>
      <w:i/>
      <w:iCs/>
      <w:color w:val="4F81BD"/>
      <w:lang w:val="x-none" w:eastAsia="x-none"/>
    </w:rPr>
  </w:style>
  <w:style w:type="character" w:styleId="SubtleEmphasis">
    <w:name w:val="Subtle Emphasis"/>
    <w:uiPriority w:val="19"/>
    <w:qFormat/>
    <w:rsid w:val="00d22f6d"/>
    <w:rPr>
      <w:i/>
      <w:iCs/>
      <w:color w:val="808080"/>
    </w:rPr>
  </w:style>
  <w:style w:type="character" w:styleId="IntenseEmphasis">
    <w:name w:val="Intense Emphasis"/>
    <w:uiPriority w:val="21"/>
    <w:qFormat/>
    <w:rsid w:val="00d22f6d"/>
    <w:rPr>
      <w:b/>
      <w:bCs/>
      <w:i/>
      <w:iCs/>
      <w:color w:val="4F81BD"/>
    </w:rPr>
  </w:style>
  <w:style w:type="character" w:styleId="SubtleReference">
    <w:name w:val="Subtle Reference"/>
    <w:uiPriority w:val="31"/>
    <w:qFormat/>
    <w:rsid w:val="00d22f6d"/>
    <w:rPr>
      <w:smallCaps/>
      <w:color w:val="C0504D"/>
      <w:u w:val="single"/>
    </w:rPr>
  </w:style>
  <w:style w:type="character" w:styleId="IntenseReference">
    <w:name w:val="Intense Reference"/>
    <w:uiPriority w:val="32"/>
    <w:qFormat/>
    <w:rsid w:val="00d22f6d"/>
    <w:rPr>
      <w:b/>
      <w:bCs/>
      <w:smallCaps/>
      <w:color w:val="C0504D"/>
      <w:spacing w:val="5"/>
      <w:u w:val="single"/>
    </w:rPr>
  </w:style>
  <w:style w:type="character" w:styleId="BookTitle">
    <w:name w:val="Book Title"/>
    <w:uiPriority w:val="33"/>
    <w:qFormat/>
    <w:rsid w:val="00d22f6d"/>
    <w:rPr>
      <w:b/>
      <w:bCs/>
      <w:smallCaps/>
      <w:spacing w:val="5"/>
    </w:rPr>
  </w:style>
  <w:style w:type="character" w:styleId="Style4" w:customStyle="1">
    <w:name w:val="Электронная подпись Знак"/>
    <w:link w:val="E-mailSignature"/>
    <w:uiPriority w:val="99"/>
    <w:qFormat/>
    <w:rsid w:val="00d22f6d"/>
    <w:rPr>
      <w:rFonts w:eastAsia="Calibri"/>
      <w:sz w:val="24"/>
      <w:szCs w:val="24"/>
    </w:rPr>
  </w:style>
  <w:style w:type="character" w:styleId="11" w:customStyle="1">
    <w:name w:val="Подпункт Знак1"/>
    <w:link w:val="Style23"/>
    <w:qFormat/>
    <w:locked/>
    <w:rsid w:val="00d22f6d"/>
    <w:rPr>
      <w:sz w:val="28"/>
    </w:rPr>
  </w:style>
  <w:style w:type="character" w:styleId="Style5" w:customStyle="1">
    <w:name w:val="Текст сноски Знак"/>
    <w:uiPriority w:val="99"/>
    <w:qFormat/>
    <w:rsid w:val="00d22f6d"/>
    <w:rPr/>
  </w:style>
  <w:style w:type="character" w:styleId="Style6" w:customStyle="1">
    <w:name w:val="Основной текст Знак"/>
    <w:qFormat/>
    <w:rsid w:val="004459a5"/>
    <w:rPr>
      <w:sz w:val="28"/>
      <w:szCs w:val="28"/>
    </w:rPr>
  </w:style>
  <w:style w:type="character" w:styleId="Blk" w:customStyle="1">
    <w:name w:val="blk"/>
    <w:qFormat/>
    <w:rsid w:val="00431ace"/>
    <w:rPr/>
  </w:style>
  <w:style w:type="character" w:styleId="Style7" w:customStyle="1">
    <w:name w:val="Абзац списка Знак"/>
    <w:link w:val="ListParagraph"/>
    <w:uiPriority w:val="34"/>
    <w:qFormat/>
    <w:locked/>
    <w:rsid w:val="00310eb4"/>
    <w:rPr>
      <w:rFonts w:eastAsia="Calibri"/>
      <w:sz w:val="24"/>
      <w:szCs w:val="24"/>
    </w:rPr>
  </w:style>
  <w:style w:type="character" w:styleId="Style8" w:customStyle="1">
    <w:name w:val="комментарий"/>
    <w:qFormat/>
    <w:rsid w:val="0025139e"/>
    <w:rPr>
      <w:b/>
      <w:i/>
      <w:shd w:fill="FFFF99" w:val="clear"/>
    </w:rPr>
  </w:style>
  <w:style w:type="character" w:styleId="Style9" w:customStyle="1">
    <w:name w:val="Подподпункт Знак"/>
    <w:link w:val="Style31"/>
    <w:qFormat/>
    <w:locked/>
    <w:rsid w:val="0025139e"/>
    <w:rPr>
      <w:sz w:val="26"/>
      <w:szCs w:val="26"/>
    </w:rPr>
  </w:style>
  <w:style w:type="character" w:styleId="31" w:customStyle="1">
    <w:name w:val="УРОВЕНЬ_Абзац_тип3 Знак"/>
    <w:link w:val="36"/>
    <w:qFormat/>
    <w:rsid w:val="00b56f46"/>
    <w:rPr>
      <w:rFonts w:eastAsia="Calibri"/>
      <w:sz w:val="26"/>
      <w:szCs w:val="28"/>
      <w:lang w:eastAsia="en-US"/>
    </w:rPr>
  </w:style>
  <w:style w:type="character" w:styleId="Style10" w:customStyle="1">
    <w:name w:val="Верхний колонтитул Знак"/>
    <w:uiPriority w:val="99"/>
    <w:qFormat/>
    <w:rsid w:val="002f31af"/>
    <w:rPr>
      <w:sz w:val="24"/>
      <w:szCs w:val="24"/>
    </w:rPr>
  </w:style>
  <w:style w:type="character" w:styleId="Style11" w:customStyle="1">
    <w:name w:val="Текст примечания Знак"/>
    <w:link w:val="Annotationtext"/>
    <w:semiHidden/>
    <w:qFormat/>
    <w:rsid w:val="00dc0f7d"/>
    <w:rPr/>
  </w:style>
  <w:style w:type="character" w:styleId="Style12" w:customStyle="1">
    <w:name w:val="Текст концевой сноски Знак"/>
    <w:basedOn w:val="DefaultParagraphFont"/>
    <w:qFormat/>
    <w:rsid w:val="003879d4"/>
    <w:rPr/>
  </w:style>
  <w:style w:type="character" w:styleId="Style13" w:customStyle="1">
    <w:name w:val="Символ концевой сноски"/>
    <w:qFormat/>
    <w:rsid w:val="003879d4"/>
    <w:rPr>
      <w:vertAlign w:val="superscript"/>
    </w:rPr>
  </w:style>
  <w:style w:type="character" w:styleId="EndnoteReference">
    <w:name w:val="Endnote Reference"/>
    <w:rPr>
      <w:vertAlign w:val="superscript"/>
    </w:rPr>
  </w:style>
  <w:style w:type="character" w:styleId="22" w:customStyle="1">
    <w:name w:val="Пункт2 Знак"/>
    <w:link w:val="24"/>
    <w:qFormat/>
    <w:rsid w:val="00de52bc"/>
    <w:rPr>
      <w:b/>
      <w:sz w:val="28"/>
    </w:rPr>
  </w:style>
  <w:style w:type="character" w:styleId="12" w:customStyle="1">
    <w:name w:val="УРОВЕНЬ_1. Знак"/>
    <w:link w:val="19"/>
    <w:qFormat/>
    <w:rsid w:val="004a17ae"/>
    <w:rPr>
      <w:rFonts w:eastAsia="Calibri"/>
      <w:caps/>
      <w:sz w:val="28"/>
      <w:szCs w:val="28"/>
      <w:lang w:eastAsia="en-US"/>
    </w:rPr>
  </w:style>
  <w:style w:type="character" w:styleId="13" w:customStyle="1">
    <w:name w:val="Неразрешенное упоминание1"/>
    <w:basedOn w:val="DefaultParagraphFont"/>
    <w:uiPriority w:val="99"/>
    <w:semiHidden/>
    <w:unhideWhenUsed/>
    <w:qFormat/>
    <w:rsid w:val="00c36f30"/>
    <w:rPr>
      <w:color w:val="605E5C"/>
      <w:shd w:fill="E1DFDD" w:val="clear"/>
    </w:rPr>
  </w:style>
  <w:style w:type="character" w:styleId="32" w:customStyle="1">
    <w:name w:val="Основной текст с отступом 3 Знак"/>
    <w:link w:val="BodyTextIndent3"/>
    <w:qFormat/>
    <w:rsid w:val="00c36f30"/>
    <w:rPr>
      <w:sz w:val="16"/>
      <w:szCs w:val="16"/>
    </w:rPr>
  </w:style>
  <w:style w:type="character" w:styleId="Style14" w:customStyle="1">
    <w:name w:val="Ссылка указателя"/>
    <w:qFormat/>
    <w:rPr/>
  </w:style>
  <w:style w:type="character" w:styleId="Style15" w:customStyle="1">
    <w:name w:val="Маркеры"/>
    <w:qFormat/>
    <w:rPr>
      <w:rFonts w:ascii="OpenSymbol" w:hAnsi="OpenSymbol" w:eastAsia="OpenSymbol" w:cs="OpenSymbol"/>
    </w:rPr>
  </w:style>
  <w:style w:type="character" w:styleId="Strong2">
    <w:name w:val="Strong2"/>
    <w:qFormat/>
    <w:rPr>
      <w:b/>
      <w:bCs/>
    </w:rPr>
  </w:style>
  <w:style w:type="character" w:styleId="Style16">
    <w:name w:val="Символ нумерации"/>
    <w:qFormat/>
    <w:rPr/>
  </w:style>
  <w:style w:type="character" w:styleId="Strong">
    <w:name w:val="Strong"/>
    <w:qFormat/>
    <w:rPr>
      <w:b/>
      <w:bCs/>
    </w:rPr>
  </w:style>
  <w:style w:type="paragraph" w:styleId="Style17">
    <w:name w:val="Заголовок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Arial Unicode MS" w:cs="Arial Unicode MS"/>
      <w:sz w:val="28"/>
      <w:szCs w:val="28"/>
    </w:rPr>
  </w:style>
  <w:style w:type="paragraph" w:styleId="BodyText">
    <w:name w:val="Body Text"/>
    <w:basedOn w:val="Normal"/>
    <w:link w:val="Style6"/>
    <w:rsid w:val="0076353a"/>
    <w:pPr>
      <w:spacing w:before="0" w:after="120"/>
    </w:pPr>
    <w:rPr/>
  </w:style>
  <w:style w:type="paragraph" w:styleId="List">
    <w:name w:val="List"/>
    <w:basedOn w:val="BodyText"/>
    <w:pPr/>
    <w:rPr/>
  </w:style>
  <w:style w:type="paragraph" w:styleId="Caption">
    <w:name w:val="Caption"/>
    <w:basedOn w:val="Normal"/>
    <w:qFormat/>
    <w:pPr>
      <w:suppressLineNumbers/>
      <w:spacing w:before="120" w:after="120"/>
    </w:pPr>
    <w:rPr>
      <w:i/>
      <w:iCs/>
      <w:sz w:val="24"/>
      <w:szCs w:val="24"/>
    </w:rPr>
  </w:style>
  <w:style w:type="paragraph" w:styleId="Style18">
    <w:name w:val="Указатель"/>
    <w:basedOn w:val="Normal"/>
    <w:qFormat/>
    <w:pPr>
      <w:suppressLineNumbers/>
    </w:pPr>
    <w:rPr/>
  </w:style>
  <w:style w:type="paragraph" w:styleId="Title">
    <w:name w:val="Title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Arial Unicode MS" w:cs="Arial Unicode MS"/>
    </w:rPr>
  </w:style>
  <w:style w:type="paragraph" w:styleId="Caption1">
    <w:name w:val="caption1"/>
    <w:basedOn w:val="Normal"/>
    <w:qFormat/>
    <w:pPr>
      <w:suppressLineNumbers/>
      <w:spacing w:before="120" w:after="120"/>
    </w:pPr>
    <w:rPr>
      <w:i/>
      <w:iCs/>
      <w:sz w:val="24"/>
      <w:szCs w:val="24"/>
    </w:rPr>
  </w:style>
  <w:style w:type="paragraph" w:styleId="Indexheading1">
    <w:name w:val="index heading1"/>
    <w:basedOn w:val="Title"/>
    <w:qFormat/>
    <w:pPr/>
    <w:rPr/>
  </w:style>
  <w:style w:type="paragraph" w:styleId="Caption11" w:customStyle="1">
    <w:name w:val="caption11"/>
    <w:basedOn w:val="Normal"/>
    <w:qFormat/>
    <w:pPr>
      <w:suppressLineNumbers/>
      <w:spacing w:before="120" w:after="120"/>
    </w:pPr>
    <w:rPr>
      <w:i/>
      <w:iCs/>
      <w:sz w:val="24"/>
      <w:szCs w:val="24"/>
    </w:rPr>
  </w:style>
  <w:style w:type="paragraph" w:styleId="Indexheading11" w:customStyle="1">
    <w:name w:val="index heading11"/>
    <w:basedOn w:val="Title"/>
    <w:qFormat/>
    <w:pPr/>
    <w:rPr/>
  </w:style>
  <w:style w:type="paragraph" w:styleId="Style19" w:customStyle="1">
    <w:name w:val="Название раздела инструкции"/>
    <w:basedOn w:val="Normal"/>
    <w:autoRedefine/>
    <w:qFormat/>
    <w:rsid w:val="00275328"/>
    <w:pPr>
      <w:jc w:val="center"/>
    </w:pPr>
    <w:rPr>
      <w:b/>
    </w:rPr>
  </w:style>
  <w:style w:type="paragraph" w:styleId="Style20" w:customStyle="1">
    <w:name w:val="Раздел положения"/>
    <w:basedOn w:val="Normal"/>
    <w:autoRedefine/>
    <w:qFormat/>
    <w:rsid w:val="007475ee"/>
    <w:pPr>
      <w:numPr>
        <w:ilvl w:val="0"/>
        <w:numId w:val="1"/>
      </w:numPr>
      <w:spacing w:before="80" w:after="80"/>
      <w:jc w:val="center"/>
    </w:pPr>
    <w:rPr>
      <w:b/>
      <w:sz w:val="32"/>
      <w:szCs w:val="32"/>
    </w:rPr>
  </w:style>
  <w:style w:type="paragraph" w:styleId="Style21" w:customStyle="1">
    <w:name w:val="Подраздел раздела положения"/>
    <w:basedOn w:val="Normal"/>
    <w:autoRedefine/>
    <w:qFormat/>
    <w:rsid w:val="007475ee"/>
    <w:pPr>
      <w:numPr>
        <w:ilvl w:val="1"/>
        <w:numId w:val="1"/>
      </w:numPr>
      <w:spacing w:before="80" w:after="80"/>
      <w:jc w:val="both"/>
    </w:pPr>
    <w:rPr/>
  </w:style>
  <w:style w:type="paragraph" w:styleId="FootnoteText">
    <w:name w:val="Footnote Text"/>
    <w:basedOn w:val="Normal"/>
    <w:link w:val="Style5"/>
    <w:uiPriority w:val="99"/>
    <w:rsid w:val="00d561d9"/>
    <w:pPr/>
    <w:rPr>
      <w:sz w:val="20"/>
      <w:szCs w:val="20"/>
    </w:rPr>
  </w:style>
  <w:style w:type="paragraph" w:styleId="14" w:customStyle="1">
    <w:name w:val="Шапка 1"/>
    <w:basedOn w:val="Normal"/>
    <w:qFormat/>
    <w:rsid w:val="00d561d9"/>
    <w:pPr>
      <w:pBdr>
        <w:bottom w:val="thickThinSmallGap" w:sz="24" w:space="1" w:color="000000"/>
      </w:pBdr>
      <w:spacing w:before="0" w:after="240"/>
      <w:jc w:val="center"/>
    </w:pPr>
    <w:rPr>
      <w:sz w:val="22"/>
      <w:szCs w:val="22"/>
    </w:rPr>
  </w:style>
  <w:style w:type="paragraph" w:styleId="23" w:customStyle="1">
    <w:name w:val="Шапка 2"/>
    <w:basedOn w:val="Normal"/>
    <w:qFormat/>
    <w:rsid w:val="00d561d9"/>
    <w:pPr>
      <w:pBdr>
        <w:bottom w:val="thickThinSmallGap" w:sz="24" w:space="1" w:color="000000"/>
      </w:pBdr>
      <w:spacing w:before="0" w:after="120"/>
      <w:jc w:val="center"/>
    </w:pPr>
    <w:rPr>
      <w:b/>
      <w:sz w:val="22"/>
      <w:szCs w:val="22"/>
    </w:rPr>
  </w:style>
  <w:style w:type="paragraph" w:styleId="33" w:customStyle="1">
    <w:name w:val="Шапка 3"/>
    <w:basedOn w:val="Normal"/>
    <w:qFormat/>
    <w:rsid w:val="00d561d9"/>
    <w:pPr>
      <w:pBdr>
        <w:bottom w:val="thickThinSmallGap" w:sz="24" w:space="1" w:color="000000"/>
      </w:pBdr>
      <w:spacing w:before="240" w:after="360"/>
      <w:jc w:val="center"/>
    </w:pPr>
    <w:rPr>
      <w:b/>
      <w:sz w:val="24"/>
      <w:szCs w:val="24"/>
    </w:rPr>
  </w:style>
  <w:style w:type="paragraph" w:styleId="15" w:customStyle="1">
    <w:name w:val="Название1"/>
    <w:basedOn w:val="Normal"/>
    <w:link w:val="Style1"/>
    <w:uiPriority w:val="10"/>
    <w:qFormat/>
    <w:rsid w:val="00bd4014"/>
    <w:pPr>
      <w:jc w:val="center"/>
    </w:pPr>
    <w:rPr>
      <w:szCs w:val="20"/>
      <w:lang w:val="x-none" w:eastAsia="x-none"/>
    </w:rPr>
  </w:style>
  <w:style w:type="paragraph" w:styleId="Style22" w:customStyle="1">
    <w:name w:val="Колонтитул"/>
    <w:basedOn w:val="Normal"/>
    <w:qFormat/>
    <w:pPr/>
    <w:rPr/>
  </w:style>
  <w:style w:type="paragraph" w:styleId="Header">
    <w:name w:val="Header"/>
    <w:basedOn w:val="Normal"/>
    <w:link w:val="Style10"/>
    <w:rsid w:val="0076353a"/>
    <w:pPr>
      <w:tabs>
        <w:tab w:val="clear" w:pos="708"/>
        <w:tab w:val="center" w:pos="4677" w:leader="none"/>
        <w:tab w:val="right" w:pos="9355" w:leader="none"/>
      </w:tabs>
    </w:pPr>
    <w:rPr>
      <w:sz w:val="24"/>
      <w:szCs w:val="24"/>
    </w:rPr>
  </w:style>
  <w:style w:type="paragraph" w:styleId="BodyTextIndent">
    <w:name w:val="Body Text Indent"/>
    <w:basedOn w:val="Normal"/>
    <w:rsid w:val="0076353a"/>
    <w:pPr>
      <w:ind w:left="360" w:hanging="0"/>
    </w:pPr>
    <w:rPr>
      <w:sz w:val="24"/>
      <w:szCs w:val="24"/>
    </w:rPr>
  </w:style>
  <w:style w:type="paragraph" w:styleId="Footer">
    <w:name w:val="Footer"/>
    <w:basedOn w:val="Normal"/>
    <w:rsid w:val="0076353a"/>
    <w:pPr>
      <w:tabs>
        <w:tab w:val="clear" w:pos="708"/>
        <w:tab w:val="center" w:pos="4677" w:leader="none"/>
        <w:tab w:val="right" w:pos="9355" w:leader="none"/>
      </w:tabs>
    </w:pPr>
    <w:rPr/>
  </w:style>
  <w:style w:type="paragraph" w:styleId="BodyTextIndent2">
    <w:name w:val="Body Text Indent 2"/>
    <w:basedOn w:val="Normal"/>
    <w:qFormat/>
    <w:rsid w:val="0076353a"/>
    <w:pPr>
      <w:spacing w:lineRule="auto" w:line="480" w:before="0" w:after="120"/>
      <w:ind w:left="283" w:hanging="0"/>
    </w:pPr>
    <w:rPr/>
  </w:style>
  <w:style w:type="paragraph" w:styleId="BodyText3">
    <w:name w:val="Body Text 3"/>
    <w:basedOn w:val="Normal"/>
    <w:qFormat/>
    <w:rsid w:val="0076353a"/>
    <w:pPr>
      <w:spacing w:before="0" w:after="120"/>
    </w:pPr>
    <w:rPr>
      <w:sz w:val="16"/>
      <w:szCs w:val="16"/>
    </w:rPr>
  </w:style>
  <w:style w:type="paragraph" w:styleId="BodyTextIndent3">
    <w:name w:val="Body Text Indent 3"/>
    <w:basedOn w:val="Normal"/>
    <w:link w:val="32"/>
    <w:qFormat/>
    <w:rsid w:val="0076353a"/>
    <w:pPr>
      <w:spacing w:before="0" w:after="120"/>
      <w:ind w:left="283" w:hanging="0"/>
    </w:pPr>
    <w:rPr>
      <w:sz w:val="16"/>
      <w:szCs w:val="16"/>
    </w:rPr>
  </w:style>
  <w:style w:type="paragraph" w:styleId="BodyText2">
    <w:name w:val="Body Text 2"/>
    <w:basedOn w:val="Normal"/>
    <w:qFormat/>
    <w:rsid w:val="0076353a"/>
    <w:pPr>
      <w:spacing w:lineRule="auto" w:line="480" w:before="0" w:after="120"/>
    </w:pPr>
    <w:rPr/>
  </w:style>
  <w:style w:type="paragraph" w:styleId="BlockText">
    <w:name w:val="Block Text"/>
    <w:basedOn w:val="Normal"/>
    <w:qFormat/>
    <w:rsid w:val="0076353a"/>
    <w:pPr>
      <w:ind w:left="-567" w:right="-766" w:hanging="0"/>
      <w:jc w:val="center"/>
    </w:pPr>
    <w:rPr>
      <w:b/>
      <w:bCs/>
      <w:sz w:val="24"/>
      <w:szCs w:val="20"/>
    </w:rPr>
  </w:style>
  <w:style w:type="paragraph" w:styleId="Style23" w:customStyle="1">
    <w:name w:val="Подпункт"/>
    <w:basedOn w:val="Normal"/>
    <w:link w:val="11"/>
    <w:qFormat/>
    <w:rsid w:val="0076353a"/>
    <w:pPr>
      <w:tabs>
        <w:tab w:val="clear" w:pos="708"/>
        <w:tab w:val="left" w:pos="1134" w:leader="none"/>
      </w:tabs>
      <w:snapToGrid w:val="false"/>
      <w:spacing w:lineRule="auto" w:line="360"/>
      <w:ind w:left="1134" w:hanging="1134"/>
      <w:jc w:val="both"/>
    </w:pPr>
    <w:rPr>
      <w:szCs w:val="20"/>
      <w:lang w:val="x-none" w:eastAsia="x-none"/>
    </w:rPr>
  </w:style>
  <w:style w:type="paragraph" w:styleId="24" w:customStyle="1">
    <w:name w:val="Пункт2"/>
    <w:basedOn w:val="Normal"/>
    <w:link w:val="22"/>
    <w:qFormat/>
    <w:rsid w:val="0076353a"/>
    <w:pPr>
      <w:keepNext w:val="true"/>
      <w:tabs>
        <w:tab w:val="clear" w:pos="708"/>
        <w:tab w:val="left" w:pos="1134" w:leader="none"/>
      </w:tabs>
      <w:snapToGrid w:val="false"/>
      <w:spacing w:before="240" w:after="120"/>
      <w:ind w:left="1134" w:hanging="1134"/>
      <w:outlineLvl w:val="2"/>
    </w:pPr>
    <w:rPr>
      <w:b/>
      <w:szCs w:val="20"/>
    </w:rPr>
  </w:style>
  <w:style w:type="paragraph" w:styleId="TOC1">
    <w:name w:val="TOC 1"/>
    <w:basedOn w:val="Normal"/>
    <w:next w:val="Normal"/>
    <w:autoRedefine/>
    <w:uiPriority w:val="39"/>
    <w:rsid w:val="00421b6b"/>
    <w:pPr>
      <w:spacing w:before="120" w:after="0"/>
    </w:pPr>
    <w:rPr>
      <w:rFonts w:cs="Calibri Light (Заголовки)"/>
      <w:b/>
      <w:bCs/>
      <w:sz w:val="24"/>
      <w:szCs w:val="24"/>
    </w:rPr>
  </w:style>
  <w:style w:type="paragraph" w:styleId="TOC3">
    <w:name w:val="TOC 3"/>
    <w:basedOn w:val="Normal"/>
    <w:next w:val="Normal"/>
    <w:autoRedefine/>
    <w:uiPriority w:val="39"/>
    <w:rsid w:val="00c01756"/>
    <w:pPr>
      <w:ind w:left="280" w:hanging="0"/>
    </w:pPr>
    <w:rPr>
      <w:rFonts w:cs="Calibri" w:cstheme="minorHAnsi"/>
      <w:sz w:val="20"/>
      <w:szCs w:val="20"/>
    </w:rPr>
  </w:style>
  <w:style w:type="paragraph" w:styleId="Style24" w:customStyle="1">
    <w:name w:val="Раздел регламента"/>
    <w:basedOn w:val="Normal"/>
    <w:qFormat/>
    <w:rsid w:val="00e228fa"/>
    <w:pPr/>
    <w:rPr/>
  </w:style>
  <w:style w:type="paragraph" w:styleId="Style25" w:customStyle="1">
    <w:name w:val="Приложение к регламенту"/>
    <w:basedOn w:val="Normal"/>
    <w:qFormat/>
    <w:rsid w:val="00e228fa"/>
    <w:pPr>
      <w:jc w:val="right"/>
    </w:pPr>
    <w:rPr/>
  </w:style>
  <w:style w:type="paragraph" w:styleId="TOC2">
    <w:name w:val="TOC 2"/>
    <w:basedOn w:val="Normal"/>
    <w:next w:val="Normal"/>
    <w:autoRedefine/>
    <w:uiPriority w:val="39"/>
    <w:rsid w:val="00c01756"/>
    <w:pPr>
      <w:spacing w:before="240" w:after="0"/>
    </w:pPr>
    <w:rPr>
      <w:rFonts w:cs="Calibri" w:cstheme="minorHAnsi"/>
      <w:b/>
      <w:bCs/>
      <w:sz w:val="20"/>
      <w:szCs w:val="20"/>
    </w:rPr>
  </w:style>
  <w:style w:type="paragraph" w:styleId="BalloonText">
    <w:name w:val="Balloon Text"/>
    <w:basedOn w:val="Normal"/>
    <w:semiHidden/>
    <w:qFormat/>
    <w:rsid w:val="00197c91"/>
    <w:pPr/>
    <w:rPr>
      <w:rFonts w:ascii="Tahoma" w:hAnsi="Tahoma" w:cs="Tahoma"/>
      <w:sz w:val="16"/>
      <w:szCs w:val="16"/>
    </w:rPr>
  </w:style>
  <w:style w:type="paragraph" w:styleId="Annotationtext">
    <w:name w:val="annotation text"/>
    <w:basedOn w:val="Normal"/>
    <w:link w:val="Style11"/>
    <w:semiHidden/>
    <w:qFormat/>
    <w:rsid w:val="00b714b0"/>
    <w:pPr/>
    <w:rPr>
      <w:sz w:val="20"/>
      <w:szCs w:val="20"/>
    </w:rPr>
  </w:style>
  <w:style w:type="paragraph" w:styleId="Annotationsubject">
    <w:name w:val="annotation subject"/>
    <w:basedOn w:val="Annotationtext"/>
    <w:next w:val="Annotationtext"/>
    <w:semiHidden/>
    <w:qFormat/>
    <w:rsid w:val="00b714b0"/>
    <w:pPr/>
    <w:rPr>
      <w:b/>
      <w:bCs/>
    </w:rPr>
  </w:style>
  <w:style w:type="paragraph" w:styleId="16" w:customStyle="1">
    <w:name w:val="Обычный (веб)1"/>
    <w:basedOn w:val="Normal"/>
    <w:uiPriority w:val="99"/>
    <w:qFormat/>
    <w:rsid w:val="002f559a"/>
    <w:pPr>
      <w:spacing w:beforeAutospacing="1" w:afterAutospacing="1"/>
    </w:pPr>
    <w:rPr>
      <w:rFonts w:ascii="Arial Unicode MS" w:hAnsi="Arial Unicode MS" w:eastAsia="Arial Unicode MS" w:cs="Arial Unicode MS"/>
      <w:sz w:val="24"/>
      <w:szCs w:val="24"/>
    </w:rPr>
  </w:style>
  <w:style w:type="paragraph" w:styleId="TOC9">
    <w:name w:val="TOC 9"/>
    <w:basedOn w:val="Normal"/>
    <w:next w:val="Normal"/>
    <w:autoRedefine/>
    <w:semiHidden/>
    <w:rsid w:val="00f57628"/>
    <w:pPr>
      <w:ind w:left="1960" w:hanging="0"/>
    </w:pPr>
    <w:rPr>
      <w:rFonts w:ascii="Calibri" w:hAnsi="Calibri" w:cs="Calibri" w:asciiTheme="minorHAnsi" w:cstheme="minorHAnsi" w:hAnsiTheme="minorHAnsi"/>
      <w:sz w:val="20"/>
      <w:szCs w:val="20"/>
    </w:rPr>
  </w:style>
  <w:style w:type="paragraph" w:styleId="TOC5">
    <w:name w:val="TOC 5"/>
    <w:basedOn w:val="Normal"/>
    <w:next w:val="Normal"/>
    <w:autoRedefine/>
    <w:semiHidden/>
    <w:rsid w:val="00f57628"/>
    <w:pPr>
      <w:ind w:left="840" w:hanging="0"/>
    </w:pPr>
    <w:rPr>
      <w:rFonts w:ascii="Calibri" w:hAnsi="Calibri" w:cs="Calibri" w:asciiTheme="minorHAnsi" w:cstheme="minorHAnsi" w:hAnsiTheme="minorHAnsi"/>
      <w:sz w:val="20"/>
      <w:szCs w:val="20"/>
    </w:rPr>
  </w:style>
  <w:style w:type="paragraph" w:styleId="TOC4">
    <w:name w:val="TOC 4"/>
    <w:basedOn w:val="Normal"/>
    <w:next w:val="Normal"/>
    <w:autoRedefine/>
    <w:uiPriority w:val="39"/>
    <w:rsid w:val="00c01756"/>
    <w:pPr>
      <w:ind w:left="560" w:hanging="0"/>
    </w:pPr>
    <w:rPr>
      <w:rFonts w:cs="Calibri" w:cstheme="minorHAnsi"/>
      <w:sz w:val="20"/>
      <w:szCs w:val="20"/>
    </w:rPr>
  </w:style>
  <w:style w:type="paragraph" w:styleId="25" w:customStyle="1">
    <w:name w:val="Раздел положения 2"/>
    <w:basedOn w:val="Normal"/>
    <w:qFormat/>
    <w:rsid w:val="002c1e0e"/>
    <w:pPr>
      <w:pageBreakBefore/>
      <w:jc w:val="both"/>
      <w:outlineLvl w:val="0"/>
    </w:pPr>
    <w:rPr>
      <w:b/>
    </w:rPr>
  </w:style>
  <w:style w:type="paragraph" w:styleId="Style26" w:customStyle="1">
    <w:name w:val="Знак Знак Знак Знак Знак Знак Знак Знак Знак"/>
    <w:basedOn w:val="Normal"/>
    <w:qFormat/>
    <w:rsid w:val="00d22f6d"/>
    <w:pPr>
      <w:spacing w:lineRule="exact" w:line="240" w:before="0" w:after="160"/>
      <w:jc w:val="both"/>
    </w:pPr>
    <w:rPr>
      <w:rFonts w:ascii="Verdana" w:hAnsi="Verdana" w:cs="Verdana"/>
      <w:sz w:val="22"/>
      <w:szCs w:val="22"/>
      <w:lang w:val="en-US" w:eastAsia="en-US"/>
    </w:rPr>
  </w:style>
  <w:style w:type="paragraph" w:styleId="NoSpacing">
    <w:name w:val="No Spacing"/>
    <w:basedOn w:val="Normal"/>
    <w:uiPriority w:val="1"/>
    <w:qFormat/>
    <w:rsid w:val="00d22f6d"/>
    <w:pPr>
      <w:spacing w:lineRule="auto" w:line="360"/>
    </w:pPr>
    <w:rPr>
      <w:rFonts w:eastAsia="Calibri"/>
      <w:sz w:val="24"/>
      <w:szCs w:val="24"/>
    </w:rPr>
  </w:style>
  <w:style w:type="paragraph" w:styleId="Caption111" w:customStyle="1">
    <w:name w:val="caption111"/>
    <w:basedOn w:val="Normal"/>
    <w:next w:val="Normal"/>
    <w:uiPriority w:val="35"/>
    <w:qFormat/>
    <w:rsid w:val="00d22f6d"/>
    <w:pPr/>
    <w:rPr>
      <w:rFonts w:eastAsia="Calibri"/>
      <w:b/>
      <w:bCs/>
      <w:color w:val="4F81BD"/>
      <w:sz w:val="18"/>
      <w:szCs w:val="18"/>
    </w:rPr>
  </w:style>
  <w:style w:type="paragraph" w:styleId="Subtitle">
    <w:name w:val="Subtitle"/>
    <w:basedOn w:val="Normal"/>
    <w:next w:val="Normal"/>
    <w:link w:val="Style2"/>
    <w:uiPriority w:val="11"/>
    <w:qFormat/>
    <w:rsid w:val="00d22f6d"/>
    <w:pPr>
      <w:numPr>
        <w:ilvl w:val="1"/>
      </w:numPr>
      <w:ind w:left="1066" w:firstLine="709"/>
    </w:pPr>
    <w:rPr>
      <w:rFonts w:ascii="Cambria" w:hAnsi="Cambria"/>
      <w:i/>
      <w:iCs/>
      <w:color w:val="4F81BD"/>
      <w:spacing w:val="15"/>
      <w:sz w:val="24"/>
      <w:szCs w:val="24"/>
      <w:lang w:val="x-none" w:eastAsia="x-none"/>
    </w:rPr>
  </w:style>
  <w:style w:type="paragraph" w:styleId="ListParagraph">
    <w:name w:val="List Paragraph"/>
    <w:basedOn w:val="Normal"/>
    <w:link w:val="Style7"/>
    <w:uiPriority w:val="34"/>
    <w:qFormat/>
    <w:rsid w:val="00d22f6d"/>
    <w:pPr>
      <w:spacing w:before="0" w:after="0"/>
      <w:ind w:left="720" w:hanging="0"/>
      <w:contextualSpacing/>
    </w:pPr>
    <w:rPr>
      <w:rFonts w:eastAsia="Calibri"/>
      <w:sz w:val="24"/>
      <w:szCs w:val="24"/>
    </w:rPr>
  </w:style>
  <w:style w:type="paragraph" w:styleId="Quote">
    <w:name w:val="Quote"/>
    <w:basedOn w:val="Normal"/>
    <w:next w:val="Normal"/>
    <w:link w:val="21"/>
    <w:uiPriority w:val="29"/>
    <w:qFormat/>
    <w:rsid w:val="00d22f6d"/>
    <w:pPr/>
    <w:rPr>
      <w:rFonts w:ascii="Calibri" w:hAnsi="Calibri" w:eastAsia="Calibri"/>
      <w:i/>
      <w:iCs/>
      <w:color w:val="000000"/>
      <w:sz w:val="20"/>
      <w:szCs w:val="20"/>
      <w:lang w:val="x-none" w:eastAsia="x-none"/>
    </w:rPr>
  </w:style>
  <w:style w:type="paragraph" w:styleId="IntenseQuote">
    <w:name w:val="Intense Quote"/>
    <w:basedOn w:val="Normal"/>
    <w:next w:val="Normal"/>
    <w:link w:val="Style3"/>
    <w:uiPriority w:val="30"/>
    <w:qFormat/>
    <w:rsid w:val="00d22f6d"/>
    <w:pPr>
      <w:pBdr>
        <w:bottom w:val="single" w:sz="4" w:space="4" w:color="4F81BD"/>
      </w:pBdr>
      <w:spacing w:before="200" w:after="280"/>
      <w:ind w:left="936" w:right="936" w:hanging="0"/>
    </w:pPr>
    <w:rPr>
      <w:rFonts w:ascii="Calibri" w:hAnsi="Calibri" w:eastAsia="Calibri"/>
      <w:b/>
      <w:bCs/>
      <w:i/>
      <w:iCs/>
      <w:color w:val="4F81BD"/>
      <w:sz w:val="20"/>
      <w:szCs w:val="20"/>
      <w:lang w:val="x-none" w:eastAsia="x-none"/>
    </w:rPr>
  </w:style>
  <w:style w:type="paragraph" w:styleId="IndexHeading">
    <w:name w:val="Index Heading"/>
    <w:basedOn w:val="Style17"/>
    <w:pPr/>
    <w:rPr/>
  </w:style>
  <w:style w:type="paragraph" w:styleId="TOCHeading">
    <w:name w:val="TOC Heading"/>
    <w:basedOn w:val="Heading1"/>
    <w:next w:val="Normal"/>
    <w:uiPriority w:val="39"/>
    <w:qFormat/>
    <w:rsid w:val="00d22f6d"/>
    <w:pPr>
      <w:keepLines/>
      <w:spacing w:before="480" w:after="60"/>
      <w:outlineLvl w:val="9"/>
    </w:pPr>
    <w:rPr>
      <w:rFonts w:ascii="Cambria" w:hAnsi="Cambria"/>
      <w:bCs/>
      <w:color w:val="365F91"/>
    </w:rPr>
  </w:style>
  <w:style w:type="paragraph" w:styleId="E-mailSignature">
    <w:name w:val="E-mail Signature"/>
    <w:basedOn w:val="Normal"/>
    <w:link w:val="Style4"/>
    <w:uiPriority w:val="99"/>
    <w:unhideWhenUsed/>
    <w:qFormat/>
    <w:rsid w:val="00d22f6d"/>
    <w:pPr/>
    <w:rPr>
      <w:rFonts w:eastAsia="Calibri"/>
      <w:sz w:val="24"/>
      <w:szCs w:val="24"/>
      <w:lang w:val="x-none" w:eastAsia="x-none"/>
    </w:rPr>
  </w:style>
  <w:style w:type="paragraph" w:styleId="Style27" w:customStyle="1">
    <w:name w:val="Знак"/>
    <w:basedOn w:val="Normal"/>
    <w:qFormat/>
    <w:rsid w:val="00d22f6d"/>
    <w:pPr>
      <w:spacing w:lineRule="exact" w:line="240" w:before="0" w:after="160"/>
    </w:pPr>
    <w:rPr>
      <w:rFonts w:ascii="Verdana" w:hAnsi="Verdana" w:cs="Verdana"/>
      <w:sz w:val="20"/>
      <w:szCs w:val="20"/>
      <w:lang w:val="en-US" w:eastAsia="en-US"/>
    </w:rPr>
  </w:style>
  <w:style w:type="paragraph" w:styleId="34" w:customStyle="1">
    <w:name w:val="Нумерованный список ур3"/>
    <w:basedOn w:val="Normal"/>
    <w:qFormat/>
    <w:rsid w:val="00d22f6d"/>
    <w:pPr>
      <w:numPr>
        <w:ilvl w:val="2"/>
        <w:numId w:val="2"/>
      </w:numPr>
      <w:jc w:val="both"/>
    </w:pPr>
    <w:rPr>
      <w:rFonts w:ascii="Garamond" w:hAnsi="Garamond"/>
      <w:sz w:val="24"/>
      <w:szCs w:val="20"/>
    </w:rPr>
  </w:style>
  <w:style w:type="paragraph" w:styleId="41" w:customStyle="1">
    <w:name w:val="Маркированный список 41"/>
    <w:basedOn w:val="Normal"/>
    <w:qFormat/>
    <w:rsid w:val="00d22f6d"/>
    <w:pPr>
      <w:numPr>
        <w:ilvl w:val="0"/>
        <w:numId w:val="2"/>
      </w:numPr>
      <w:spacing w:before="120" w:after="0"/>
      <w:jc w:val="both"/>
    </w:pPr>
    <w:rPr>
      <w:rFonts w:ascii="Garamond" w:hAnsi="Garamond"/>
      <w:sz w:val="24"/>
      <w:szCs w:val="20"/>
    </w:rPr>
  </w:style>
  <w:style w:type="paragraph" w:styleId="26" w:customStyle="1">
    <w:name w:val="Нумерованный список ур2"/>
    <w:basedOn w:val="Normal"/>
    <w:qFormat/>
    <w:rsid w:val="00d22f6d"/>
    <w:pPr>
      <w:numPr>
        <w:ilvl w:val="1"/>
        <w:numId w:val="2"/>
      </w:numPr>
      <w:spacing w:before="120" w:after="0"/>
      <w:jc w:val="both"/>
    </w:pPr>
    <w:rPr>
      <w:rFonts w:ascii="Garamond" w:hAnsi="Garamond"/>
      <w:sz w:val="24"/>
      <w:szCs w:val="20"/>
    </w:rPr>
  </w:style>
  <w:style w:type="paragraph" w:styleId="Revision">
    <w:name w:val="Revision"/>
    <w:uiPriority w:val="99"/>
    <w:semiHidden/>
    <w:qFormat/>
    <w:rsid w:val="00d22f6d"/>
    <w:pPr>
      <w:widowControl/>
      <w:suppressAutoHyphens w:val="true"/>
      <w:bidi w:val="0"/>
      <w:spacing w:before="0" w:after="0"/>
      <w:jc w:val="left"/>
    </w:pPr>
    <w:rPr>
      <w:rFonts w:ascii="Times New Roman" w:hAnsi="Times New Roman" w:eastAsia="Calibri" w:cs="Times New Roman"/>
      <w:color w:val="auto"/>
      <w:kern w:val="0"/>
      <w:sz w:val="24"/>
      <w:szCs w:val="24"/>
      <w:lang w:val="ru-RU" w:eastAsia="ru-RU" w:bidi="ar-SA"/>
    </w:rPr>
  </w:style>
  <w:style w:type="paragraph" w:styleId="ConsPlusNormal" w:customStyle="1">
    <w:name w:val="ConsPlusNormal"/>
    <w:qFormat/>
    <w:rsid w:val="00d22f6d"/>
    <w:pPr>
      <w:widowControl w:val="false"/>
      <w:suppressAutoHyphens w:val="true"/>
      <w:bidi w:val="0"/>
      <w:spacing w:before="0" w:after="0"/>
      <w:ind w:firstLine="720"/>
      <w:jc w:val="left"/>
    </w:pPr>
    <w:rPr>
      <w:rFonts w:ascii="Arial" w:hAnsi="Arial" w:eastAsia="Times New Roman" w:cs="Arial"/>
      <w:color w:val="auto"/>
      <w:kern w:val="0"/>
      <w:sz w:val="20"/>
      <w:szCs w:val="20"/>
      <w:lang w:val="ru-RU" w:eastAsia="ru-RU" w:bidi="ar-SA"/>
    </w:rPr>
  </w:style>
  <w:style w:type="paragraph" w:styleId="35" w:customStyle="1">
    <w:name w:val="Знак Знак3 Знак Знак"/>
    <w:basedOn w:val="Normal"/>
    <w:qFormat/>
    <w:rsid w:val="00d22f6d"/>
    <w:pPr>
      <w:spacing w:lineRule="exact" w:line="240" w:before="0" w:after="160"/>
      <w:jc w:val="both"/>
    </w:pPr>
    <w:rPr>
      <w:rFonts w:ascii="Verdana" w:hAnsi="Verdana" w:cs="Verdana"/>
      <w:sz w:val="22"/>
      <w:szCs w:val="22"/>
      <w:lang w:val="en-US" w:eastAsia="en-US"/>
    </w:rPr>
  </w:style>
  <w:style w:type="paragraph" w:styleId="Style28" w:customStyle="1">
    <w:name w:val="Пункт"/>
    <w:basedOn w:val="Normal"/>
    <w:qFormat/>
    <w:rsid w:val="00d22f6d"/>
    <w:pPr>
      <w:widowControl w:val="false"/>
      <w:tabs>
        <w:tab w:val="clear" w:pos="708"/>
        <w:tab w:val="left" w:pos="1134" w:leader="none"/>
      </w:tabs>
      <w:spacing w:lineRule="auto" w:line="360" w:before="120" w:after="0"/>
      <w:ind w:left="1134" w:right="800" w:hanging="1134"/>
      <w:jc w:val="both"/>
    </w:pPr>
    <w:rPr>
      <w:rFonts w:ascii="Arial" w:hAnsi="Arial"/>
      <w:b/>
      <w:i/>
      <w:szCs w:val="20"/>
    </w:rPr>
  </w:style>
  <w:style w:type="paragraph" w:styleId="17" w:customStyle="1">
    <w:name w:val="Абзац списка1"/>
    <w:basedOn w:val="Normal"/>
    <w:qFormat/>
    <w:rsid w:val="00d22f6d"/>
    <w:pPr>
      <w:spacing w:lineRule="auto" w:line="276" w:before="0" w:after="200"/>
      <w:ind w:left="720" w:hanging="0"/>
      <w:contextualSpacing/>
    </w:pPr>
    <w:rPr>
      <w:rFonts w:ascii="Calibri" w:hAnsi="Calibri"/>
      <w:sz w:val="22"/>
      <w:szCs w:val="22"/>
      <w:lang w:eastAsia="en-US"/>
    </w:rPr>
  </w:style>
  <w:style w:type="paragraph" w:styleId="Style29" w:customStyle="1">
    <w:name w:val="Таблица"/>
    <w:basedOn w:val="Normal"/>
    <w:qFormat/>
    <w:rsid w:val="0041356c"/>
    <w:pPr>
      <w:keepNext w:val="true"/>
      <w:spacing w:before="60" w:after="60"/>
      <w:jc w:val="center"/>
    </w:pPr>
    <w:rPr>
      <w:rFonts w:eastAsia="Calibri"/>
      <w:b/>
      <w:sz w:val="24"/>
      <w:szCs w:val="24"/>
      <w:lang w:val="x-none" w:eastAsia="x-none"/>
    </w:rPr>
  </w:style>
  <w:style w:type="paragraph" w:styleId="Style30" w:customStyle="1">
    <w:name w:val="Таблица шапка"/>
    <w:basedOn w:val="Normal"/>
    <w:qFormat/>
    <w:rsid w:val="00f64089"/>
    <w:pPr>
      <w:keepNext w:val="true"/>
      <w:spacing w:before="40" w:after="40"/>
      <w:ind w:left="57" w:right="57" w:hanging="0"/>
    </w:pPr>
    <w:rPr>
      <w:sz w:val="22"/>
      <w:szCs w:val="26"/>
    </w:rPr>
  </w:style>
  <w:style w:type="paragraph" w:styleId="Style31" w:customStyle="1">
    <w:name w:val="Подподпункт"/>
    <w:basedOn w:val="Style23"/>
    <w:link w:val="Style9"/>
    <w:qFormat/>
    <w:rsid w:val="0025139e"/>
    <w:pPr>
      <w:tabs>
        <w:tab w:val="clear" w:pos="1134"/>
        <w:tab w:val="left" w:pos="5104" w:leader="none"/>
      </w:tabs>
      <w:snapToGrid w:val="true"/>
      <w:spacing w:lineRule="auto" w:line="240" w:before="120" w:after="0"/>
      <w:ind w:left="5104" w:hanging="567"/>
    </w:pPr>
    <w:rPr>
      <w:sz w:val="26"/>
      <w:szCs w:val="26"/>
      <w:lang w:val="ru-RU" w:eastAsia="ru-RU"/>
    </w:rPr>
  </w:style>
  <w:style w:type="paragraph" w:styleId="Style32" w:customStyle="1">
    <w:name w:val="УРОВЕНЬ_(а)"/>
    <w:basedOn w:val="ListParagraph"/>
    <w:qFormat/>
    <w:rsid w:val="00b56f46"/>
    <w:pPr>
      <w:numPr>
        <w:ilvl w:val="3"/>
        <w:numId w:val="4"/>
      </w:numPr>
      <w:spacing w:lineRule="exact" w:line="360" w:before="120" w:after="0"/>
      <w:contextualSpacing w:val="false"/>
      <w:jc w:val="both"/>
      <w:outlineLvl w:val="3"/>
    </w:pPr>
    <w:rPr>
      <w:sz w:val="26"/>
      <w:szCs w:val="28"/>
      <w:lang w:eastAsia="en-US"/>
    </w:rPr>
  </w:style>
  <w:style w:type="paragraph" w:styleId="-" w:customStyle="1">
    <w:name w:val="УРОВЕНЬ_-"/>
    <w:basedOn w:val="ListParagraph"/>
    <w:qFormat/>
    <w:rsid w:val="00b56f46"/>
    <w:pPr>
      <w:numPr>
        <w:ilvl w:val="4"/>
        <w:numId w:val="4"/>
      </w:numPr>
      <w:spacing w:lineRule="exact" w:line="360" w:before="120" w:after="0"/>
      <w:contextualSpacing w:val="false"/>
      <w:jc w:val="both"/>
      <w:outlineLvl w:val="4"/>
    </w:pPr>
    <w:rPr>
      <w:sz w:val="26"/>
      <w:szCs w:val="28"/>
      <w:lang w:eastAsia="en-US"/>
    </w:rPr>
  </w:style>
  <w:style w:type="paragraph" w:styleId="27" w:customStyle="1">
    <w:name w:val="УРОВЕНЬ_Абзац_тип2"/>
    <w:basedOn w:val="ListParagraph"/>
    <w:qFormat/>
    <w:rsid w:val="00b56f46"/>
    <w:pPr>
      <w:numPr>
        <w:ilvl w:val="6"/>
        <w:numId w:val="4"/>
      </w:numPr>
      <w:spacing w:lineRule="exact" w:line="360" w:before="120" w:after="0"/>
      <w:contextualSpacing w:val="false"/>
      <w:jc w:val="both"/>
    </w:pPr>
    <w:rPr>
      <w:sz w:val="26"/>
      <w:szCs w:val="28"/>
      <w:lang w:eastAsia="en-US"/>
    </w:rPr>
  </w:style>
  <w:style w:type="paragraph" w:styleId="36" w:customStyle="1">
    <w:name w:val="УРОВЕНЬ_Абзац_тип3"/>
    <w:basedOn w:val="ListParagraph"/>
    <w:link w:val="31"/>
    <w:qFormat/>
    <w:rsid w:val="00b56f46"/>
    <w:pPr>
      <w:numPr>
        <w:ilvl w:val="7"/>
        <w:numId w:val="4"/>
      </w:numPr>
      <w:spacing w:lineRule="exact" w:line="360" w:before="120" w:after="0"/>
      <w:contextualSpacing w:val="false"/>
      <w:jc w:val="both"/>
    </w:pPr>
    <w:rPr>
      <w:sz w:val="26"/>
      <w:szCs w:val="28"/>
      <w:lang w:eastAsia="en-US"/>
    </w:rPr>
  </w:style>
  <w:style w:type="paragraph" w:styleId="Style33" w:customStyle="1">
    <w:name w:val="УРОВЕНЬ_Подпись"/>
    <w:basedOn w:val="ListParagraph"/>
    <w:qFormat/>
    <w:rsid w:val="00b56f46"/>
    <w:pPr>
      <w:keepNext w:val="true"/>
      <w:numPr>
        <w:ilvl w:val="5"/>
        <w:numId w:val="4"/>
      </w:numPr>
      <w:spacing w:lineRule="exact" w:line="360" w:before="120" w:after="120"/>
      <w:contextualSpacing w:val="false"/>
      <w:jc w:val="right"/>
      <w:outlineLvl w:val="3"/>
    </w:pPr>
    <w:rPr>
      <w:sz w:val="26"/>
      <w:szCs w:val="28"/>
      <w:lang w:eastAsia="en-US"/>
    </w:rPr>
  </w:style>
  <w:style w:type="paragraph" w:styleId="18" w:customStyle="1">
    <w:name w:val="Стиль Заголовок 1 + по ширине"/>
    <w:basedOn w:val="Heading1"/>
    <w:qFormat/>
    <w:rsid w:val="005773b2"/>
    <w:pPr>
      <w:keepLines/>
      <w:numPr>
        <w:ilvl w:val="0"/>
        <w:numId w:val="0"/>
      </w:numPr>
      <w:tabs>
        <w:tab w:val="clear" w:pos="708"/>
        <w:tab w:val="left" w:pos="567" w:leader="none"/>
      </w:tabs>
      <w:spacing w:before="480" w:after="240"/>
      <w:ind w:left="567" w:hanging="567"/>
      <w:jc w:val="both"/>
    </w:pPr>
    <w:rPr>
      <w:rFonts w:ascii="Arial" w:hAnsi="Arial" w:eastAsia="Times New Roman"/>
      <w:bCs/>
      <w:kern w:val="2"/>
      <w:sz w:val="40"/>
      <w:szCs w:val="20"/>
      <w:lang w:val="ru-RU" w:eastAsia="ru-RU"/>
    </w:rPr>
  </w:style>
  <w:style w:type="paragraph" w:styleId="EndnoteText">
    <w:name w:val="Endnote Text"/>
    <w:basedOn w:val="Normal"/>
    <w:link w:val="Style12"/>
    <w:rsid w:val="003879d4"/>
    <w:pPr/>
    <w:rPr>
      <w:sz w:val="20"/>
      <w:szCs w:val="20"/>
    </w:rPr>
  </w:style>
  <w:style w:type="paragraph" w:styleId="28" w:customStyle="1">
    <w:name w:val="Заголовок 2 КВВ"/>
    <w:basedOn w:val="Normal"/>
    <w:qFormat/>
    <w:rsid w:val="00cb35e8"/>
    <w:pPr>
      <w:keepNext w:val="true"/>
      <w:numPr>
        <w:ilvl w:val="0"/>
        <w:numId w:val="5"/>
      </w:numPr>
      <w:spacing w:before="120" w:after="120"/>
      <w:jc w:val="both"/>
      <w:outlineLvl w:val="0"/>
    </w:pPr>
    <w:rPr>
      <w:b/>
      <w:kern w:val="2"/>
      <w:sz w:val="24"/>
      <w:szCs w:val="20"/>
      <w:lang w:eastAsia="x-none"/>
    </w:rPr>
  </w:style>
  <w:style w:type="paragraph" w:styleId="Style34" w:customStyle="1">
    <w:name w:val="Таблица текст"/>
    <w:basedOn w:val="Normal"/>
    <w:qFormat/>
    <w:rsid w:val="00343e95"/>
    <w:pPr>
      <w:spacing w:before="40" w:after="40"/>
      <w:ind w:left="57" w:right="57" w:hanging="0"/>
    </w:pPr>
    <w:rPr>
      <w:sz w:val="24"/>
      <w:szCs w:val="26"/>
    </w:rPr>
  </w:style>
  <w:style w:type="paragraph" w:styleId="NormalWeb">
    <w:name w:val="Normal (Web)"/>
    <w:basedOn w:val="Normal"/>
    <w:uiPriority w:val="99"/>
    <w:unhideWhenUsed/>
    <w:qFormat/>
    <w:rsid w:val="00265d9f"/>
    <w:pPr>
      <w:spacing w:beforeAutospacing="1" w:afterAutospacing="1"/>
    </w:pPr>
    <w:rPr>
      <w:sz w:val="24"/>
      <w:szCs w:val="24"/>
    </w:rPr>
  </w:style>
  <w:style w:type="paragraph" w:styleId="19" w:customStyle="1">
    <w:name w:val="УРОВЕНЬ_1."/>
    <w:basedOn w:val="ListParagraph"/>
    <w:link w:val="12"/>
    <w:qFormat/>
    <w:rsid w:val="004a17ae"/>
    <w:pPr>
      <w:keepNext w:val="true"/>
      <w:keepLines/>
      <w:spacing w:lineRule="auto" w:line="276" w:before="240" w:after="120"/>
      <w:ind w:left="0" w:hanging="0"/>
      <w:contextualSpacing w:val="false"/>
      <w:jc w:val="both"/>
      <w:outlineLvl w:val="0"/>
    </w:pPr>
    <w:rPr>
      <w:caps/>
      <w:sz w:val="28"/>
      <w:szCs w:val="28"/>
      <w:lang w:eastAsia="en-US"/>
    </w:rPr>
  </w:style>
  <w:style w:type="paragraph" w:styleId="TOC6">
    <w:name w:val="TOC 6"/>
    <w:basedOn w:val="Normal"/>
    <w:next w:val="Normal"/>
    <w:autoRedefine/>
    <w:unhideWhenUsed/>
    <w:rsid w:val="00d849aa"/>
    <w:pPr>
      <w:ind w:left="1120" w:hanging="0"/>
    </w:pPr>
    <w:rPr>
      <w:rFonts w:ascii="Calibri" w:hAnsi="Calibri" w:cs="Calibri" w:asciiTheme="minorHAnsi" w:cstheme="minorHAnsi" w:hAnsiTheme="minorHAnsi"/>
      <w:sz w:val="20"/>
      <w:szCs w:val="20"/>
    </w:rPr>
  </w:style>
  <w:style w:type="paragraph" w:styleId="TOC7">
    <w:name w:val="TOC 7"/>
    <w:basedOn w:val="Normal"/>
    <w:next w:val="Normal"/>
    <w:autoRedefine/>
    <w:unhideWhenUsed/>
    <w:rsid w:val="00d849aa"/>
    <w:pPr>
      <w:ind w:left="1400" w:hanging="0"/>
    </w:pPr>
    <w:rPr>
      <w:rFonts w:ascii="Calibri" w:hAnsi="Calibri" w:cs="Calibri" w:asciiTheme="minorHAnsi" w:cstheme="minorHAnsi" w:hAnsiTheme="minorHAnsi"/>
      <w:sz w:val="20"/>
      <w:szCs w:val="20"/>
    </w:rPr>
  </w:style>
  <w:style w:type="paragraph" w:styleId="TOC8">
    <w:name w:val="TOC 8"/>
    <w:basedOn w:val="Normal"/>
    <w:next w:val="Normal"/>
    <w:autoRedefine/>
    <w:unhideWhenUsed/>
    <w:rsid w:val="00d849aa"/>
    <w:pPr>
      <w:ind w:left="1680" w:hanging="0"/>
    </w:pPr>
    <w:rPr>
      <w:rFonts w:ascii="Calibri" w:hAnsi="Calibri" w:cs="Calibri" w:asciiTheme="minorHAnsi" w:cstheme="minorHAnsi" w:hAnsiTheme="minorHAnsi"/>
      <w:sz w:val="20"/>
      <w:szCs w:val="20"/>
    </w:rPr>
  </w:style>
  <w:style w:type="paragraph" w:styleId="Style35" w:customStyle="1">
    <w:name w:val="Содержимое врезки"/>
    <w:basedOn w:val="Normal"/>
    <w:qFormat/>
    <w:pPr/>
    <w:rPr/>
  </w:style>
  <w:style w:type="paragraph" w:styleId="Style36" w:customStyle="1">
    <w:name w:val="Содержимое таблицы"/>
    <w:basedOn w:val="Normal"/>
    <w:qFormat/>
    <w:pPr>
      <w:widowControl w:val="false"/>
      <w:suppressLineNumbers/>
    </w:pPr>
    <w:rPr/>
  </w:style>
  <w:style w:type="paragraph" w:styleId="Style37" w:customStyle="1">
    <w:name w:val="Заголовок таблицы"/>
    <w:basedOn w:val="Style36"/>
    <w:qFormat/>
    <w:pPr>
      <w:jc w:val="center"/>
    </w:pPr>
    <w:rPr>
      <w:b/>
      <w:bCs/>
    </w:rPr>
  </w:style>
  <w:style w:type="numbering" w:styleId="NoList" w:default="1">
    <w:name w:val="No List"/>
    <w:uiPriority w:val="99"/>
    <w:semiHidden/>
    <w:unhideWhenUsed/>
    <w:qFormat/>
  </w:style>
  <w:style w:type="numbering" w:styleId="110" w:customStyle="1">
    <w:name w:val="Стиль1"/>
    <w:uiPriority w:val="99"/>
    <w:qFormat/>
    <w:rsid w:val="00f001e4"/>
  </w:style>
  <w:style w:type="numbering" w:styleId="29" w:customStyle="1">
    <w:name w:val="Стиль2"/>
    <w:uiPriority w:val="99"/>
    <w:qFormat/>
    <w:rsid w:val="006629c9"/>
  </w:style>
  <w:style w:type="table" w:default="1" w:styleId="a5">
    <w:name w:val="Normal Table"/>
    <w:uiPriority w:val="99"/>
    <w:semiHidden/>
    <w:unhideWhenUsed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affff8">
    <w:name w:val="Table Grid"/>
    <w:basedOn w:val="a5"/>
    <w:uiPriority w:val="39"/>
    <w:rsid w:val="0076353a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customStyle="1" w:styleId="1c">
    <w:name w:val="Сетка таблицы1"/>
    <w:basedOn w:val="a5"/>
    <w:uiPriority w:val="39"/>
    <w:rsid w:val="00214b9f"/>
    <w:rPr>
      <w:rFonts w:asciiTheme="minorHAnsi" w:hAnsiTheme="minorHAnsi" w:eastAsiaTheme="minorHAnsi" w:cstheme="minorBidi"/>
      <w:lang w:eastAsia="en-US"/>
      <w:sz w:val="24"/>
      <w:szCs w:val="24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header" Target="header1.xml"/><Relationship Id="rId3" Type="http://schemas.openxmlformats.org/officeDocument/2006/relationships/header" Target="header2.xml"/><Relationship Id="rId4" Type="http://schemas.openxmlformats.org/officeDocument/2006/relationships/header" Target="header3.xml"/><Relationship Id="rId5" Type="http://schemas.openxmlformats.org/officeDocument/2006/relationships/footer" Target="footer1.xml"/><Relationship Id="rId6" Type="http://schemas.openxmlformats.org/officeDocument/2006/relationships/footer" Target="footer2.xml"/><Relationship Id="rId7" Type="http://schemas.openxmlformats.org/officeDocument/2006/relationships/footer" Target="footer3.xml"/><Relationship Id="rId8" Type="http://schemas.openxmlformats.org/officeDocument/2006/relationships/header" Target="header4.xml"/><Relationship Id="rId9" Type="http://schemas.openxmlformats.org/officeDocument/2006/relationships/header" Target="header5.xml"/><Relationship Id="rId10" Type="http://schemas.openxmlformats.org/officeDocument/2006/relationships/footer" Target="footer4.xml"/><Relationship Id="rId11" Type="http://schemas.openxmlformats.org/officeDocument/2006/relationships/footer" Target="footer5.xml"/><Relationship Id="rId12" Type="http://schemas.openxmlformats.org/officeDocument/2006/relationships/header" Target="header6.xml"/><Relationship Id="rId13" Type="http://schemas.openxmlformats.org/officeDocument/2006/relationships/header" Target="header7.xml"/><Relationship Id="rId14" Type="http://schemas.openxmlformats.org/officeDocument/2006/relationships/footer" Target="footer6.xml"/><Relationship Id="rId15" Type="http://schemas.openxmlformats.org/officeDocument/2006/relationships/footer" Target="footer7.xml"/><Relationship Id="rId16" Type="http://schemas.openxmlformats.org/officeDocument/2006/relationships/numbering" Target="numbering.xml"/><Relationship Id="rId17" Type="http://schemas.openxmlformats.org/officeDocument/2006/relationships/fontTable" Target="fontTable.xml"/><Relationship Id="rId18" Type="http://schemas.openxmlformats.org/officeDocument/2006/relationships/settings" Target="settings.xml"/><Relationship Id="rId19" Type="http://schemas.openxmlformats.org/officeDocument/2006/relationships/theme" Target="theme/theme1.xml"/><Relationship Id="rId20" Type="http://schemas.openxmlformats.org/officeDocument/2006/relationships/customXml" Target="../customXml/item1.xml"/>
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?>
<Relationships xmlns="http://schemas.openxmlformats.org/package/2006/relationships"><Relationship Id="rId1" Type="http://schemas.openxmlformats.org/officeDocument/2006/relationships/customXmlProps" Target="itemProps1.xml"/>
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B2CC97F-230E-48ED-9A48-AC5858003FD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220</TotalTime>
  <Application>AlterOffice/3.4.0.9$Linux_X86_64 LibreOffice_project/b8daf9e823b1a5463a2f48435ddc2e8696e7d4fc</Application>
  <AppVersion>15.0000</AppVersion>
  <Pages>8</Pages>
  <Words>725</Words>
  <Characters>4912</Characters>
  <CharactersWithSpaces>5472</CharactersWithSpaces>
  <Paragraphs>164</Paragraphs>
  <Company>Microsoft</Compan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2026-06-03T09:55:00Z</dcterms:created>
  <dc:creator>Быстров Олег Геннадьевич</dc:creator>
  <dc:description/>
  <dc:language>ru-RU</dc:language>
  <cp:lastModifiedBy>abdurahmanovms@corp.gidroogk.com</cp:lastModifiedBy>
  <cp:lastPrinted>2006-07-26T14:04:00Z</cp:lastPrinted>
  <dcterms:modified xsi:type="dcterms:W3CDTF">2026-10-07T13:14:25Z</dcterms:modified>
  <cp:revision>15</cp:revision>
  <dc:subject/>
  <dc:title>Российское открытое акционерное общество энергетики и электрификации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