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true"/>
        <w:jc w:val="center"/>
        <w:rPr>
          <w:sz w:val="24"/>
          <w:szCs w:val="24"/>
        </w:rPr>
      </w:pPr>
      <w:r>
        <w:rPr>
          <w:rFonts w:eastAsia="Calibri"/>
          <w:b/>
          <w:caps/>
          <w:sz w:val="24"/>
          <w:szCs w:val="24"/>
        </w:rPr>
        <w:t>Запрос технико-коммерческих предложений</w:t>
      </w:r>
    </w:p>
    <w:p>
      <w:pPr>
        <w:pStyle w:val="Normal"/>
        <w:keepNext w:val="true"/>
        <w:keepLines/>
        <w:suppressAutoHyphens w:val="true"/>
        <w:jc w:val="center"/>
        <w:rPr>
          <w:sz w:val="24"/>
          <w:szCs w:val="24"/>
        </w:rPr>
      </w:pPr>
      <w:r>
        <w:rPr>
          <w:rFonts w:eastAsia="Calibri"/>
          <w:b/>
          <w:caps/>
          <w:sz w:val="24"/>
          <w:szCs w:val="24"/>
        </w:rPr>
        <w:t xml:space="preserve">для проведения мониторинга цен </w:t>
      </w:r>
    </w:p>
    <w:p>
      <w:pPr>
        <w:pStyle w:val="Normal"/>
        <w:keepNext w:val="true"/>
        <w:keepLines/>
        <w:widowControl/>
        <w:suppressAutoHyphens w:val="true"/>
        <w:bidi w:val="0"/>
        <w:spacing w:lineRule="auto" w:line="276" w:before="0" w:after="0"/>
        <w:ind w:left="0" w:right="0" w:hanging="0"/>
        <w:jc w:val="center"/>
        <w:rPr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>по ло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shd w:fill="auto" w:val="clear"/>
        </w:rPr>
        <w:t xml:space="preserve">ту: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«ОКПД2 71.12.39.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119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Подг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</w:p>
    <w:p>
      <w:pPr>
        <w:pStyle w:val="Normal"/>
        <w:ind w:hanging="0"/>
        <w:jc w:val="center"/>
        <w:rPr>
          <w:sz w:val="26"/>
          <w:szCs w:val="26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0" w:after="57"/>
        <w:ind w:firstLine="567"/>
        <w:jc w:val="both"/>
        <w:rPr/>
      </w:pPr>
      <w:r>
        <w:rPr>
          <w:sz w:val="24"/>
          <w:szCs w:val="24"/>
        </w:rPr>
        <w:t>АО «Ленгидропроект» (далее – Заказчик) сообщает о проведении анализа технико-коммерческих предложений потенциальных поставщиков по лоту: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lang w:eastAsia="ru-RU"/>
        </w:rPr>
        <w:t>«ОКПД2 71.12.39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lang w:eastAsia="ru-RU"/>
        </w:rPr>
        <w:t>.119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ru-RU"/>
        </w:rPr>
        <w:t>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76" w:before="0"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выполняемых работ) приведены в Технических требованиях настоящего мониторинга (запроса).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76" w:before="60" w:after="60"/>
        <w:ind w:left="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Настоящий запрос </w:t>
      </w:r>
      <w:r>
        <w:rPr>
          <w:b/>
          <w:sz w:val="24"/>
          <w:szCs w:val="24"/>
        </w:rPr>
        <w:t>не является публичной офертой и не влечет за собой возникновения каких-либо обязательств для Заказчика</w:t>
      </w:r>
      <w:r>
        <w:rPr>
          <w:sz w:val="24"/>
          <w:szCs w:val="24"/>
        </w:rPr>
        <w:t>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76" w:before="60" w:after="60"/>
        <w:ind w:left="0" w:hanging="0"/>
        <w:contextualSpacing/>
        <w:jc w:val="both"/>
        <w:rPr>
          <w:sz w:val="24"/>
          <w:szCs w:val="24"/>
        </w:rPr>
      </w:pPr>
      <w:r>
        <w:rPr/>
        <w:t>2. Ответ с технико-коммерческим предложением должен быть оформлен на официальном бланке по форме приложения №1 к Техническим требованиям и</w:t>
      </w:r>
      <w:r>
        <w:rPr>
          <w:lang w:val="en-US"/>
        </w:rPr>
        <w:t> </w:t>
      </w:r>
      <w:r>
        <w:rPr/>
        <w:t>заверен подписью уполномоченного лица, а также печатью организации (при</w:t>
      </w:r>
      <w:r>
        <w:rPr>
          <w:lang w:val="en-US"/>
        </w:rPr>
        <w:t> </w:t>
      </w:r>
      <w:r>
        <w:rPr/>
        <w:t>наличии), и в обязательном порядке содержать следующую информацию: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>- дату направления предложения;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>- полное наименование организации, с указанием организационно-правовой формы (для юридических лиц);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 xml:space="preserve">- юридический адрес, почтовый адрес, ИНН </w:t>
      </w:r>
      <w:r>
        <w:rPr>
          <w:i/>
          <w:shd w:fill="FFFF99" w:val="clear"/>
        </w:rPr>
        <w:t>[для юридических лиц]</w:t>
      </w:r>
      <w:r>
        <w:rPr>
          <w:i/>
        </w:rPr>
        <w:t xml:space="preserve"> / </w:t>
      </w:r>
      <w:r>
        <w:rPr/>
        <w:t xml:space="preserve">паспортные данные, адрес регистрации, ИНН (при наличии) </w:t>
      </w:r>
      <w:r>
        <w:rPr>
          <w:i/>
          <w:shd w:fill="FFFF99" w:val="clear"/>
        </w:rPr>
        <w:t>[для физических лиц]</w:t>
      </w:r>
      <w:r>
        <w:rPr>
          <w:i/>
        </w:rPr>
        <w:t>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 xml:space="preserve">- контактные данные: номер телефона, 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>, ФИО контактного лица;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850" w:right="0" w:hanging="0"/>
        <w:contextualSpacing/>
        <w:jc w:val="both"/>
        <w:rPr/>
      </w:pPr>
      <w:r>
        <w:rPr/>
        <w:t>- цену предложения в рублях (без учета НДС).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0" w:right="0" w:hanging="0"/>
        <w:contextualSpacing/>
        <w:jc w:val="both"/>
        <w:rPr/>
      </w:pPr>
      <w:r>
        <w:rPr/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60" w:after="60"/>
        <w:ind w:left="0" w:right="0" w:hanging="0"/>
        <w:contextualSpacing/>
        <w:jc w:val="both"/>
        <w:rPr/>
      </w:pPr>
      <w:r>
        <w:rPr/>
        <w:t>3. Срок подачи технико-коммерческих предложени</w:t>
      </w:r>
      <w:r>
        <w:rPr>
          <w:shd w:fill="auto" w:val="clear"/>
        </w:rPr>
        <w:t xml:space="preserve">й: </w:t>
      </w:r>
      <w:r>
        <w:rPr>
          <w:u w:val="single"/>
          <w:shd w:fill="auto" w:val="clear"/>
        </w:rPr>
        <w:t xml:space="preserve">до </w:t>
      </w:r>
      <w:r>
        <w:rPr>
          <w:u w:val="single"/>
          <w:shd w:fill="auto" w:val="clear"/>
        </w:rPr>
        <w:t>09</w:t>
      </w:r>
      <w:r>
        <w:rPr>
          <w:u w:val="single"/>
          <w:shd w:fill="auto" w:val="clear"/>
        </w:rPr>
        <w:t xml:space="preserve">:00 </w:t>
      </w:r>
      <w:r>
        <w:rPr>
          <w:u w:val="single"/>
          <w:shd w:fill="auto" w:val="clear"/>
        </w:rPr>
        <w:t>19</w:t>
      </w:r>
      <w:r>
        <w:rPr>
          <w:u w:val="single"/>
          <w:shd w:fill="auto" w:val="clear"/>
        </w:rPr>
        <w:t>.10.2026 г.</w:t>
      </w:r>
      <w:r>
        <w:rPr>
          <w:shd w:fill="auto" w:val="clear"/>
        </w:rPr>
        <w:t xml:space="preserve">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76" w:before="60" w:after="60"/>
        <w:ind w:left="0" w:right="0" w:hanging="0"/>
        <w:contextualSpacing/>
        <w:jc w:val="both"/>
        <w:rPr/>
      </w:pPr>
      <w:r>
        <w:rPr/>
        <w:t xml:space="preserve">4. Предложения должны быть направлены путем загрузки на ЭТП и в виде сканированной электронной копии в адрес ответственного лица: </w:t>
      </w:r>
      <w:hyperlink r:id="rId2">
        <w:r>
          <w:rPr>
            <w:rStyle w:val="Hyperlink"/>
          </w:rPr>
          <w:t>KozlovaES@lhp.ru</w:t>
        </w:r>
      </w:hyperlink>
      <w:r>
        <w:rPr/>
        <w:t>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76" w:before="60" w:after="60"/>
        <w:ind w:left="0" w:right="0" w:hanging="0"/>
        <w:contextualSpacing/>
        <w:jc w:val="both"/>
        <w:rPr/>
      </w:pPr>
      <w:r>
        <w:rPr/>
        <w:t>5. Технико-коммерческие предложения участниками мониторинга должны быть поданы в соответствии с установленными Заказчиком требованиями проведения мониторинга.</w:t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hanging="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</w:p>
    <w:p>
      <w:pPr>
        <w:pStyle w:val="Normal"/>
        <w:spacing w:before="0" w:after="0"/>
        <w:ind w:left="0" w:right="0" w:hanging="0"/>
        <w:contextualSpacing/>
        <w:jc w:val="center"/>
        <w:rPr>
          <w:b/>
          <w:bCs/>
        </w:rPr>
      </w:pPr>
      <w:r>
        <w:rPr>
          <w:b/>
          <w:bCs/>
          <w:color w:val="0D0D0D" w:themeColor="text1" w:themeTint="f2"/>
          <w:sz w:val="26"/>
          <w:szCs w:val="26"/>
          <w:shd w:fill="auto" w:val="clear"/>
        </w:rPr>
        <w:t xml:space="preserve">ТЕХНИЧЕСКИЕ ТРЕБОВАНИЯ </w:t>
      </w:r>
    </w:p>
    <w:p>
      <w:pPr>
        <w:pStyle w:val="Normal"/>
        <w:spacing w:lineRule="auto" w:line="240"/>
        <w:ind w:hanging="0"/>
        <w:jc w:val="center"/>
        <w:rPr>
          <w:b/>
          <w:bCs/>
        </w:rPr>
      </w:pPr>
      <w:r>
        <w:rPr>
          <w:rFonts w:eastAsia="Calibri" w:eastAsiaTheme="minorHAnsi"/>
          <w:b/>
          <w:bCs/>
          <w:sz w:val="26"/>
          <w:szCs w:val="26"/>
          <w:shd w:fill="auto" w:val="clear"/>
          <w:lang w:eastAsia="ru-RU"/>
        </w:rPr>
        <w:t>для проведения мониторинга рынка</w:t>
      </w:r>
    </w:p>
    <w:p>
      <w:pPr>
        <w:pStyle w:val="Normal"/>
        <w:spacing w:lineRule="auto" w:line="240"/>
        <w:ind w:hanging="0"/>
        <w:jc w:val="center"/>
        <w:rPr>
          <w:rFonts w:eastAsia="Calibri"/>
          <w:b/>
          <w:bCs/>
          <w:sz w:val="26"/>
          <w:szCs w:val="26"/>
          <w:lang w:eastAsia="ru-RU"/>
        </w:rPr>
      </w:pPr>
      <w:r>
        <w:rPr>
          <w:rFonts w:eastAsia="Calibri"/>
          <w:b/>
          <w:bCs/>
          <w:sz w:val="26"/>
          <w:szCs w:val="26"/>
          <w:lang w:eastAsia="ru-RU"/>
        </w:rPr>
      </w:r>
    </w:p>
    <w:p>
      <w:pPr>
        <w:pStyle w:val="Normal"/>
        <w:ind w:hang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ОКПД2 71.12.39.</w:t>
      </w:r>
      <w:r>
        <w:rPr>
          <w:b/>
          <w:bCs/>
          <w:sz w:val="26"/>
          <w:szCs w:val="26"/>
        </w:rPr>
        <w:t>119</w:t>
      </w:r>
      <w:r>
        <w:rPr>
          <w:b/>
          <w:bCs/>
          <w:sz w:val="26"/>
          <w:szCs w:val="26"/>
          <w:lang w:eastAsia="ru-RU"/>
        </w:rPr>
        <w:t xml:space="preserve">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firstLine="54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  <w:r>
        <w:br w:type="page"/>
      </w:r>
    </w:p>
    <w:p>
      <w:pPr>
        <w:pStyle w:val="Normal"/>
        <w:ind w:hanging="0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r>
            <w:fldChar w:fldCharType="begin"/>
          </w:r>
          <w:r>
            <w:rPr>
              <w:webHidden/>
              <w:rStyle w:val="Style21"/>
            </w:rPr>
            <w:instrText xml:space="preserve"> TOC \z \o "1-4" \u \h</w:instrText>
          </w:r>
          <w:r>
            <w:rPr>
              <w:webHidden/>
              <w:rStyle w:val="Style21"/>
            </w:rPr>
            <w:fldChar w:fldCharType="separate"/>
          </w:r>
          <w:hyperlink w:anchor="__RefHeading___Toc7243_2220088035">
            <w:r>
              <w:rPr>
                <w:webHidden/>
                <w:rStyle w:val="Style21"/>
              </w:rPr>
              <w:t>1. Общие сведения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45_2220088035">
            <w:r>
              <w:rPr>
                <w:webHidden/>
                <w:rStyle w:val="Style21"/>
              </w:rPr>
              <w:t>1.1. Обозначения и сокращения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11731_1558918511">
            <w:r>
              <w:rPr>
                <w:webHidden/>
                <w:rStyle w:val="Style21"/>
              </w:rPr>
              <w:t>1.2. Наименование закупаемой продукции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49_2220088035">
            <w:r>
              <w:rPr>
                <w:webHidden/>
                <w:rStyle w:val="Style21"/>
              </w:rPr>
              <w:t>1.3. Цель выполнения работ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51_2220088035">
            <w:r>
              <w:rPr>
                <w:webHidden/>
                <w:rStyle w:val="Style21"/>
              </w:rPr>
              <w:t>1.4. Идентификация проектируемого объекта</w:t>
              <w:tab/>
              <w:t>5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53_2220088035">
            <w:r>
              <w:rPr>
                <w:webHidden/>
                <w:rStyle w:val="Style21"/>
              </w:rPr>
              <w:t>Таблица 1. Перечень объектов Заказчика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55_2220088035">
            <w:r>
              <w:rPr>
                <w:webHidden/>
                <w:rStyle w:val="Style21"/>
              </w:rPr>
              <w:t>1.5. Вид строительства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20885_4073649210_%D0%9A%D0%BE%D0%BF%D0%B8%D1%8F">
            <w:r>
              <w:rPr>
                <w:webHidden/>
                <w:rStyle w:val="Style21"/>
              </w:rPr>
              <w:t>1.6. Стадия проектирования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19223_463198939">
            <w:r>
              <w:rPr>
                <w:webHidden/>
                <w:rStyle w:val="Style21"/>
                <w:i w:val="false"/>
                <w:iCs w:val="false"/>
              </w:rPr>
              <w:t>1.7. Общие требования при проведении мониторинга цен</w:t>
            </w:r>
            <w:r>
              <w:rPr>
                <w:rStyle w:val="Style21"/>
              </w:rPr>
              <w:tab/>
              <w:t>5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57_2220088035">
            <w:r>
              <w:rPr>
                <w:webHidden/>
                <w:rStyle w:val="Style21"/>
              </w:rPr>
              <w:t>2. Требования к продукции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59_2220088035">
            <w:r>
              <w:rPr>
                <w:webHidden/>
                <w:rStyle w:val="Style21"/>
              </w:rPr>
              <w:t>2.1. Требования к объемам и срокам выполнения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9678" w:leader="dot"/>
            </w:tabs>
            <w:rPr/>
          </w:pPr>
          <w:hyperlink w:anchor="__RefHeading___Toc7261_2220088035">
            <w:r>
              <w:rPr>
                <w:webHidden/>
                <w:rStyle w:val="Style21"/>
              </w:rPr>
              <w:t>2.1.1. Требования к перечню и объему работ</w:t>
              <w:tab/>
              <w:t>6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63_2220088035">
            <w:r>
              <w:rPr>
                <w:webHidden/>
                <w:rStyle w:val="Style21"/>
              </w:rPr>
              <w:t>Таблица 2. Перечень и объем выполняемых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9678" w:leader="dot"/>
            </w:tabs>
            <w:rPr/>
          </w:pPr>
          <w:hyperlink w:anchor="__RefHeading___Toc7265_2220088035">
            <w:r>
              <w:rPr>
                <w:webHidden/>
                <w:rStyle w:val="Style21"/>
              </w:rPr>
              <w:t>2.1.2. Требования к срокам выполнения работ</w:t>
              <w:tab/>
              <w:t>6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67_2220088035">
            <w:r>
              <w:rPr>
                <w:webHidden/>
                <w:rStyle w:val="Style21"/>
              </w:rPr>
              <w:t>Таблица 3. Требования к срокам выполнения работ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9678" w:leader="dot"/>
            </w:tabs>
            <w:rPr/>
          </w:pPr>
          <w:hyperlink w:anchor="__RefHeading___Toc7269_2220088035">
            <w:r>
              <w:rPr>
                <w:webHidden/>
                <w:rStyle w:val="Style21"/>
              </w:rPr>
              <w:t>2.2. Требования к качеству продукции</w:t>
              <w:tab/>
              <w:t>7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7271_2220088035">
            <w:r>
              <w:rPr>
                <w:webHidden/>
                <w:rStyle w:val="Style21"/>
              </w:rPr>
              <w:t>Таблица 4. Требования к качеству продукции</w:t>
              <w:tab/>
              <w:t>7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12008_3645919304">
            <w:r>
              <w:rPr>
                <w:webHidden/>
                <w:rStyle w:val="Style21"/>
              </w:rPr>
              <w:t>3. Состав заявки для мониторинга цен</w:t>
              <w:tab/>
              <w:t>9</w:t>
            </w:r>
          </w:hyperlink>
        </w:p>
        <w:p>
          <w:pPr>
            <w:pStyle w:val="TOC1"/>
            <w:tabs>
              <w:tab w:val="clear" w:pos="426"/>
              <w:tab w:val="clear" w:pos="9666"/>
              <w:tab w:val="right" w:pos="9678" w:leader="dot"/>
            </w:tabs>
            <w:rPr/>
          </w:pPr>
          <w:hyperlink w:anchor="__RefHeading___Toc9021_2986068082">
            <w:r>
              <w:rPr>
                <w:webHidden/>
                <w:rStyle w:val="Style21"/>
              </w:rPr>
              <w:t>4. Приложения</w:t>
              <w:tab/>
              <w:t>9</w:t>
            </w:r>
          </w:hyperlink>
          <w:r>
            <w:rPr>
              <w:rStyle w:val="Style21"/>
            </w:rPr>
            <w:fldChar w:fldCharType="end"/>
          </w:r>
        </w:p>
      </w:sdtContent>
    </w:sdt>
    <w:p>
      <w:pPr>
        <w:pStyle w:val="TOC1"/>
        <w:tabs>
          <w:tab w:val="clear" w:pos="426"/>
          <w:tab w:val="clear" w:pos="9666"/>
          <w:tab w:val="right" w:pos="9678" w:leader="dot"/>
        </w:tabs>
        <w:rPr/>
      </w:pPr>
      <w:r>
        <w:rPr/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spacing w:lineRule="auto" w:line="240"/>
        <w:ind w:hanging="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Heading1"/>
        <w:numPr>
          <w:ilvl w:val="0"/>
          <w:numId w:val="1"/>
        </w:numPr>
        <w:spacing w:before="240" w:after="60"/>
        <w:rPr>
          <w:rFonts w:eastAsia="Calibri"/>
          <w:sz w:val="28"/>
          <w:szCs w:val="28"/>
        </w:rPr>
      </w:pPr>
      <w:bookmarkStart w:id="0" w:name="__RefHeading___Toc7243_2220088035"/>
      <w:bookmarkStart w:id="1" w:name="_Toc240301999"/>
      <w:bookmarkStart w:id="2" w:name="_Toc217484640"/>
      <w:bookmarkStart w:id="3" w:name="_Toc51339692"/>
      <w:bookmarkStart w:id="4" w:name="_Toc54646395"/>
      <w:bookmarkEnd w:id="0"/>
      <w:r>
        <w:rPr>
          <w:rFonts w:eastAsia="Calibri"/>
          <w:sz w:val="28"/>
          <w:szCs w:val="28"/>
        </w:rPr>
        <w:t>Общие сведения</w:t>
      </w:r>
      <w:bookmarkEnd w:id="1"/>
      <w:bookmarkEnd w:id="2"/>
      <w:bookmarkEnd w:id="3"/>
      <w:bookmarkEnd w:id="4"/>
    </w:p>
    <w:p>
      <w:pPr>
        <w:pStyle w:val="Heading4"/>
        <w:numPr>
          <w:ilvl w:val="1"/>
          <w:numId w:val="1"/>
        </w:numPr>
        <w:ind w:left="0" w:hanging="0"/>
        <w:rPr/>
      </w:pPr>
      <w:bookmarkStart w:id="5" w:name="__RefHeading___Toc7245_2220088035"/>
      <w:bookmarkStart w:id="6" w:name="_Toc46743505"/>
      <w:bookmarkStart w:id="7" w:name="_Toc217484641"/>
      <w:bookmarkStart w:id="8" w:name="_Toc54646396"/>
      <w:bookmarkStart w:id="9" w:name="_Toc240302000"/>
      <w:bookmarkEnd w:id="5"/>
      <w:r>
        <w:rPr>
          <w:rFonts w:eastAsia="Calibri"/>
          <w:sz w:val="24"/>
          <w:szCs w:val="24"/>
        </w:rPr>
        <w:t>Обозначения и сокращения</w:t>
      </w:r>
      <w:bookmarkEnd w:id="6"/>
      <w:bookmarkEnd w:id="7"/>
      <w:bookmarkEnd w:id="8"/>
      <w:bookmarkEnd w:id="9"/>
    </w:p>
    <w:tbl>
      <w:tblPr>
        <w:tblW w:w="9809" w:type="dxa"/>
        <w:jc w:val="left"/>
        <w:tblInd w:w="18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1e0" w:noHBand="0" w:noVBand="0" w:firstColumn="1" w:lastRow="1" w:lastColumn="1" w:firstRow="1"/>
      </w:tblPr>
      <w:tblGrid>
        <w:gridCol w:w="1557"/>
        <w:gridCol w:w="8251"/>
      </w:tblGrid>
      <w:tr>
        <w:trPr>
          <w:trHeight w:val="366" w:hRule="atLeast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осударственный стандарт</w:t>
            </w:r>
          </w:p>
        </w:tc>
      </w:tr>
      <w:tr>
        <w:trPr>
          <w:trHeight w:val="366" w:hRule="atLeast"/>
        </w:trPr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8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АО «Ленгидропроект»</w:t>
            </w:r>
          </w:p>
        </w:tc>
      </w:tr>
      <w:tr>
        <w:trPr>
          <w:trHeight w:val="366" w:hRule="atLeast"/>
        </w:trPr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НТД</w:t>
            </w:r>
          </w:p>
        </w:tc>
        <w:tc>
          <w:tcPr>
            <w:tcW w:w="8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Нормативно-техническая документация</w:t>
            </w:r>
          </w:p>
        </w:tc>
      </w:tr>
      <w:tr>
        <w:trPr>
          <w:trHeight w:val="366" w:hRule="atLeast"/>
        </w:trPr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ОСР</w:t>
            </w:r>
          </w:p>
        </w:tc>
        <w:tc>
          <w:tcPr>
            <w:tcW w:w="8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сейсмическое районирование</w:t>
            </w:r>
          </w:p>
        </w:tc>
      </w:tr>
      <w:tr>
        <w:trPr>
          <w:trHeight w:val="366" w:hRule="atLeast"/>
        </w:trPr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8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>
        <w:trPr>
          <w:trHeight w:val="366" w:hRule="atLeast"/>
        </w:trPr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</w:t>
            </w:r>
          </w:p>
        </w:tc>
        <w:tc>
          <w:tcPr>
            <w:tcW w:w="8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 правил</w:t>
            </w:r>
          </w:p>
        </w:tc>
      </w:tr>
      <w:tr>
        <w:trPr>
          <w:trHeight w:val="366" w:hRule="atLeast"/>
        </w:trPr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ТТ</w:t>
            </w:r>
          </w:p>
        </w:tc>
        <w:tc>
          <w:tcPr>
            <w:tcW w:w="8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Технические требования</w:t>
            </w:r>
          </w:p>
        </w:tc>
      </w:tr>
      <w:tr>
        <w:trPr>
          <w:trHeight w:val="366" w:hRule="atLeast"/>
        </w:trPr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ТЭК</w:t>
            </w:r>
          </w:p>
        </w:tc>
        <w:tc>
          <w:tcPr>
            <w:tcW w:w="8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Топливно-энергетический комплекс</w:t>
            </w:r>
          </w:p>
        </w:tc>
      </w:tr>
      <w:tr>
        <w:trPr>
          <w:trHeight w:val="366" w:hRule="atLeast"/>
        </w:trPr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ТЭС</w:t>
            </w:r>
          </w:p>
        </w:tc>
        <w:tc>
          <w:tcPr>
            <w:tcW w:w="8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left"/>
              <w:rPr/>
            </w:pPr>
            <w:r>
              <w:rPr>
                <w:rStyle w:val="Strong1"/>
                <w:rFonts w:eastAsia="Times New Roman"/>
                <w:b w:val="false"/>
                <w:bCs w:val="false"/>
                <w:sz w:val="24"/>
                <w:szCs w:val="24"/>
                <w:lang w:eastAsia="ru-RU"/>
              </w:rPr>
              <w:t>Тепловая электростанция</w:t>
            </w:r>
          </w:p>
        </w:tc>
      </w:tr>
    </w:tbl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Normal"/>
        <w:ind w:hanging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</w:r>
    </w:p>
    <w:p>
      <w:pPr>
        <w:pStyle w:val="Heading4"/>
        <w:numPr>
          <w:ilvl w:val="1"/>
          <w:numId w:val="1"/>
        </w:numPr>
        <w:spacing w:before="0" w:after="62"/>
        <w:ind w:left="0" w:hanging="0"/>
        <w:rPr/>
      </w:pPr>
      <w:bookmarkStart w:id="10" w:name="__RefHeading___Toc11731_1558918511"/>
      <w:bookmarkStart w:id="11" w:name="_Toc54646397"/>
      <w:bookmarkStart w:id="12" w:name="_Toc240302001"/>
      <w:bookmarkStart w:id="13" w:name="_Toc217484642"/>
      <w:bookmarkEnd w:id="10"/>
      <w:r>
        <w:rPr>
          <w:rFonts w:eastAsia="Calibri"/>
          <w:sz w:val="24"/>
          <w:szCs w:val="24"/>
        </w:rPr>
        <w:t>Наименование закупаемой продукции</w:t>
      </w:r>
      <w:bookmarkEnd w:id="11"/>
      <w:bookmarkEnd w:id="12"/>
      <w:bookmarkEnd w:id="13"/>
    </w:p>
    <w:p>
      <w:pPr>
        <w:pStyle w:val="BodyText"/>
        <w:jc w:val="both"/>
        <w:rPr/>
      </w:pPr>
      <w:bookmarkStart w:id="14" w:name="__RefHeading___Toc11733_1558918511"/>
      <w:bookmarkEnd w:id="14"/>
      <w:r>
        <w:rPr>
          <w:sz w:val="24"/>
          <w:szCs w:val="24"/>
        </w:rPr>
        <w:t>ОКПД2 71.12.39.</w:t>
      </w:r>
      <w:r>
        <w:rPr>
          <w:sz w:val="24"/>
          <w:szCs w:val="24"/>
        </w:rPr>
        <w:t>119</w:t>
      </w:r>
      <w:r>
        <w:rPr>
          <w:sz w:val="24"/>
          <w:szCs w:val="24"/>
          <w:lang w:eastAsia="ru-RU"/>
        </w:rPr>
        <w:t xml:space="preserve">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</w:p>
    <w:p>
      <w:pPr>
        <w:pStyle w:val="Heading4"/>
        <w:numPr>
          <w:ilvl w:val="1"/>
          <w:numId w:val="1"/>
        </w:numPr>
        <w:ind w:left="0" w:hanging="0"/>
        <w:jc w:val="both"/>
        <w:rPr>
          <w:sz w:val="24"/>
          <w:szCs w:val="24"/>
        </w:rPr>
      </w:pPr>
      <w:bookmarkStart w:id="15" w:name="__RefHeading___Toc7249_2220088035"/>
      <w:bookmarkStart w:id="16" w:name="_Toc240302002"/>
      <w:bookmarkStart w:id="17" w:name="_Toc217484643"/>
      <w:bookmarkStart w:id="18" w:name="_Toc46743507"/>
      <w:bookmarkStart w:id="19" w:name="_Toc54646398"/>
      <w:bookmarkEnd w:id="15"/>
      <w:r>
        <w:rPr>
          <w:rFonts w:eastAsia="Calibri"/>
          <w:sz w:val="24"/>
          <w:szCs w:val="24"/>
        </w:rPr>
        <w:t>Цель</w:t>
      </w:r>
      <w:bookmarkEnd w:id="17"/>
      <w:bookmarkEnd w:id="18"/>
      <w:bookmarkEnd w:id="19"/>
      <w:r>
        <w:rPr>
          <w:rFonts w:eastAsia="Calibri"/>
          <w:sz w:val="24"/>
          <w:szCs w:val="24"/>
        </w:rPr>
        <w:t xml:space="preserve"> выполнения работ</w:t>
      </w:r>
      <w:bookmarkEnd w:id="16"/>
      <w:r>
        <w:rPr>
          <w:rFonts w:eastAsia="Calibri"/>
          <w:sz w:val="24"/>
          <w:szCs w:val="24"/>
          <w:lang w:val="ru-RU"/>
        </w:rPr>
        <w:t xml:space="preserve"> </w:t>
      </w:r>
    </w:p>
    <w:p>
      <w:pPr>
        <w:pStyle w:val="Normal"/>
        <w:shd w:val="clear" w:color="auto" w:fill="FFFFFF"/>
        <w:ind w:hanging="0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Включение поверхностных водных объектов (ручьев) в государственный водный реестр для получения решения </w:t>
      </w:r>
      <w:r>
        <w:rPr>
          <w:sz w:val="24"/>
          <w:szCs w:val="24"/>
        </w:rPr>
        <w:t>о предоставлении водных объектов в пользование для планируемой деятельности (переустройство русла и дна) от органов государственной власти субъекта РФ.</w:t>
      </w:r>
    </w:p>
    <w:p>
      <w:pPr>
        <w:pStyle w:val="Heading4"/>
        <w:numPr>
          <w:ilvl w:val="1"/>
          <w:numId w:val="1"/>
        </w:numPr>
        <w:ind w:left="0" w:hanging="0"/>
        <w:rPr>
          <w:sz w:val="24"/>
          <w:szCs w:val="24"/>
        </w:rPr>
      </w:pPr>
      <w:bookmarkStart w:id="20" w:name="__RefHeading___Toc7251_2220088035"/>
      <w:bookmarkStart w:id="21" w:name="_Toc240302003"/>
      <w:bookmarkEnd w:id="20"/>
      <w:r>
        <w:rPr>
          <w:rFonts w:eastAsia="Calibri"/>
          <w:sz w:val="24"/>
          <w:szCs w:val="24"/>
          <w:lang w:val="ru-RU"/>
        </w:rPr>
        <w:t>Идентификация проектируемого объекта</w:t>
      </w:r>
      <w:bookmarkEnd w:id="21"/>
    </w:p>
    <w:p>
      <w:pPr>
        <w:pStyle w:val="BodyText"/>
        <w:tabs>
          <w:tab w:val="clear" w:pos="708"/>
          <w:tab w:val="left" w:pos="142" w:leader="none"/>
          <w:tab w:val="left" w:pos="567" w:leader="none"/>
        </w:tabs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Тепловая электростанция относится к объектам электроэнергетики.</w:t>
      </w:r>
    </w:p>
    <w:p>
      <w:pPr>
        <w:pStyle w:val="BodyText"/>
        <w:tabs>
          <w:tab w:val="clear" w:pos="708"/>
          <w:tab w:val="left" w:pos="142" w:leader="none"/>
          <w:tab w:val="left" w:pos="567" w:leader="none"/>
        </w:tabs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Установленная электрическая мощность проектируемой Арктической ТЭС - 49 МВт. </w:t>
      </w:r>
    </w:p>
    <w:p>
      <w:pPr>
        <w:pStyle w:val="BodyText"/>
        <w:tabs>
          <w:tab w:val="clear" w:pos="708"/>
          <w:tab w:val="left" w:pos="142" w:leader="none"/>
          <w:tab w:val="left" w:pos="567" w:leader="none"/>
        </w:tabs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В соответствии с ГОСТ 27751-2014 «Надежность строительных конструкций и оснований. Основные положения» Приложение А, здания и сооружения особо опасных и технически сложных объектов относятся к классу сооружений КС-2.</w:t>
      </w:r>
    </w:p>
    <w:p>
      <w:pPr>
        <w:pStyle w:val="Normal"/>
        <w:spacing w:lineRule="auto" w:line="240"/>
        <w:ind w:hanging="0"/>
        <w:rPr>
          <w:sz w:val="24"/>
          <w:szCs w:val="24"/>
        </w:rPr>
      </w:pPr>
      <w:r>
        <w:rPr>
          <w:bCs/>
          <w:sz w:val="24"/>
          <w:szCs w:val="24"/>
        </w:rPr>
        <w:t>В соответствии со ст. 4 п. 8 Федерального закона от 30.12.2009 № 384-ФЗ «Технический регламент о безопасности зданий и сооружений» для здания главного корпуса и дымовых труб уровень ответственности – нормальный. Для остальных проектируемых зданий и сооружений уровень ответственности – нормальный.</w:t>
      </w:r>
    </w:p>
    <w:p>
      <w:pPr>
        <w:pStyle w:val="Normal"/>
        <w:spacing w:lineRule="auto" w:line="240"/>
        <w:ind w:hanging="0"/>
        <w:rPr>
          <w:bCs/>
        </w:rPr>
      </w:pPr>
      <w:r>
        <w:rPr>
          <w:bCs/>
        </w:rPr>
      </w:r>
    </w:p>
    <w:p>
      <w:pPr>
        <w:pStyle w:val="BodyText"/>
        <w:tabs>
          <w:tab w:val="clear" w:pos="708"/>
          <w:tab w:val="left" w:pos="142" w:leader="none"/>
          <w:tab w:val="left" w:pos="567" w:leader="none"/>
        </w:tabs>
        <w:jc w:val="both"/>
        <w:rPr/>
      </w:pPr>
      <w:r>
        <w:rPr>
          <w:sz w:val="24"/>
          <w:szCs w:val="24"/>
        </w:rPr>
        <w:t xml:space="preserve">Согласно разделу 4.3 и таблице 4.2 СП 14.13330.2018 </w:t>
      </w:r>
      <w:r>
        <w:rPr>
          <w:rStyle w:val="Strong3"/>
          <w:b w:val="false"/>
          <w:bCs w:val="false"/>
          <w:sz w:val="24"/>
          <w:szCs w:val="24"/>
          <w:lang w:val="ru-RU"/>
        </w:rPr>
        <w:t>«Строительство в сейсмических районах»</w:t>
      </w:r>
      <w:r>
        <w:rPr>
          <w:color w:val="333333"/>
        </w:rPr>
        <w:t> </w:t>
      </w:r>
      <w:r>
        <w:rPr>
          <w:sz w:val="24"/>
          <w:szCs w:val="24"/>
        </w:rPr>
        <w:t>, нормативная сейсмичность опре</w:t>
      </w:r>
      <w:r>
        <w:rPr>
          <w:sz w:val="24"/>
          <w:szCs w:val="24"/>
          <w:lang w:val="ru-RU"/>
        </w:rPr>
        <w:t xml:space="preserve">деляется </w:t>
      </w:r>
      <w:r>
        <w:rPr>
          <w:sz w:val="24"/>
          <w:szCs w:val="24"/>
        </w:rPr>
        <w:t>по карте ОСР 2015-В для зданий нормального уровня ответственности.</w:t>
      </w:r>
    </w:p>
    <w:p>
      <w:pPr>
        <w:pStyle w:val="Heading1"/>
        <w:spacing w:before="240" w:after="60"/>
        <w:jc w:val="left"/>
        <w:rPr/>
      </w:pPr>
      <w:bookmarkStart w:id="22" w:name="__RefHeading___Toc7253_2220088035"/>
      <w:bookmarkStart w:id="23" w:name="_Toc240302004"/>
      <w:bookmarkStart w:id="24" w:name="_Toc217484645"/>
      <w:bookmarkStart w:id="25" w:name="_Toc54646400"/>
      <w:bookmarkEnd w:id="22"/>
      <w:r>
        <w:rPr>
          <w:rFonts w:eastAsia="Calibri"/>
          <w:szCs w:val="24"/>
        </w:rPr>
        <w:t>Таблица 1. Перечень объектов Заказчика</w:t>
      </w:r>
      <w:bookmarkEnd w:id="23"/>
      <w:bookmarkEnd w:id="24"/>
      <w:bookmarkEnd w:id="25"/>
    </w:p>
    <w:tbl>
      <w:tblPr>
        <w:tblW w:w="9717" w:type="dxa"/>
        <w:jc w:val="left"/>
        <w:tblInd w:w="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11"/>
        <w:gridCol w:w="3334"/>
        <w:gridCol w:w="2198"/>
        <w:gridCol w:w="2157"/>
        <w:gridCol w:w="1517"/>
      </w:tblGrid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 xml:space="preserve">Расположение объекта </w:t>
            </w:r>
            <w:r>
              <w:rPr>
                <w:iCs/>
                <w:sz w:val="20"/>
                <w:szCs w:val="20"/>
              </w:rPr>
              <w:t>(место выполнения работ)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>
        <w:trPr/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sz w:val="20"/>
                <w:szCs w:val="20"/>
              </w:rPr>
            </w:pPr>
            <w:bookmarkStart w:id="26" w:name="__RefHeading___Toc11735_1558918511"/>
            <w:bookmarkEnd w:id="26"/>
            <w:r>
              <w:rPr>
                <w:sz w:val="20"/>
                <w:szCs w:val="20"/>
              </w:rPr>
              <w:t>ОКПД2 71.12.39.</w:t>
            </w:r>
            <w:r>
              <w:rPr>
                <w:sz w:val="20"/>
                <w:szCs w:val="20"/>
              </w:rPr>
              <w:t>119</w:t>
            </w:r>
            <w:r>
              <w:rPr>
                <w:sz w:val="20"/>
                <w:szCs w:val="20"/>
              </w:rPr>
              <w:t xml:space="preserve">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color w:val="333333"/>
                <w:sz w:val="20"/>
                <w:szCs w:val="20"/>
              </w:rPr>
              <w:t>Российская Федерация</w:t>
            </w:r>
            <w:r>
              <w:rPr>
                <w:sz w:val="20"/>
                <w:szCs w:val="20"/>
              </w:rPr>
              <w:t>, Чукотский автономный округ,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>г. Певек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Арктическая ТЭС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/>
            </w:pPr>
            <w:r>
              <w:rPr>
                <w:sz w:val="20"/>
                <w:szCs w:val="20"/>
              </w:rPr>
              <w:t>Критически важный объект ТЭК</w:t>
            </w:r>
          </w:p>
        </w:tc>
      </w:tr>
    </w:tbl>
    <w:p>
      <w:pPr>
        <w:pStyle w:val="Heading4"/>
        <w:numPr>
          <w:ilvl w:val="1"/>
          <w:numId w:val="1"/>
        </w:numPr>
        <w:ind w:left="0" w:hanging="0"/>
        <w:rPr/>
      </w:pPr>
      <w:bookmarkStart w:id="27" w:name="__RefHeading___Toc7255_2220088035"/>
      <w:bookmarkStart w:id="28" w:name="_Toc189640995_Копия_1"/>
      <w:bookmarkStart w:id="29" w:name="_Toc217484646"/>
      <w:bookmarkStart w:id="30" w:name="_Toc240302005"/>
      <w:bookmarkEnd w:id="27"/>
      <w:r>
        <w:rPr>
          <w:rFonts w:eastAsia="Calibri"/>
          <w:sz w:val="24"/>
          <w:szCs w:val="24"/>
        </w:rPr>
        <w:t>Вид строительства</w:t>
      </w:r>
      <w:bookmarkEnd w:id="28"/>
      <w:bookmarkEnd w:id="29"/>
      <w:bookmarkEnd w:id="30"/>
      <w:r>
        <w:rPr>
          <w:rFonts w:eastAsia="Calibri"/>
          <w:sz w:val="24"/>
          <w:szCs w:val="24"/>
        </w:rPr>
        <w:t xml:space="preserve"> </w:t>
      </w:r>
    </w:p>
    <w:p>
      <w:pPr>
        <w:pStyle w:val="Normal"/>
        <w:spacing w:before="0" w:after="0"/>
        <w:ind w:hanging="0"/>
        <w:contextualSpacing/>
        <w:rPr/>
      </w:pPr>
      <w:r>
        <w:rPr>
          <w:sz w:val="24"/>
          <w:szCs w:val="24"/>
        </w:rPr>
        <w:t>Новое строительство</w:t>
      </w:r>
    </w:p>
    <w:p>
      <w:pPr>
        <w:pStyle w:val="Heading4"/>
        <w:numPr>
          <w:ilvl w:val="1"/>
          <w:numId w:val="1"/>
        </w:numPr>
        <w:ind w:left="0" w:hanging="0"/>
        <w:rPr/>
      </w:pPr>
      <w:bookmarkStart w:id="31" w:name="__RefHeading___Toc20885_4073649210_Копия"/>
      <w:bookmarkStart w:id="32" w:name="_Toc189640996_Копия_1"/>
      <w:bookmarkStart w:id="33" w:name="_Toc217484647"/>
      <w:bookmarkStart w:id="34" w:name="_Toc240302006"/>
      <w:bookmarkEnd w:id="31"/>
      <w:r>
        <w:rPr>
          <w:rFonts w:eastAsia="Calibri"/>
          <w:sz w:val="24"/>
          <w:szCs w:val="24"/>
        </w:rPr>
        <w:t>Стадия проектирования</w:t>
      </w:r>
      <w:bookmarkEnd w:id="32"/>
      <w:bookmarkEnd w:id="33"/>
      <w:bookmarkEnd w:id="34"/>
    </w:p>
    <w:p>
      <w:pPr>
        <w:pStyle w:val="Normal"/>
        <w:spacing w:before="0" w:after="0"/>
        <w:ind w:hanging="0"/>
        <w:contextualSpacing/>
        <w:rPr/>
      </w:pPr>
      <w:r>
        <w:rPr>
          <w:iCs/>
          <w:sz w:val="24"/>
          <w:szCs w:val="24"/>
        </w:rPr>
        <w:t>Проектная документация</w:t>
      </w:r>
    </w:p>
    <w:p>
      <w:pPr>
        <w:pStyle w:val="Heading4"/>
        <w:keepNext w:val="true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uppressAutoHyphens w:val="true"/>
        <w:bidi w:val="0"/>
        <w:spacing w:lineRule="auto" w:line="240" w:before="240" w:after="60"/>
        <w:ind w:left="0" w:right="0" w:hanging="0"/>
        <w:jc w:val="both"/>
        <w:rPr>
          <w:sz w:val="24"/>
          <w:szCs w:val="24"/>
        </w:rPr>
      </w:pPr>
      <w:bookmarkStart w:id="35" w:name="__RefHeading___Toc19223_463198939"/>
      <w:bookmarkEnd w:id="35"/>
      <w:r>
        <w:rPr>
          <w:rFonts w:eastAsia="" w:cs=""/>
          <w:b/>
          <w:bCs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  <w:t xml:space="preserve">1.7. </w:t>
      </w:r>
      <w:bookmarkStart w:id="36" w:name="_Toc223009948"/>
      <w:bookmarkStart w:id="37" w:name="_Toc220520386"/>
      <w:r>
        <w:rPr>
          <w:rFonts w:eastAsia="" w:cs=""/>
          <w:b/>
          <w:bCs/>
          <w:i w:val="false"/>
          <w:iCs w:val="false"/>
          <w:color w:val="000000"/>
          <w:kern w:val="0"/>
          <w:sz w:val="24"/>
          <w:szCs w:val="24"/>
          <w:lang w:val="ru-RU" w:eastAsia="ru-RU" w:bidi="ar-SA"/>
        </w:rPr>
        <w:t>Общие требования при проведении мониторинга цен</w:t>
      </w:r>
      <w:bookmarkEnd w:id="36"/>
      <w:bookmarkEnd w:id="3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hanging="0"/>
        <w:jc w:val="both"/>
        <w:rPr>
          <w:sz w:val="24"/>
          <w:szCs w:val="24"/>
        </w:rPr>
      </w:pPr>
      <w:r>
        <w:rPr>
          <w:rFonts w:eastAsia="Times New Roman" w:cs="Times New Roman"/>
          <w:bCs/>
          <w:color w:val="0D0D0D" w:themeColor="text1" w:themeTint="f2"/>
          <w:kern w:val="0"/>
          <w:sz w:val="24"/>
          <w:szCs w:val="24"/>
          <w:shd w:fill="auto" w:val="clear"/>
          <w:lang w:eastAsia="ru-RU" w:bidi="ar-SA"/>
        </w:rPr>
        <w:t xml:space="preserve">Мониторинг цен не является публичной офертой, по результатам мониторинга цен договор не заключается. </w:t>
      </w:r>
    </w:p>
    <w:p>
      <w:pPr>
        <w:pStyle w:val="Heading1"/>
        <w:numPr>
          <w:ilvl w:val="0"/>
          <w:numId w:val="1"/>
        </w:numPr>
        <w:tabs>
          <w:tab w:val="clear" w:pos="708"/>
          <w:tab w:val="left" w:pos="0" w:leader="none"/>
        </w:tabs>
        <w:spacing w:before="240" w:after="60"/>
        <w:contextualSpacing/>
        <w:rPr>
          <w:rFonts w:eastAsia="Calibri"/>
          <w:iCs/>
          <w:sz w:val="28"/>
          <w:szCs w:val="28"/>
        </w:rPr>
      </w:pPr>
      <w:bookmarkStart w:id="38" w:name="__RefHeading___Toc7257_2220088035"/>
      <w:bookmarkStart w:id="39" w:name="_Toc51339693"/>
      <w:bookmarkStart w:id="40" w:name="_Toc217484648"/>
      <w:bookmarkStart w:id="41" w:name="_Toc189640999"/>
      <w:bookmarkStart w:id="42" w:name="_Toc240302007"/>
      <w:bookmarkEnd w:id="38"/>
      <w:r>
        <w:rPr>
          <w:rFonts w:eastAsia="Calibri"/>
          <w:sz w:val="28"/>
          <w:szCs w:val="28"/>
        </w:rPr>
        <w:t>Требования к продукции</w:t>
      </w:r>
      <w:bookmarkEnd w:id="39"/>
      <w:bookmarkEnd w:id="40"/>
      <w:bookmarkEnd w:id="41"/>
      <w:bookmarkEnd w:id="42"/>
    </w:p>
    <w:p>
      <w:pPr>
        <w:pStyle w:val="Heading4"/>
        <w:numPr>
          <w:ilvl w:val="1"/>
          <w:numId w:val="1"/>
        </w:numPr>
        <w:tabs>
          <w:tab w:val="clear" w:pos="708"/>
          <w:tab w:val="left" w:pos="0" w:leader="none"/>
        </w:tabs>
        <w:spacing w:before="120" w:after="60"/>
        <w:ind w:left="432" w:hanging="432"/>
        <w:rPr/>
      </w:pPr>
      <w:bookmarkStart w:id="43" w:name="__RefHeading___Toc7259_2220088035"/>
      <w:bookmarkStart w:id="44" w:name="_Toc189641000"/>
      <w:bookmarkStart w:id="45" w:name="_Toc240302008"/>
      <w:bookmarkStart w:id="46" w:name="_Toc217484649"/>
      <w:bookmarkEnd w:id="43"/>
      <w:r>
        <w:rPr>
          <w:rFonts w:eastAsia="Calibri"/>
          <w:sz w:val="24"/>
          <w:szCs w:val="24"/>
        </w:rPr>
        <w:t xml:space="preserve">Требования к объемам и срокам </w:t>
      </w:r>
      <w:bookmarkEnd w:id="44"/>
      <w:bookmarkEnd w:id="45"/>
      <w:bookmarkEnd w:id="46"/>
      <w:r>
        <w:rPr>
          <w:rFonts w:eastAsia="Calibri"/>
          <w:sz w:val="24"/>
          <w:szCs w:val="24"/>
        </w:rPr>
        <w:t>выполнения работ</w:t>
      </w:r>
    </w:p>
    <w:p>
      <w:pPr>
        <w:pStyle w:val="Heading3"/>
        <w:numPr>
          <w:ilvl w:val="2"/>
          <w:numId w:val="1"/>
        </w:numPr>
        <w:spacing w:before="120" w:after="60"/>
        <w:rPr/>
      </w:pPr>
      <w:bookmarkStart w:id="47" w:name="__RefHeading___Toc7261_2220088035"/>
      <w:bookmarkStart w:id="48" w:name="_Toc240302009"/>
      <w:bookmarkStart w:id="49" w:name="_Toc217484650"/>
      <w:bookmarkStart w:id="50" w:name="_Toc189641001"/>
      <w:bookmarkEnd w:id="47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>Требования к перечню и объем</w:t>
      </w:r>
      <w:bookmarkEnd w:id="49"/>
      <w:bookmarkEnd w:id="50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 xml:space="preserve">у </w:t>
      </w:r>
      <w:bookmarkEnd w:id="48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>работ</w:t>
      </w:r>
    </w:p>
    <w:p>
      <w:pPr>
        <w:pStyle w:val="Heading1"/>
        <w:spacing w:before="240" w:after="60"/>
        <w:jc w:val="left"/>
        <w:rPr/>
      </w:pPr>
      <w:bookmarkStart w:id="51" w:name="__RefHeading___Toc7263_2220088035"/>
      <w:bookmarkStart w:id="52" w:name="_Toc189641002"/>
      <w:bookmarkStart w:id="53" w:name="_Toc240302010"/>
      <w:bookmarkStart w:id="54" w:name="_Toc217484651"/>
      <w:bookmarkEnd w:id="51"/>
      <w:r>
        <w:rPr>
          <w:rFonts w:eastAsia="Calibri"/>
          <w:szCs w:val="24"/>
        </w:rPr>
        <w:t xml:space="preserve">Таблица 2. Перечень и объем </w:t>
      </w:r>
      <w:bookmarkEnd w:id="52"/>
      <w:bookmarkEnd w:id="53"/>
      <w:bookmarkEnd w:id="54"/>
      <w:r>
        <w:rPr>
          <w:rFonts w:eastAsia="Calibri"/>
          <w:szCs w:val="24"/>
        </w:rPr>
        <w:t>выполняемых работ</w:t>
      </w:r>
    </w:p>
    <w:tbl>
      <w:tblPr>
        <w:tblW w:w="9753" w:type="dxa"/>
        <w:jc w:val="left"/>
        <w:tblInd w:w="1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89"/>
        <w:gridCol w:w="6251"/>
        <w:gridCol w:w="1306"/>
        <w:gridCol w:w="1406"/>
      </w:tblGrid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работ / этапа работ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Количество</w:t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>
        <w:trPr>
          <w:trHeight w:val="845" w:hRule="atLeast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20"/>
              <w:ind w:hanging="0"/>
              <w:jc w:val="center"/>
              <w:rPr/>
            </w:pPr>
            <w:r>
              <w:rPr>
                <w:rFonts w:eastAsia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sz w:val="20"/>
                <w:szCs w:val="20"/>
              </w:rPr>
            </w:pPr>
            <w:bookmarkStart w:id="55" w:name="__RefHeading___Toc11737_1558918511"/>
            <w:bookmarkEnd w:id="55"/>
            <w:r>
              <w:rPr>
                <w:sz w:val="20"/>
                <w:szCs w:val="20"/>
              </w:rPr>
              <w:t>ОКПД2 71.12.39.</w:t>
            </w:r>
            <w:r>
              <w:rPr>
                <w:sz w:val="20"/>
                <w:szCs w:val="20"/>
              </w:rPr>
              <w:t>119</w:t>
            </w:r>
            <w:r>
              <w:rPr>
                <w:sz w:val="20"/>
                <w:szCs w:val="20"/>
              </w:rPr>
              <w:t xml:space="preserve">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bCs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Усл. ед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bCs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</w:tr>
    </w:tbl>
    <w:p>
      <w:pPr>
        <w:pStyle w:val="Normal"/>
        <w:spacing w:before="120" w:after="6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Heading3"/>
        <w:numPr>
          <w:ilvl w:val="2"/>
          <w:numId w:val="1"/>
        </w:numPr>
        <w:spacing w:before="120" w:after="60"/>
        <w:rPr>
          <w:rFonts w:ascii="Times New Roman" w:hAnsi="Times New Roman" w:eastAsia="Calibri"/>
          <w:bCs w:val="false"/>
          <w:sz w:val="24"/>
          <w:szCs w:val="24"/>
          <w:lang w:val="ru-RU"/>
        </w:rPr>
      </w:pPr>
      <w:bookmarkStart w:id="56" w:name="__RefHeading___Toc7265_2220088035"/>
      <w:bookmarkStart w:id="57" w:name="_Toc189641003"/>
      <w:bookmarkStart w:id="58" w:name="_Toc240302011"/>
      <w:bookmarkStart w:id="59" w:name="_Toc217484652"/>
      <w:bookmarkStart w:id="60" w:name="_Toc51339696"/>
      <w:bookmarkEnd w:id="56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 xml:space="preserve">Требования </w:t>
      </w:r>
      <w:bookmarkEnd w:id="60"/>
      <w:r>
        <w:rPr>
          <w:rFonts w:eastAsia="Calibri" w:ascii="Times New Roman" w:hAnsi="Times New Roman"/>
          <w:bCs w:val="false"/>
          <w:sz w:val="24"/>
          <w:szCs w:val="24"/>
          <w:lang w:val="ru-RU"/>
        </w:rPr>
        <w:t>к срокам выполнения работ</w:t>
      </w:r>
      <w:bookmarkEnd w:id="57"/>
      <w:bookmarkEnd w:id="58"/>
      <w:bookmarkEnd w:id="59"/>
    </w:p>
    <w:p>
      <w:pPr>
        <w:pStyle w:val="Heading1"/>
        <w:spacing w:before="240" w:after="60"/>
        <w:jc w:val="left"/>
        <w:rPr>
          <w:rFonts w:eastAsia="Calibri"/>
          <w:szCs w:val="24"/>
        </w:rPr>
      </w:pPr>
      <w:bookmarkStart w:id="61" w:name="__RefHeading___Toc7267_2220088035"/>
      <w:bookmarkStart w:id="62" w:name="_Toc51339697"/>
      <w:bookmarkStart w:id="63" w:name="_Toc240302012"/>
      <w:bookmarkStart w:id="64" w:name="_Toc217484653"/>
      <w:bookmarkStart w:id="65" w:name="_Toc50125127"/>
      <w:bookmarkStart w:id="66" w:name="_Toc189641004"/>
      <w:bookmarkEnd w:id="61"/>
      <w:r>
        <w:rPr>
          <w:rFonts w:eastAsia="Calibri"/>
          <w:szCs w:val="24"/>
        </w:rPr>
        <w:t xml:space="preserve">Таблица 3. </w:t>
      </w:r>
      <w:bookmarkStart w:id="67" w:name="_Hlk50465284"/>
      <w:r>
        <w:rPr>
          <w:rFonts w:eastAsia="Calibri"/>
          <w:szCs w:val="24"/>
        </w:rPr>
        <w:t>Требования к срокам выполнения работ</w:t>
      </w:r>
      <w:bookmarkEnd w:id="62"/>
      <w:bookmarkEnd w:id="63"/>
      <w:bookmarkEnd w:id="64"/>
      <w:bookmarkEnd w:id="65"/>
      <w:bookmarkEnd w:id="66"/>
      <w:bookmarkEnd w:id="67"/>
    </w:p>
    <w:tbl>
      <w:tblPr>
        <w:tblW w:w="97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3"/>
        <w:gridCol w:w="4057"/>
        <w:gridCol w:w="2435"/>
        <w:gridCol w:w="2788"/>
      </w:tblGrid>
      <w:tr>
        <w:trPr/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Наименование работ/этапа работ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Требования к началу срока выполнения работ/этапа работ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Требования к окончанию срока выполнения работ/этапа работ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left="57" w:right="57" w:hanging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>
        <w:trPr/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20"/>
              <w:ind w:hanging="0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sz w:val="20"/>
                <w:szCs w:val="20"/>
              </w:rPr>
            </w:pPr>
            <w:bookmarkStart w:id="68" w:name="__RefHeading___Toc11739_1558918511"/>
            <w:bookmarkEnd w:id="68"/>
            <w:r>
              <w:rPr>
                <w:sz w:val="20"/>
                <w:szCs w:val="20"/>
              </w:rPr>
              <w:t>ОКПД2 71.12.39.</w:t>
            </w:r>
            <w:r>
              <w:rPr>
                <w:sz w:val="20"/>
                <w:szCs w:val="20"/>
              </w:rPr>
              <w:t xml:space="preserve">119 </w:t>
            </w:r>
            <w:r>
              <w:rPr>
                <w:sz w:val="20"/>
                <w:szCs w:val="20"/>
              </w:rPr>
              <w:t>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bCs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  <w:t>дата, следующая за датой заключения договора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20"/>
              <w:ind w:hanging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 течение 2 (двух) месяцев с даты, следующей за датой заключения договора</w:t>
            </w:r>
          </w:p>
        </w:tc>
      </w:tr>
    </w:tbl>
    <w:p>
      <w:pPr>
        <w:sectPr>
          <w:headerReference w:type="default" r:id="rId3"/>
          <w:footerReference w:type="default" r:id="rId4"/>
          <w:type w:val="nextPage"/>
          <w:pgSz w:w="11906" w:h="16838"/>
          <w:pgMar w:left="1304" w:right="924" w:gutter="0" w:header="709" w:top="993" w:footer="709" w:bottom="766"/>
          <w:pgNumType w:fmt="decimal"/>
          <w:formProt w:val="false"/>
          <w:titlePg/>
          <w:textDirection w:val="lrTb"/>
          <w:docGrid w:type="default" w:linePitch="299" w:charSpace="0"/>
        </w:sectPr>
      </w:pPr>
    </w:p>
    <w:p>
      <w:pPr>
        <w:pStyle w:val="Heading4"/>
        <w:numPr>
          <w:ilvl w:val="1"/>
          <w:numId w:val="1"/>
        </w:numPr>
        <w:tabs>
          <w:tab w:val="clear" w:pos="708"/>
          <w:tab w:val="left" w:pos="0" w:leader="none"/>
        </w:tabs>
        <w:spacing w:before="120" w:after="60"/>
        <w:ind w:left="432" w:hanging="432"/>
        <w:rPr>
          <w:rFonts w:eastAsia="Calibri"/>
          <w:sz w:val="24"/>
          <w:szCs w:val="24"/>
        </w:rPr>
      </w:pPr>
      <w:bookmarkStart w:id="69" w:name="__RefHeading___Toc7269_2220088035"/>
      <w:bookmarkStart w:id="70" w:name="_Toc240302013"/>
      <w:bookmarkStart w:id="71" w:name="_Toc217484654"/>
      <w:bookmarkStart w:id="72" w:name="_Toc189641005"/>
      <w:bookmarkEnd w:id="69"/>
      <w:r>
        <w:rPr>
          <w:rFonts w:eastAsia="Calibri"/>
          <w:sz w:val="24"/>
          <w:szCs w:val="24"/>
        </w:rPr>
        <w:t xml:space="preserve">Требования к качеству </w:t>
      </w:r>
      <w:bookmarkEnd w:id="71"/>
      <w:bookmarkEnd w:id="72"/>
      <w:r>
        <w:rPr>
          <w:rFonts w:eastAsia="Calibri"/>
          <w:sz w:val="24"/>
          <w:szCs w:val="24"/>
        </w:rPr>
        <w:t>продукции</w:t>
      </w:r>
      <w:bookmarkEnd w:id="70"/>
    </w:p>
    <w:p>
      <w:pPr>
        <w:pStyle w:val="Heading1"/>
        <w:spacing w:before="240" w:after="60"/>
        <w:jc w:val="left"/>
        <w:rPr>
          <w:szCs w:val="24"/>
        </w:rPr>
      </w:pPr>
      <w:bookmarkStart w:id="73" w:name="__RefHeading___Toc7271_2220088035"/>
      <w:bookmarkStart w:id="74" w:name="_Toc240302014"/>
      <w:bookmarkStart w:id="75" w:name="_Toc217484655"/>
      <w:bookmarkStart w:id="76" w:name="_Toc189641006"/>
      <w:bookmarkEnd w:id="73"/>
      <w:r>
        <w:rPr>
          <w:rFonts w:eastAsia="Calibri"/>
          <w:szCs w:val="24"/>
        </w:rPr>
        <w:t xml:space="preserve">Таблица 4. Требования к качеству </w:t>
      </w:r>
      <w:bookmarkEnd w:id="75"/>
      <w:bookmarkEnd w:id="76"/>
      <w:r>
        <w:rPr>
          <w:rFonts w:eastAsia="Calibri"/>
          <w:szCs w:val="24"/>
        </w:rPr>
        <w:t>продукции</w:t>
      </w:r>
      <w:bookmarkEnd w:id="74"/>
    </w:p>
    <w:p>
      <w:pPr>
        <w:pStyle w:val="BodyText"/>
        <w:jc w:val="both"/>
        <w:rPr/>
      </w:pPr>
      <w:r>
        <w:rPr>
          <w:b/>
          <w:bCs/>
          <w:sz w:val="24"/>
          <w:szCs w:val="24"/>
          <w:lang w:eastAsia="ru-RU"/>
        </w:rPr>
        <w:t>Наименование работ/этапа работ (позиция №1 Таблицы 2):</w:t>
      </w:r>
      <w:r>
        <w:rPr>
          <w:sz w:val="24"/>
          <w:szCs w:val="24"/>
          <w:lang w:eastAsia="ru-RU"/>
        </w:rPr>
        <w:t xml:space="preserve"> </w:t>
      </w:r>
      <w:r>
        <w:rPr>
          <w:rFonts w:eastAsia="Calibri"/>
          <w:sz w:val="24"/>
          <w:szCs w:val="24"/>
          <w:lang w:val="ru-RU" w:eastAsia="en-US"/>
        </w:rPr>
        <w:t>ОКПД2 71.12.39.</w:t>
      </w:r>
      <w:r>
        <w:rPr>
          <w:rFonts w:eastAsia="Calibri"/>
          <w:sz w:val="24"/>
          <w:szCs w:val="24"/>
          <w:lang w:val="ru-RU" w:eastAsia="en-US"/>
        </w:rPr>
        <w:t>119</w:t>
      </w:r>
      <w:r>
        <w:rPr>
          <w:rFonts w:eastAsia="Calibri"/>
          <w:sz w:val="24"/>
          <w:szCs w:val="24"/>
          <w:lang w:val="ru-RU" w:eastAsia="en-US"/>
        </w:rPr>
        <w:t xml:space="preserve"> 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</w:p>
    <w:tbl>
      <w:tblPr>
        <w:tblStyle w:val="54"/>
        <w:tblW w:w="15131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12"/>
        <w:gridCol w:w="2436"/>
        <w:gridCol w:w="11683"/>
      </w:tblGrid>
      <w:tr>
        <w:trPr>
          <w:tblHeader w:val="true"/>
          <w:trHeight w:val="230" w:hRule="atLeast"/>
        </w:trPr>
        <w:tc>
          <w:tcPr>
            <w:tcW w:w="101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4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68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</w:tr>
      <w:tr>
        <w:trPr>
          <w:tblHeader w:val="true"/>
          <w:trHeight w:val="1014" w:hRule="atLeast"/>
        </w:trPr>
        <w:tc>
          <w:tcPr>
            <w:tcW w:w="101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4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8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0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4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16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101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60" w:after="6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141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выполнению работ</w:t>
            </w:r>
          </w:p>
        </w:tc>
      </w:tr>
      <w:tr>
        <w:trPr/>
        <w:tc>
          <w:tcPr>
            <w:tcW w:w="101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41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Общие требования  к выполнению работ</w:t>
            </w:r>
          </w:p>
        </w:tc>
      </w:tr>
      <w:tr>
        <w:trPr/>
        <w:tc>
          <w:tcPr>
            <w:tcW w:w="101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43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Состав работ</w:t>
            </w:r>
          </w:p>
        </w:tc>
        <w:tc>
          <w:tcPr>
            <w:tcW w:w="1168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lang w:eastAsia="ru-RU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- оценка и анализ пригодности материалов ранее выполненных инженерных изысканий (инженерно-геодезические и инженерно-гидрометеорологические изыскания) по объекту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«Строительство Арктической ТЭС в г. Певек», а также результатов натурного гидрологического обследования (фото/видеофиксация от истока до устья) и геодезических измерений (топографический план М 1:5000 от истока до устья) поверхностных водных объектов (ручьи Турмалиновый, Промежуточный) в качестве исходных данных предоставляемых Заказчиком;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lang w:eastAsia="ru-RU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- камеральная обработка 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результатов натурного гидрологического обследования и геодезических измерений для подготовки документации в целях включения поверхностных водных объектов (ручьи Турмалиновый, Промежуточный) в Государственный водный реестр;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со</w:t>
            </w:r>
            <w:r>
              <w:rPr>
                <w:rFonts w:eastAsia="Calibri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ставление документации пригодной для включения поверхностных водных объектов (ручьи Турмалиновый, Промежуточный) в Государственный водный реестр в соответствии с действующим законодательством РФ;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eastAsia="Calibri"/>
                <w:kern w:val="0"/>
                <w:highlight w:val="none"/>
                <w:shd w:fill="auto" w:val="clear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 подача заявления и документации о водных объектах (ручьи Турмалиновый, Промежуточный) в уполномоченный орган на принятия решения о включении в Государственный водный реестр в соответствии с действующим законодательством РФ;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eastAsia="Calibri"/>
                <w:bCs/>
                <w:sz w:val="20"/>
                <w:szCs w:val="20"/>
                <w:lang w:eastAsia="ru-RU"/>
              </w:rPr>
            </w:pPr>
            <w:r>
              <w:rPr>
                <w:rFonts w:eastAsia="Calibri"/>
                <w:bCs/>
                <w:kern w:val="0"/>
                <w:sz w:val="20"/>
                <w:szCs w:val="20"/>
                <w:lang w:val="ru-RU" w:eastAsia="ru-RU" w:bidi="ar-SA"/>
              </w:rPr>
              <w:t>- со</w:t>
            </w:r>
            <w:r>
              <w:rPr>
                <w:rFonts w:eastAsia="Calibri"/>
                <w:bCs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провождение документации для включения поверхностных водных объектов (ручьи Турмалиновый, Промежуточный) в уполномоченном органе на принятия решения о включении в Государственный водный реестр в соответствии с действующим законодательством РФ;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 получение выписки из Государственного водного реестра о вновь внесенных водных объектах (ручьи Турмалиновый, Промежуточный)</w:t>
            </w:r>
            <w:r>
              <w:rPr>
                <w:rFonts w:eastAsia="Times New Roman"/>
                <w:bCs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101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43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Исходные данные, передаваемые Заказчиком Подрядчику (после заключения договора)</w:t>
            </w:r>
          </w:p>
        </w:tc>
        <w:tc>
          <w:tcPr>
            <w:tcW w:w="1168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bidi="ar-SA"/>
              </w:rPr>
              <w:t xml:space="preserve">Технические отчеты по </w:t>
            </w:r>
            <w:r>
              <w:rPr>
                <w:rFonts w:eastAsia="Times New Roman"/>
                <w:bCs/>
                <w:kern w:val="0"/>
                <w:sz w:val="20"/>
                <w:szCs w:val="20"/>
                <w:lang w:val="ru-RU" w:bidi="ar-SA"/>
              </w:rPr>
              <w:t xml:space="preserve">инженерно-геодезическим и инженерно-гидрометеорологическим изысканиям по объекту </w:t>
            </w:r>
            <w:r>
              <w:rPr>
                <w:kern w:val="0"/>
                <w:sz w:val="20"/>
                <w:szCs w:val="20"/>
                <w:lang w:val="ru-RU" w:bidi="ar-SA"/>
              </w:rPr>
              <w:t>«Строительство Арктической ТЭС в г. Певек»</w:t>
            </w:r>
            <w:r>
              <w:rPr>
                <w:rFonts w:eastAsia="Times New Roman"/>
                <w:bCs/>
                <w:kern w:val="0"/>
                <w:sz w:val="20"/>
                <w:szCs w:val="20"/>
                <w:lang w:val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bidi="ar-SA"/>
              </w:rPr>
              <w:t>Топографический план М 1:5000 водных объектов от истока до устья;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bidi="ar-SA"/>
              </w:rPr>
              <w:t>Результаты натурного гидрологического обследования водных объектов (фото/видеофиксация от истока до устья)</w:t>
            </w:r>
          </w:p>
        </w:tc>
      </w:tr>
      <w:tr>
        <w:trPr/>
        <w:tc>
          <w:tcPr>
            <w:tcW w:w="101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43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Требования к патентоспособности</w:t>
            </w:r>
          </w:p>
        </w:tc>
        <w:tc>
          <w:tcPr>
            <w:tcW w:w="1168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Требование отсутствует</w:t>
            </w:r>
          </w:p>
        </w:tc>
      </w:tr>
      <w:tr>
        <w:trPr/>
        <w:tc>
          <w:tcPr>
            <w:tcW w:w="101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60" w:after="6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141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работ</w:t>
            </w:r>
          </w:p>
        </w:tc>
      </w:tr>
      <w:tr>
        <w:trPr/>
        <w:tc>
          <w:tcPr>
            <w:tcW w:w="101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60" w:after="60"/>
              <w:ind w:left="-117" w:firstLine="142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41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hanging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val="ru-RU" w:eastAsia="ru-RU" w:bidi="ar-SA"/>
              </w:rPr>
              <w:t>Общие требования к результатам работ</w:t>
            </w:r>
          </w:p>
        </w:tc>
      </w:tr>
      <w:tr>
        <w:trPr/>
        <w:tc>
          <w:tcPr>
            <w:tcW w:w="101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43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Требования к результату работ</w:t>
            </w:r>
          </w:p>
        </w:tc>
        <w:tc>
          <w:tcPr>
            <w:tcW w:w="1168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hanging="0"/>
              <w:contextualSpacing/>
              <w:rPr>
                <w:rFonts w:eastAsia="Times New Roman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Результатом является выполнение работ, предусмотренное пунктом 1.1.1 Таблицы 4 настоящих ТТ</w:t>
            </w:r>
          </w:p>
        </w:tc>
      </w:tr>
      <w:tr>
        <w:trPr/>
        <w:tc>
          <w:tcPr>
            <w:tcW w:w="101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43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Особые условия</w:t>
            </w:r>
          </w:p>
        </w:tc>
        <w:tc>
          <w:tcPr>
            <w:tcW w:w="1168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before="0" w:after="0"/>
              <w:ind w:hanging="0"/>
              <w:contextualSpacing/>
              <w:rPr>
                <w:lang w:eastAsia="ru-RU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Ожидаемый эффект от работы: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contextualSpacing/>
              <w:rPr>
                <w:lang w:eastAsia="ru-RU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документации пригодной для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 xml:space="preserve"> внесения сведений о поверхностных водных объектах (ручьи Турмалиновый, Промежуточны</w:t>
            </w:r>
            <w:r>
              <w:rPr>
                <w:rFonts w:eastAsia="Calibri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й) в Государственный водный реестр;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contextualSpacing/>
              <w:rPr>
                <w:kern w:val="0"/>
                <w:highlight w:val="none"/>
                <w:shd w:fill="auto" w:val="clear"/>
                <w:lang w:val="ru-RU" w:bidi="ar-SA"/>
              </w:rPr>
            </w:pPr>
            <w:r>
              <w:rPr>
                <w:rFonts w:eastAsia="Calibri"/>
                <w:bCs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Сопровождение документации для включения поверхностных водных объектов (ручьи Турмалиновый, Промежуточный) в уполномоченном органе на принятия решения о включении в Государственный водный реестр в соответствии с действующим законодательством РФ;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contextualSpacing/>
              <w:rPr>
                <w:rFonts w:eastAsia="Calibri"/>
                <w:kern w:val="0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Получение выписки из Государственного водного реестра о вновь внесенных водных объектах</w:t>
            </w:r>
          </w:p>
        </w:tc>
      </w:tr>
      <w:tr>
        <w:trPr/>
        <w:tc>
          <w:tcPr>
            <w:tcW w:w="101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2"/>
              </w:numPr>
              <w:suppressAutoHyphens w:val="true"/>
              <w:spacing w:lineRule="auto" w:line="240" w:before="60" w:after="60"/>
              <w:ind w:left="-117" w:firstLine="142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141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Style w:val="Style19"/>
                <w:rFonts w:eastAsia="Times New Roman"/>
                <w:b w:val="false"/>
                <w:bCs/>
                <w:i w:val="false"/>
                <w:i w:val="false"/>
                <w:sz w:val="20"/>
                <w:szCs w:val="20"/>
                <w:shd w:fill="auto" w:val="clear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порядку приемки результатов работ</w:t>
            </w:r>
          </w:p>
        </w:tc>
      </w:tr>
      <w:tr>
        <w:trPr/>
        <w:tc>
          <w:tcPr>
            <w:tcW w:w="101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43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Порядок приемки результатов работ</w:t>
            </w:r>
          </w:p>
        </w:tc>
        <w:tc>
          <w:tcPr>
            <w:tcW w:w="116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rFonts w:eastAsia="Times New Roman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Приемка выполненных работ осуществляется в следующем порядке: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rPr>
                <w:rFonts w:eastAsia="Times New Roman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- Подрядчик передает Заказчику подписанный со своей стороны акт сдачи-приемки выполненных работ (в 2 экз.) и результат выполненных работ, предусмотренный п. 2.1.1. Таблицы 4 настоящих ТТ</w:t>
            </w:r>
          </w:p>
        </w:tc>
      </w:tr>
      <w:tr>
        <w:trPr/>
        <w:tc>
          <w:tcPr>
            <w:tcW w:w="10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kern w:val="0"/>
                <w:sz w:val="20"/>
                <w:szCs w:val="20"/>
                <w:lang w:val="ru-RU" w:eastAsia="ru-RU" w:bidi="ar-SA"/>
              </w:rPr>
              <w:t>2.3.</w:t>
            </w:r>
          </w:p>
        </w:tc>
        <w:tc>
          <w:tcPr>
            <w:tcW w:w="1411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оформлению документации</w:t>
            </w:r>
          </w:p>
        </w:tc>
      </w:tr>
      <w:tr>
        <w:trPr/>
        <w:tc>
          <w:tcPr>
            <w:tcW w:w="10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2.3.1.</w:t>
            </w:r>
          </w:p>
        </w:tc>
        <w:tc>
          <w:tcPr>
            <w:tcW w:w="24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Оформление документации</w:t>
            </w:r>
          </w:p>
        </w:tc>
        <w:tc>
          <w:tcPr>
            <w:tcW w:w="116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hanging="0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Оформление документации в соответствии с требованиями действующих нормативных документов, регулирующие внесение сведений в Государственный водный реестр</w:t>
            </w:r>
          </w:p>
        </w:tc>
      </w:tr>
      <w:tr>
        <w:trPr/>
        <w:tc>
          <w:tcPr>
            <w:tcW w:w="10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2.3.2.</w:t>
            </w:r>
          </w:p>
        </w:tc>
        <w:tc>
          <w:tcPr>
            <w:tcW w:w="2436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Объем и состав материалов, передаваемых Подрядчиком Заказчику</w:t>
            </w:r>
          </w:p>
        </w:tc>
        <w:tc>
          <w:tcPr>
            <w:tcW w:w="116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851" w:leader="none"/>
              </w:tabs>
              <w:suppressAutoHyphens w:val="true"/>
              <w:spacing w:lineRule="auto" w:line="240" w:before="0" w:after="0"/>
              <w:ind w:firstLine="26"/>
              <w:contextualSpacing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kern w:val="0"/>
                <w:sz w:val="20"/>
                <w:szCs w:val="20"/>
                <w:lang w:val="ru-RU" w:eastAsia="ru-RU" w:bidi="ar-SA"/>
              </w:rPr>
              <w:t>Результаты работ передаются Заказчику в электронном виде в 1 экземпляре: редактируемая версия (рабочий формат – *.docx, *.xlsx, *.dwg) и версия в формате *.pdf с подписями и печатями.</w:t>
            </w:r>
          </w:p>
        </w:tc>
      </w:tr>
      <w:tr>
        <w:trPr/>
        <w:tc>
          <w:tcPr>
            <w:tcW w:w="101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60" w:after="60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141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40" w:after="0"/>
              <w:ind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</w:tr>
      <w:tr>
        <w:trPr/>
        <w:tc>
          <w:tcPr>
            <w:tcW w:w="1012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43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Работы должны быть выполнены в соответствии с требованиями действующих нормативных документов</w:t>
            </w:r>
          </w:p>
        </w:tc>
        <w:tc>
          <w:tcPr>
            <w:tcW w:w="1168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При выполнении работ используется законодательная и нормативно-методическая база РФ и субъектов, законов, постановлений Правительства РФ, Стандартов, а также НТД ПАО «РусГидро» и т.д. (в действующей редакции), в том числе, но не ограничиваясь: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6" w:leader="none"/>
              </w:tabs>
              <w:suppressAutoHyphens w:val="true"/>
              <w:spacing w:lineRule="auto" w:line="240" w:before="0" w:after="44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Водный кодекс Российской Федерации;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6" w:leader="none"/>
              </w:tabs>
              <w:suppressAutoHyphens w:val="true"/>
              <w:spacing w:lineRule="auto" w:line="240" w:before="0" w:after="44"/>
              <w:rPr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Приказ Министерства природных ресурсов и экологии Российской Федерации от 15.07.2025 г. № 395 «Об утверждении Правил внесения сведений в государственный водный реестр»;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6" w:leader="none"/>
              </w:tabs>
              <w:suppressAutoHyphens w:val="true"/>
              <w:spacing w:lineRule="auto" w:line="240" w:before="0" w:after="44"/>
              <w:rPr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Приказ Министерства природных ресурсов и экологии Российской Федерации от 14.10.2025 г. № 547 «</w:t>
            </w:r>
            <w:r>
              <w:rPr>
                <w:rFonts w:eastAsia="Calibri"/>
                <w:b/>
                <w:bCs/>
                <w:color w:val="444444"/>
                <w:kern w:val="0"/>
                <w:sz w:val="20"/>
                <w:szCs w:val="20"/>
                <w:lang w:val="ru-RU" w:eastAsia="ru-RU" w:bidi="ar-SA"/>
              </w:rPr>
              <w:t xml:space="preserve">Об </w:t>
            </w:r>
            <w:r>
              <w:rPr>
                <w:rFonts w:eastAsia="Calibri"/>
                <w:bCs/>
                <w:color w:val="444444"/>
                <w:kern w:val="0"/>
                <w:sz w:val="20"/>
                <w:szCs w:val="20"/>
                <w:lang w:val="ru-RU" w:eastAsia="ru-RU" w:bidi="ar-SA"/>
              </w:rPr>
              <w:t>утверждении </w:t>
            </w:r>
            <w:r>
              <w:rPr>
                <w:rFonts w:eastAsia="Calibri"/>
                <w:bCs/>
                <w:kern w:val="0"/>
                <w:sz w:val="20"/>
                <w:szCs w:val="20"/>
                <w:lang w:val="ru-RU" w:eastAsia="ru-RU" w:bidi="ar-SA"/>
              </w:rPr>
              <w:t>порядка представления</w:t>
            </w:r>
            <w:r>
              <w:rPr>
                <w:rFonts w:eastAsia="Calibri"/>
                <w:bCs/>
                <w:color w:val="444444"/>
                <w:kern w:val="0"/>
                <w:sz w:val="20"/>
                <w:szCs w:val="20"/>
                <w:lang w:val="ru-RU" w:eastAsia="ru-RU" w:bidi="ar-SA"/>
              </w:rPr>
              <w:t> и </w:t>
            </w:r>
            <w:r>
              <w:rPr>
                <w:rFonts w:eastAsia="Calibri"/>
                <w:bCs/>
                <w:kern w:val="0"/>
                <w:sz w:val="20"/>
                <w:szCs w:val="20"/>
                <w:lang w:val="ru-RU" w:eastAsia="ru-RU" w:bidi="ar-SA"/>
              </w:rPr>
              <w:t>состава сведений о поверхностных водных объектах и особенностях их водного режима, предоставляемых Федеральной службой по гидрометеорологии и мониторингу окружающей среды для внесения в государственный водный реестр</w:t>
            </w: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»;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76" w:leader="none"/>
              </w:tabs>
              <w:suppressAutoHyphens w:val="true"/>
              <w:spacing w:lineRule="auto" w:line="240" w:before="0" w:after="44"/>
              <w:rPr>
                <w:kern w:val="0"/>
                <w:lang w:val="ru-RU" w:bidi="ar-SA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Постановление Правительства от 28.04.2007 № 253 «</w:t>
            </w:r>
            <w:r>
              <w:rPr>
                <w:rFonts w:eastAsia="Calibri"/>
                <w:bCs/>
                <w:color w:val="22272F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О порядке ведения государственного водного реестра»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1012" w:type="dxa"/>
            <w:tcBorders/>
          </w:tcPr>
          <w:p>
            <w:pPr>
              <w:pStyle w:val="Normal"/>
              <w:widowControl w:val="false"/>
              <w:numPr>
                <w:ilvl w:val="2"/>
                <w:numId w:val="2"/>
              </w:numPr>
              <w:suppressAutoHyphens w:val="true"/>
              <w:spacing w:lineRule="auto" w:line="240" w:before="60" w:after="60"/>
              <w:ind w:left="1224" w:hanging="1199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243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Организация безопасного выполнения работ</w:t>
            </w:r>
          </w:p>
        </w:tc>
        <w:tc>
          <w:tcPr>
            <w:tcW w:w="11683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При выполнении работ Подрядчик должен: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- Соблюдать меры конфиденциальности по отношению к исходным данным предоставляемым Заказчиком, а также данным, полученным в результате выполнения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- Соблюдать Федеральный закон РФ от 27.07.2006 № 152-ФЗ «О персональных данных»;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ru-RU" w:eastAsia="ru-RU" w:bidi="ar-SA"/>
              </w:rPr>
              <w:t>- Соблюдать требования нормативных документов, изложенных в п. 3.1.1.</w:t>
            </w:r>
          </w:p>
        </w:tc>
      </w:tr>
      <w:tr>
        <w:trPr/>
        <w:tc>
          <w:tcPr>
            <w:tcW w:w="10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1411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ind w:hanging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</w:tr>
      <w:tr>
        <w:trPr/>
        <w:tc>
          <w:tcPr>
            <w:tcW w:w="10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4.1.1.</w:t>
            </w:r>
          </w:p>
        </w:tc>
        <w:tc>
          <w:tcPr>
            <w:tcW w:w="243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hanging="0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Требования к наличию лицензий</w:t>
            </w:r>
          </w:p>
        </w:tc>
        <w:tc>
          <w:tcPr>
            <w:tcW w:w="1168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0"/>
              <w:ind w:left="57" w:right="57" w:hanging="0"/>
              <w:rPr/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Подрядчик должен иметь </w:t>
            </w:r>
            <w:r>
              <w:rPr>
                <w:rStyle w:val="Strong"/>
                <w:rFonts w:eastAsia="Calibri"/>
                <w:b w:val="false"/>
                <w:bCs w:val="false"/>
                <w:kern w:val="0"/>
                <w:sz w:val="20"/>
                <w:szCs w:val="20"/>
                <w:lang w:val="ru-RU" w:eastAsia="ru-RU" w:bidi="ar-SA"/>
              </w:rPr>
              <w:t>действующую лицензию</w:t>
            </w: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 на следующий вид деятельности: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suppressAutoHyphens w:val="true"/>
              <w:spacing w:lineRule="auto" w:line="240" w:before="0" w:after="113"/>
              <w:ind w:left="57" w:right="57" w:hanging="0"/>
              <w:rPr>
                <w:sz w:val="20"/>
                <w:szCs w:val="20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ru-RU" w:bidi="ar-SA"/>
              </w:rPr>
              <w:t>- лицензия на осуществление деятельности в области гидрометеорологии и смежных с ней областях, выданную Федеральной службой по гидрометеорологии и мониторингу окружающей среды (Росгидромет).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142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eastAsia="ru-RU" w:bidi="ar-SA"/>
              </w:rPr>
              <w:t xml:space="preserve">Копия лицензии </w:t>
            </w:r>
            <w:r>
              <w:rPr>
                <w:rFonts w:eastAsia="Calibri" w:eastAsiaTheme="minorHAnsi"/>
                <w:kern w:val="0"/>
                <w:sz w:val="20"/>
                <w:szCs w:val="20"/>
                <w:lang w:val="ru-RU" w:eastAsia="en-US" w:bidi="ar-SA"/>
              </w:rPr>
              <w:t xml:space="preserve">(или выписку из реестра лицензий) </w:t>
            </w:r>
            <w:r>
              <w:rPr>
                <w:kern w:val="0"/>
                <w:sz w:val="20"/>
                <w:szCs w:val="20"/>
                <w:lang w:val="ru-RU" w:eastAsia="ru-RU" w:bidi="ar-SA"/>
              </w:rPr>
              <w:t>предоставляется Заказчику перед началом выполнения работ.</w:t>
            </w:r>
          </w:p>
        </w:tc>
      </w:tr>
    </w:tbl>
    <w:p>
      <w:pPr>
        <w:pStyle w:val="Heading1"/>
        <w:keepLines/>
        <w:numPr>
          <w:ilvl w:val="0"/>
          <w:numId w:val="0"/>
        </w:numPr>
        <w:spacing w:before="0" w:after="0"/>
        <w:ind w:left="0" w:right="0" w:hanging="0"/>
        <w:jc w:val="left"/>
        <w:rPr>
          <w:sz w:val="24"/>
          <w:szCs w:val="24"/>
        </w:rPr>
      </w:pPr>
      <w:r>
        <w:rPr/>
      </w:r>
    </w:p>
    <w:p>
      <w:pPr>
        <w:pStyle w:val="Heading1"/>
        <w:numPr>
          <w:ilvl w:val="0"/>
          <w:numId w:val="0"/>
        </w:numPr>
        <w:spacing w:before="0" w:after="0"/>
        <w:ind w:left="0" w:right="0" w:hanging="0"/>
        <w:jc w:val="left"/>
        <w:rPr>
          <w:sz w:val="24"/>
          <w:szCs w:val="24"/>
        </w:rPr>
      </w:pPr>
      <w:bookmarkStart w:id="77" w:name="__RefHeading___Toc12008_3645919304"/>
      <w:bookmarkEnd w:id="77"/>
      <w:r>
        <w:rPr>
          <w:sz w:val="24"/>
          <w:szCs w:val="24"/>
          <w:shd w:fill="auto" w:val="clear"/>
          <w:lang w:val="ru-RU"/>
        </w:rPr>
        <w:t xml:space="preserve">3. </w:t>
      </w:r>
      <w:bookmarkStart w:id="78" w:name="_Toc223008892"/>
      <w:r>
        <w:rPr>
          <w:sz w:val="24"/>
          <w:szCs w:val="24"/>
          <w:shd w:fill="auto" w:val="clear"/>
          <w:lang w:val="ru-RU"/>
        </w:rPr>
        <w:t>Состав заявки для мониторинга цен</w:t>
      </w:r>
      <w:bookmarkEnd w:id="78"/>
    </w:p>
    <w:p>
      <w:pPr>
        <w:pStyle w:val="Normal"/>
        <w:widowControl w:val="false"/>
        <w:numPr>
          <w:ilvl w:val="0"/>
        </w:numPr>
        <w:tabs>
          <w:tab w:val="clear" w:pos="708"/>
          <w:tab w:val="left" w:pos="426" w:leader="none"/>
          <w:tab w:val="left" w:pos="733" w:leader="none"/>
        </w:tabs>
        <w:suppressAutoHyphens w:val="true"/>
        <w:overflowPunct w:val="true"/>
        <w:bidi w:val="0"/>
        <w:spacing w:before="0" w:after="0"/>
        <w:ind w:left="0" w:right="0" w:hanging="0"/>
        <w:jc w:val="both"/>
        <w:rPr>
          <w:sz w:val="24"/>
          <w:szCs w:val="24"/>
        </w:rPr>
      </w:pPr>
      <w:bookmarkStart w:id="79" w:name="_Toc46743519_Копия_1"/>
      <w:bookmarkStart w:id="80" w:name="_Toc51339699_Копия_1"/>
      <w:bookmarkEnd w:id="79"/>
      <w:bookmarkEnd w:id="80"/>
      <w:r>
        <w:rPr>
          <w:iCs/>
          <w:sz w:val="24"/>
          <w:szCs w:val="24"/>
          <w:shd w:fill="auto" w:val="clear"/>
          <w:lang w:eastAsia="x-none"/>
        </w:rPr>
        <w:t xml:space="preserve">3.1. </w:t>
      </w:r>
      <w:r>
        <w:rPr>
          <w:iCs/>
          <w:sz w:val="24"/>
          <w:szCs w:val="24"/>
          <w:shd w:fill="auto" w:val="clear"/>
          <w:lang w:val="x-none" w:eastAsia="x-none"/>
        </w:rPr>
        <w:t xml:space="preserve">В составе </w:t>
      </w:r>
      <w:r>
        <w:rPr>
          <w:iCs/>
          <w:sz w:val="24"/>
          <w:szCs w:val="24"/>
          <w:shd w:fill="auto" w:val="clear"/>
          <w:lang w:eastAsia="x-none"/>
        </w:rPr>
        <w:t xml:space="preserve">заявки на </w:t>
      </w:r>
      <w:r>
        <w:rPr>
          <w:iCs/>
          <w:sz w:val="24"/>
          <w:szCs w:val="24"/>
          <w:shd w:fill="auto" w:val="clear"/>
          <w:lang w:val="x-none" w:eastAsia="x-none"/>
        </w:rPr>
        <w:t xml:space="preserve">мониторинг цен необходимо представить </w:t>
      </w:r>
      <w:r>
        <w:rPr>
          <w:iCs/>
          <w:sz w:val="24"/>
          <w:szCs w:val="24"/>
          <w:shd w:fill="auto" w:val="clear"/>
          <w:lang w:eastAsia="x-none"/>
        </w:rPr>
        <w:t>Технико-коммерческое предложение по форме приложения №1 к настоящим Техническим требованиям.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733" w:leader="none"/>
        </w:tabs>
        <w:suppressAutoHyphens w:val="true"/>
        <w:overflowPunct w:val="true"/>
        <w:bidi w:val="0"/>
        <w:spacing w:before="0" w:after="0"/>
        <w:ind w:left="0" w:right="0" w:hanging="0"/>
        <w:jc w:val="both"/>
        <w:rPr>
          <w:iCs/>
          <w:sz w:val="24"/>
          <w:szCs w:val="24"/>
          <w:shd w:fill="auto" w:val="clear"/>
          <w:lang w:eastAsia="x-none"/>
        </w:rPr>
      </w:pPr>
      <w:r>
        <w:rPr>
          <w:iCs/>
          <w:sz w:val="24"/>
          <w:szCs w:val="24"/>
          <w:shd w:fill="auto" w:val="clear"/>
          <w:lang w:eastAsia="x-none"/>
        </w:rPr>
      </w:r>
    </w:p>
    <w:p>
      <w:pPr>
        <w:pStyle w:val="Heading1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left="0" w:right="0" w:hanging="0"/>
        <w:jc w:val="left"/>
        <w:rPr>
          <w:sz w:val="24"/>
          <w:szCs w:val="24"/>
        </w:rPr>
      </w:pPr>
      <w:bookmarkStart w:id="81" w:name="__RefHeading___Toc9021_2986068082"/>
      <w:bookmarkEnd w:id="81"/>
      <w:r>
        <w:rPr>
          <w:sz w:val="24"/>
          <w:szCs w:val="24"/>
        </w:rPr>
        <w:t>4. Приложения</w:t>
      </w:r>
    </w:p>
    <w:p>
      <w:pPr>
        <w:pStyle w:val="Normal"/>
        <w:widowControl/>
        <w:tabs>
          <w:tab w:val="clear" w:pos="708"/>
          <w:tab w:val="left" w:pos="0" w:leader="none"/>
        </w:tabs>
        <w:suppressAutoHyphens w:val="true"/>
        <w:bidi w:val="0"/>
        <w:spacing w:lineRule="auto" w:line="276" w:before="0" w:after="0"/>
        <w:ind w:left="0" w:right="0" w:hanging="0"/>
        <w:jc w:val="both"/>
        <w:rPr>
          <w:b w:val="false"/>
          <w:bCs w:val="false"/>
        </w:rPr>
      </w:pPr>
      <w:r>
        <w:rPr>
          <w:rFonts w:eastAsia="Calibri"/>
          <w:b w:val="false"/>
          <w:bCs w:val="false"/>
          <w:sz w:val="24"/>
          <w:szCs w:val="24"/>
          <w:shd w:fill="auto" w:val="clear"/>
        </w:rPr>
        <w:t>Приложение №1: Форма «Технико-коммерческое предложение».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sectPr>
          <w:headerReference w:type="default" r:id="rId5"/>
          <w:headerReference w:type="first" r:id="rId6"/>
          <w:footerReference w:type="default" r:id="rId7"/>
          <w:footerReference w:type="first" r:id="rId8"/>
          <w:type w:val="nextPage"/>
          <w:pgSz w:orient="landscape" w:w="16838" w:h="11906"/>
          <w:pgMar w:left="1134" w:right="516" w:gutter="0" w:header="709" w:top="1304" w:footer="709" w:bottom="924"/>
          <w:pgNumType w:fmt="decimal"/>
          <w:formProt w:val="false"/>
          <w:textDirection w:val="lrTb"/>
          <w:docGrid w:type="default" w:linePitch="381" w:charSpace="0"/>
        </w:sectPr>
        <w:pStyle w:val="Normal"/>
        <w:jc w:val="center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ind w:left="6160" w:right="142" w:hanging="0"/>
        <w:jc w:val="right"/>
        <w:rPr>
          <w:b/>
          <w:bCs/>
        </w:rPr>
      </w:pPr>
      <w:r>
        <w:rPr>
          <w:b/>
          <w:bCs/>
          <w:sz w:val="24"/>
        </w:rPr>
        <w:t>Приложение №1 к ТТ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ind w:left="6160" w:right="142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ind w:left="6160" w:hanging="0"/>
        <w:jc w:val="right"/>
        <w:rPr>
          <w:sz w:val="24"/>
        </w:rPr>
      </w:pPr>
      <w:r>
        <w:rPr>
          <w:sz w:val="24"/>
        </w:rPr>
      </w:r>
    </w:p>
    <w:tbl>
      <w:tblPr>
        <w:tblW w:w="986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66"/>
      </w:tblGrid>
      <w:tr>
        <w:trPr/>
        <w:tc>
          <w:tcPr>
            <w:tcW w:w="9866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rPr/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812" w:leader="none"/>
        </w:tabs>
        <w:ind w:left="0" w:right="0" w:hanging="0"/>
        <w:jc w:val="center"/>
        <w:rPr/>
      </w:pPr>
      <w:r>
        <w:rPr>
          <w:i/>
          <w:sz w:val="24"/>
          <w:szCs w:val="24"/>
        </w:rPr>
        <w:t>На официальном бланке участника</w:t>
      </w:r>
    </w:p>
    <w:p>
      <w:pPr>
        <w:pStyle w:val="Normal"/>
        <w:numPr>
          <w:ilvl w:val="0"/>
          <w:numId w:val="0"/>
        </w:numPr>
        <w:suppressAutoHyphens w:val="true"/>
        <w:spacing w:before="0" w:after="240"/>
        <w:ind w:left="5038" w:hanging="0"/>
        <w:jc w:val="center"/>
        <w:rPr>
          <w:b/>
        </w:rPr>
      </w:pPr>
      <w:r>
        <w:rPr>
          <w:b/>
        </w:rPr>
      </w:r>
    </w:p>
    <w:tbl>
      <w:tblPr>
        <w:tblW w:w="30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1072"/>
        <w:gridCol w:w="1253"/>
      </w:tblGrid>
      <w:tr>
        <w:trPr/>
        <w:tc>
          <w:tcPr>
            <w:tcW w:w="174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ind w:left="0" w:right="0" w:hanging="0"/>
              <w:rPr/>
            </w:pPr>
            <w:r>
              <w:rPr>
                <w:sz w:val="24"/>
                <w:szCs w:val="24"/>
              </w:rPr>
              <w:t>Исходящий №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ind w:left="0" w:right="0" w:hanging="0"/>
              <w:rPr/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325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4" w:type="dxa"/>
            <w:tcBorders/>
            <w:shd w:color="auto"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</w:r>
          </w:p>
        </w:tc>
        <w:tc>
          <w:tcPr>
            <w:tcW w:w="232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ind w:left="0" w:right="0" w:hanging="0"/>
              <w:jc w:val="center"/>
              <w:rPr/>
            </w:pPr>
            <w:r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spacing w:before="0" w:after="240"/>
        <w:ind w:left="5038" w:hanging="0"/>
        <w:jc w:val="center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suppressAutoHyphens w:val="true"/>
        <w:spacing w:before="0" w:after="0"/>
        <w:ind w:left="0" w:right="0" w:hanging="0"/>
        <w:jc w:val="center"/>
        <w:rPr/>
      </w:pPr>
      <w:r>
        <w:rPr>
          <w:b/>
        </w:rPr>
        <w:t>Технико-коммерческое предложение</w:t>
      </w:r>
    </w:p>
    <w:p>
      <w:pPr>
        <w:pStyle w:val="Normal"/>
        <w:numPr>
          <w:ilvl w:val="0"/>
          <w:numId w:val="0"/>
        </w:numPr>
        <w:suppressAutoHyphens w:val="true"/>
        <w:spacing w:before="0" w:after="0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  <w:t>Изучив Технические требования Заказчика в рамках настоящего мониторинга</w:t>
      </w:r>
      <w:r>
        <w:rPr>
          <w:kern w:val="2"/>
          <w:sz w:val="24"/>
          <w:szCs w:val="24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kern w:val="2"/>
          <w:sz w:val="24"/>
          <w:szCs w:val="24"/>
          <w:lang w:eastAsia="ru-RU"/>
        </w:rPr>
        <w:t>«ОКПД2 71.12.39.</w:t>
      </w:r>
      <w:r>
        <w:rPr>
          <w:rFonts w:eastAsia="Times New Roman" w:cs="Times New Roman"/>
          <w:b w:val="false"/>
          <w:bCs w:val="false"/>
          <w:i w:val="false"/>
          <w:iCs w:val="false"/>
          <w:kern w:val="2"/>
          <w:sz w:val="24"/>
          <w:szCs w:val="24"/>
          <w:lang w:eastAsia="ru-RU"/>
        </w:rPr>
        <w:t>119</w:t>
      </w:r>
      <w:r>
        <w:rPr>
          <w:rFonts w:eastAsia="Times New Roman" w:cs="Times New Roman"/>
          <w:b w:val="false"/>
          <w:bCs w:val="false"/>
          <w:i w:val="false"/>
          <w:iCs w:val="false"/>
          <w:kern w:val="2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kern w:val="2"/>
          <w:sz w:val="24"/>
          <w:szCs w:val="24"/>
          <w:shd w:fill="auto" w:val="clear"/>
          <w:lang w:eastAsia="ru-RU"/>
        </w:rPr>
        <w:t>Подготовка документации для внесения сведений о водных объектах в Государственный водный реестр» по объекту «Строительство Арктической ТЭС в г. Певек»</w:t>
      </w:r>
      <w:r>
        <w:rPr>
          <w:rFonts w:eastAsia="Times New Roman" w:cs="Times New Roman"/>
          <w:b w:val="false"/>
          <w:bCs w:val="false"/>
          <w:kern w:val="2"/>
          <w:sz w:val="24"/>
          <w:szCs w:val="24"/>
          <w:lang w:eastAsia="ru-RU"/>
        </w:rPr>
        <w:t>,</w:t>
      </w:r>
    </w:p>
    <w:p>
      <w:pPr>
        <w:pStyle w:val="Normal"/>
        <w:numPr>
          <w:ilvl w:val="0"/>
          <w:numId w:val="0"/>
        </w:numPr>
        <w:suppressAutoHyphens w:val="true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ind w:lef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417"/>
        <w:gridCol w:w="260"/>
      </w:tblGrid>
      <w:tr>
        <w:trPr/>
        <w:tc>
          <w:tcPr>
            <w:tcW w:w="9417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rPr/>
            </w:pPr>
            <w:r>
              <w:rPr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9417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/>
            </w:pPr>
            <w:r>
              <w:rPr>
                <w:sz w:val="24"/>
                <w:szCs w:val="24"/>
              </w:rPr>
              <w:t>,</w:t>
            </w:r>
          </w:p>
        </w:tc>
      </w:tr>
      <w:tr>
        <w:trPr/>
        <w:tc>
          <w:tcPr>
            <w:tcW w:w="9417" w:type="dxa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rPr/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9417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jc w:val="both"/>
              <w:rPr/>
            </w:pPr>
            <w:r>
              <w:rPr/>
              <w:t>,</w:t>
            </w:r>
          </w:p>
        </w:tc>
      </w:tr>
      <w:tr>
        <w:trPr/>
        <w:tc>
          <w:tcPr>
            <w:tcW w:w="9417" w:type="dxa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center"/>
              <w:rPr/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9417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0" w:type="dxa"/>
            <w:tcBorders/>
          </w:tcPr>
          <w:p>
            <w:pPr>
              <w:pStyle w:val="Normal"/>
              <w:widowControl w:val="false"/>
              <w:ind w:left="0" w:right="0" w:hanging="0"/>
              <w:jc w:val="both"/>
              <w:rPr/>
            </w:pPr>
            <w:r>
              <w:rPr/>
              <w:t>,</w:t>
            </w:r>
          </w:p>
        </w:tc>
      </w:tr>
    </w:tbl>
    <w:p>
      <w:pPr>
        <w:pStyle w:val="Normal"/>
        <w:numPr>
          <w:ilvl w:val="0"/>
          <w:numId w:val="0"/>
        </w:numPr>
        <w:ind w:left="0" w:right="0" w:hanging="0"/>
        <w:jc w:val="center"/>
        <w:rPr/>
      </w:pPr>
      <w:r>
        <w:rPr>
          <w:sz w:val="24"/>
          <w:szCs w:val="24"/>
          <w:vertAlign w:val="superscript"/>
        </w:rPr>
        <w:t>(контактные данные номер телефона, e-mail, ФИО контактного лица)</w:t>
      </w:r>
    </w:p>
    <w:p>
      <w:pPr>
        <w:pStyle w:val="Normal"/>
        <w:numPr>
          <w:ilvl w:val="0"/>
          <w:numId w:val="0"/>
        </w:numPr>
        <w:suppressAutoHyphens w:val="true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ind w:left="0" w:right="0" w:hanging="0"/>
        <w:jc w:val="both"/>
        <w:rPr/>
      </w:pPr>
      <w:r>
        <w:rPr>
          <w:sz w:val="24"/>
          <w:szCs w:val="24"/>
        </w:rPr>
        <w:t xml:space="preserve">согласен </w:t>
      </w:r>
      <w:r>
        <w:rPr>
          <w:kern w:val="2"/>
          <w:sz w:val="24"/>
          <w:szCs w:val="24"/>
        </w:rPr>
        <w:t xml:space="preserve">со всеми условиями Технических требований, включая установленные (предложенные Заказчиком) сроки выполнения работ и условия оплаты, </w:t>
      </w:r>
      <w:r>
        <w:rPr>
          <w:sz w:val="24"/>
          <w:szCs w:val="24"/>
        </w:rPr>
        <w:t>и сообщаю следующее:</w:t>
      </w:r>
    </w:p>
    <w:p>
      <w:pPr>
        <w:pStyle w:val="Normal"/>
        <w:numPr>
          <w:ilvl w:val="0"/>
          <w:numId w:val="0"/>
        </w:numPr>
        <w:suppressAutoHyphens w:val="true"/>
        <w:ind w:left="0" w:hanging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af"/>
        <w:tblW w:w="986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681"/>
        <w:gridCol w:w="6184"/>
      </w:tblGrid>
      <w:tr>
        <w:trPr>
          <w:trHeight w:val="783" w:hRule="atLeast"/>
        </w:trPr>
        <w:tc>
          <w:tcPr>
            <w:tcW w:w="36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Стоимость работ, без НДС, руб.</w:t>
            </w:r>
          </w:p>
        </w:tc>
        <w:tc>
          <w:tcPr>
            <w:tcW w:w="6184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00 000 000,00 руб. (сумма прописью)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ind w:left="5038" w:hanging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spacing w:before="240" w:after="240"/>
        <w:ind w:left="0" w:hanging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spacing w:before="0" w:after="0"/>
        <w:ind w:left="5038" w:hanging="0"/>
        <w:contextualSpacing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</w:r>
    </w:p>
    <w:tbl>
      <w:tblPr>
        <w:tblStyle w:val="af"/>
        <w:tblW w:w="9866" w:type="dxa"/>
        <w:jc w:val="left"/>
        <w:tblInd w:w="113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3290"/>
        <w:gridCol w:w="3269"/>
        <w:gridCol w:w="3307"/>
      </w:tblGrid>
      <w:tr>
        <w:trPr/>
        <w:tc>
          <w:tcPr>
            <w:tcW w:w="329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720" w:hanging="0"/>
              <w:contextualSpacing/>
              <w:jc w:val="left"/>
              <w:rPr>
                <w:rFonts w:ascii="Times New Roman" w:hAnsi="Times New Roman"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  <w:t>должность</w:t>
            </w:r>
          </w:p>
        </w:tc>
        <w:tc>
          <w:tcPr>
            <w:tcW w:w="32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76" w:before="0" w:after="0"/>
              <w:ind w:left="170" w:right="0" w:hanging="0"/>
              <w:contextualSpacing/>
              <w:jc w:val="center"/>
              <w:rPr>
                <w:rFonts w:ascii="Times New Roman" w:hAnsi="Times New Roman"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  <w:t>подпись, печать</w:t>
            </w:r>
          </w:p>
        </w:tc>
        <w:tc>
          <w:tcPr>
            <w:tcW w:w="33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rPr>
                <w:rFonts w:ascii="Times New Roman" w:hAnsi="Times New Roman"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color w:val="666666" w:themeShade="bf"/>
                <w:kern w:val="0"/>
                <w:sz w:val="20"/>
                <w:szCs w:val="20"/>
                <w:lang w:val="ru-RU" w:eastAsia="en-US" w:bidi="ar-SA"/>
              </w:rPr>
              <w:t>(расшифровка подписи)</w:t>
            </w:r>
          </w:p>
        </w:tc>
      </w:tr>
    </w:tbl>
    <w:p>
      <w:pPr>
        <w:pStyle w:val="Normal"/>
        <w:numPr>
          <w:ilvl w:val="0"/>
          <w:numId w:val="0"/>
        </w:numPr>
        <w:suppressAutoHyphens w:val="true"/>
        <w:spacing w:before="0" w:after="0"/>
        <w:ind w:left="720" w:hanging="0"/>
        <w:contextualSpacing/>
        <w:jc w:val="center"/>
        <w:rPr>
          <w:color w:val="BFBFBF" w:themeColor="background1" w:themeShade="bf"/>
          <w:kern w:val="2"/>
          <w:sz w:val="20"/>
          <w:szCs w:val="20"/>
        </w:rPr>
      </w:pPr>
      <w:r>
        <w:rPr>
          <w:color w:val="BFBFBF" w:themeColor="background1" w:themeShade="bf"/>
          <w:kern w:val="2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ind w:left="720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78"/>
      </w:tblGrid>
      <w:tr>
        <w:trPr/>
        <w:tc>
          <w:tcPr>
            <w:tcW w:w="9678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-57" w:right="113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>
      <w:pPr>
        <w:pStyle w:val="Normal"/>
        <w:widowControl w:val="false"/>
        <w:numPr>
          <w:ilvl w:val="0"/>
        </w:numPr>
        <w:tabs>
          <w:tab w:val="clear" w:pos="708"/>
          <w:tab w:val="left" w:pos="426" w:leader="none"/>
        </w:tabs>
        <w:ind w:left="6160" w:hanging="0"/>
        <w:jc w:val="right"/>
        <w:rPr>
          <w:sz w:val="24"/>
        </w:rPr>
      </w:pPr>
      <w:r>
        <w:rPr>
          <w:sz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type w:val="nextPage"/>
      <w:pgSz w:w="11906" w:h="16838"/>
      <w:pgMar w:left="1304" w:right="924" w:gutter="0" w:header="709" w:top="851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Myriad Pro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8925403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333bd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b94aa9"/>
    <w:pPr>
      <w:keepNext w:val="true"/>
      <w:spacing w:lineRule="auto" w:line="240"/>
      <w:ind w:hanging="0"/>
      <w:jc w:val="center"/>
      <w:outlineLvl w:val="0"/>
    </w:pPr>
    <w:rPr>
      <w:rFonts w:eastAsia="Times New Roman"/>
      <w:b/>
      <w:sz w:val="24"/>
      <w:szCs w:val="20"/>
      <w:lang w:val="x-none" w:eastAsia="x-none"/>
    </w:rPr>
  </w:style>
  <w:style w:type="paragraph" w:styleId="Heading2">
    <w:name w:val="Heading 2"/>
    <w:basedOn w:val="Normal"/>
    <w:next w:val="Normal"/>
    <w:link w:val="2"/>
    <w:uiPriority w:val="9"/>
    <w:qFormat/>
    <w:rsid w:val="00b94aa9"/>
    <w:pPr>
      <w:keepNext w:val="true"/>
      <w:spacing w:lineRule="auto" w:line="240" w:before="240" w:after="60"/>
      <w:ind w:hanging="0"/>
      <w:jc w:val="left"/>
      <w:outlineLvl w:val="1"/>
    </w:pPr>
    <w:rPr>
      <w:rFonts w:ascii="Arial" w:hAnsi="Arial" w:eastAsia="Times New Roman"/>
      <w:b/>
      <w:bCs/>
      <w:i/>
      <w:iCs/>
      <w:lang w:val="x-none" w:eastAsia="x-none"/>
    </w:rPr>
  </w:style>
  <w:style w:type="paragraph" w:styleId="Heading3">
    <w:name w:val="Heading 3"/>
    <w:basedOn w:val="Normal"/>
    <w:next w:val="Normal"/>
    <w:link w:val="3"/>
    <w:qFormat/>
    <w:rsid w:val="00b94aa9"/>
    <w:pPr>
      <w:keepNext w:val="true"/>
      <w:spacing w:lineRule="auto" w:line="240" w:before="240" w:after="60"/>
      <w:ind w:hanging="0"/>
      <w:jc w:val="left"/>
      <w:outlineLvl w:val="2"/>
    </w:pPr>
    <w:rPr>
      <w:rFonts w:ascii="Arial" w:hAnsi="Arial" w:eastAsia="Times New Roman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4"/>
    <w:qFormat/>
    <w:rsid w:val="00b94aa9"/>
    <w:pPr>
      <w:keepNext w:val="true"/>
      <w:spacing w:lineRule="auto" w:line="240" w:before="240" w:after="60"/>
      <w:ind w:hanging="0"/>
      <w:jc w:val="left"/>
      <w:outlineLvl w:val="3"/>
    </w:pPr>
    <w:rPr>
      <w:rFonts w:eastAsia="Times New Roman"/>
      <w:b/>
      <w:bCs/>
      <w:lang w:val="x-none" w:eastAsia="x-none"/>
    </w:rPr>
  </w:style>
  <w:style w:type="paragraph" w:styleId="Heading5">
    <w:name w:val="Heading 5"/>
    <w:basedOn w:val="Normal"/>
    <w:next w:val="Normal"/>
    <w:link w:val="5"/>
    <w:uiPriority w:val="9"/>
    <w:qFormat/>
    <w:rsid w:val="00b94aa9"/>
    <w:pPr>
      <w:spacing w:lineRule="auto" w:line="240" w:before="240" w:after="60"/>
      <w:ind w:hanging="0"/>
      <w:jc w:val="left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b94aa9"/>
    <w:pPr>
      <w:keepNext w:val="true"/>
      <w:keepLines/>
      <w:spacing w:lineRule="auto" w:line="240" w:before="200" w:after="0"/>
      <w:ind w:hanging="0"/>
      <w:jc w:val="left"/>
      <w:outlineLvl w:val="5"/>
    </w:pPr>
    <w:rPr>
      <w:rFonts w:ascii="Cambria" w:hAnsi="Cambria" w:eastAsia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b94aa9"/>
    <w:pPr>
      <w:keepNext w:val="true"/>
      <w:keepLines/>
      <w:spacing w:lineRule="auto" w:line="240" w:before="200" w:after="0"/>
      <w:ind w:hanging="0"/>
      <w:jc w:val="left"/>
      <w:outlineLvl w:val="6"/>
    </w:pPr>
    <w:rPr>
      <w:rFonts w:ascii="Cambria" w:hAnsi="Cambria" w:eastAsia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b94aa9"/>
    <w:pPr>
      <w:keepNext w:val="true"/>
      <w:keepLines/>
      <w:spacing w:lineRule="auto" w:line="240" w:before="200" w:after="0"/>
      <w:ind w:hanging="0"/>
      <w:jc w:val="left"/>
      <w:outlineLvl w:val="7"/>
    </w:pPr>
    <w:rPr>
      <w:rFonts w:ascii="Cambria" w:hAnsi="Cambria" w:eastAsia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b94aa9"/>
    <w:pPr>
      <w:spacing w:lineRule="auto" w:line="240" w:before="240" w:after="60"/>
      <w:ind w:hanging="0"/>
      <w:jc w:val="left"/>
      <w:outlineLvl w:val="8"/>
    </w:pPr>
    <w:rPr>
      <w:rFonts w:ascii="Arial" w:hAnsi="Arial" w:eastAsia="Times New Roman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Текст сноски Знак"/>
    <w:basedOn w:val="DefaultParagraphFont"/>
    <w:uiPriority w:val="99"/>
    <w:qFormat/>
    <w:rsid w:val="00b333bd"/>
    <w:rPr>
      <w:rFonts w:ascii="Times New Roman" w:hAnsi="Times New Roman" w:cs="Times New Roman"/>
      <w:sz w:val="20"/>
      <w:szCs w:val="20"/>
    </w:rPr>
  </w:style>
  <w:style w:type="character" w:styleId="Style1" w:customStyle="1">
    <w:name w:val="Символ сноски"/>
    <w:uiPriority w:val="99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" w:customStyle="1">
    <w:name w:val="Текст выноски Знак"/>
    <w:basedOn w:val="DefaultParagraphFont"/>
    <w:link w:val="BalloonText"/>
    <w:qFormat/>
    <w:rsid w:val="0090416f"/>
    <w:rPr>
      <w:rFonts w:ascii="Segoe UI" w:hAnsi="Segoe UI" w:cs="Segoe UI"/>
      <w:sz w:val="18"/>
      <w:szCs w:val="18"/>
    </w:rPr>
  </w:style>
  <w:style w:type="character" w:styleId="1" w:customStyle="1">
    <w:name w:val="Заголовок 1 Знак"/>
    <w:basedOn w:val="DefaultParagraphFont"/>
    <w:qFormat/>
    <w:rsid w:val="00b94aa9"/>
    <w:rPr>
      <w:rFonts w:ascii="Times New Roman" w:hAnsi="Times New Roman" w:eastAsia="Times New Roman" w:cs="Times New Roman"/>
      <w:b/>
      <w:sz w:val="24"/>
      <w:szCs w:val="20"/>
      <w:lang w:val="x-none" w:eastAsia="x-none"/>
    </w:rPr>
  </w:style>
  <w:style w:type="character" w:styleId="2" w:customStyle="1">
    <w:name w:val="Заголовок 2 Знак"/>
    <w:basedOn w:val="DefaultParagraphFont"/>
    <w:uiPriority w:val="9"/>
    <w:qFormat/>
    <w:rsid w:val="00b94aa9"/>
    <w:rPr>
      <w:rFonts w:ascii="Arial" w:hAnsi="Arial" w:eastAsia="Times New Roman" w:cs="Times New Roman"/>
      <w:b/>
      <w:bCs/>
      <w:i/>
      <w:iCs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b94aa9"/>
    <w:rPr>
      <w:rFonts w:ascii="Arial" w:hAnsi="Arial" w:eastAsia="Times New Roman" w:cs="Times New Roman"/>
      <w:b/>
      <w:bCs/>
      <w:sz w:val="26"/>
      <w:szCs w:val="26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b94aa9"/>
    <w:rPr>
      <w:rFonts w:ascii="Times New Roman" w:hAnsi="Times New Roman" w:eastAsia="Times New Roman" w:cs="Times New Roman"/>
      <w:b/>
      <w:bCs/>
      <w:sz w:val="28"/>
      <w:szCs w:val="28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b94aa9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b94aa9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b94aa9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b94aa9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b94aa9"/>
    <w:rPr>
      <w:rFonts w:ascii="Arial" w:hAnsi="Arial" w:eastAsia="Times New Roman" w:cs="Times New Roman"/>
      <w:lang w:val="x-none" w:eastAsia="x-none"/>
    </w:rPr>
  </w:style>
  <w:style w:type="character" w:styleId="Style3" w:customStyle="1">
    <w:name w:val="Верхний колонтитул Знак"/>
    <w:basedOn w:val="DefaultParagraphFont"/>
    <w:qFormat/>
    <w:rsid w:val="00b94aa9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4" w:customStyle="1">
    <w:name w:val="Основной текст с отступом Знак"/>
    <w:basedOn w:val="DefaultParagraphFont"/>
    <w:qFormat/>
    <w:rsid w:val="00b94aa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b94aa9"/>
    <w:rPr>
      <w:rFonts w:ascii="Times New Roman" w:hAnsi="Times New Roman" w:eastAsia="Times New Roman" w:cs="Times New Roman"/>
      <w:sz w:val="28"/>
      <w:szCs w:val="28"/>
      <w:lang w:val="x-none" w:eastAsia="x-none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b94aa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b94aa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b94aa9"/>
    <w:rPr/>
  </w:style>
  <w:style w:type="character" w:styleId="Hyperlink">
    <w:name w:val="Hyperlink"/>
    <w:uiPriority w:val="99"/>
    <w:rsid w:val="00b94aa9"/>
    <w:rPr>
      <w:color w:val="0000FF"/>
      <w:u w:val="single"/>
    </w:rPr>
  </w:style>
  <w:style w:type="character" w:styleId="Annotationreference">
    <w:name w:val="annotation reference"/>
    <w:uiPriority w:val="99"/>
    <w:qFormat/>
    <w:rsid w:val="00b94aa9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qFormat/>
    <w:rsid w:val="00b94a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qFormat/>
    <w:rsid w:val="00b94aa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uiPriority w:val="22"/>
    <w:qFormat/>
    <w:rsid w:val="00b94aa9"/>
    <w:rPr>
      <w:b/>
      <w:bCs/>
    </w:rPr>
  </w:style>
  <w:style w:type="character" w:styleId="Style9" w:customStyle="1">
    <w:name w:val="Название Знак"/>
    <w:uiPriority w:val="10"/>
    <w:qFormat/>
    <w:rsid w:val="00b94aa9"/>
    <w:rPr>
      <w:sz w:val="28"/>
    </w:rPr>
  </w:style>
  <w:style w:type="character" w:styleId="Style10" w:customStyle="1">
    <w:name w:val="Подзаголовок Знак"/>
    <w:basedOn w:val="DefaultParagraphFont"/>
    <w:uiPriority w:val="11"/>
    <w:qFormat/>
    <w:rsid w:val="00b94aa9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b94aa9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b94aa9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b94aa9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b94aa9"/>
    <w:rPr>
      <w:i/>
      <w:iCs/>
      <w:color w:val="808080"/>
    </w:rPr>
  </w:style>
  <w:style w:type="character" w:styleId="IntenseEmphasis">
    <w:name w:val="Intense Emphasis"/>
    <w:uiPriority w:val="21"/>
    <w:qFormat/>
    <w:rsid w:val="00b94aa9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b94aa9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b94aa9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b94aa9"/>
    <w:rPr>
      <w:b/>
      <w:bCs/>
      <w:smallCaps/>
      <w:spacing w:val="5"/>
    </w:rPr>
  </w:style>
  <w:style w:type="character" w:styleId="Style12" w:customStyle="1">
    <w:name w:val="Электронная подпись Знак"/>
    <w:basedOn w:val="DefaultParagraphFont"/>
    <w:link w:val="E-mailSignature"/>
    <w:uiPriority w:val="99"/>
    <w:qFormat/>
    <w:rsid w:val="00b94aa9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9"/>
    <w:qFormat/>
    <w:locked/>
    <w:rsid w:val="00b94aa9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3" w:customStyle="1">
    <w:name w:val="Текст концевой сноски Знак"/>
    <w:basedOn w:val="DefaultParagraphFont"/>
    <w:qFormat/>
    <w:rsid w:val="00b94a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Символ концевой сноски"/>
    <w:qFormat/>
    <w:rsid w:val="00b94aa9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111" w:customStyle="1">
    <w:name w:val="111 Знак"/>
    <w:qFormat/>
    <w:rsid w:val="00b94aa9"/>
    <w:rPr>
      <w:rFonts w:ascii="Arial" w:hAnsi="Arial" w:eastAsia="Times New Roman" w:cs="Times New Roman"/>
      <w:iCs/>
      <w:szCs w:val="32"/>
      <w:lang w:val="x-none" w:eastAsia="x-none"/>
    </w:rPr>
  </w:style>
  <w:style w:type="character" w:styleId="FollowedHyperlink">
    <w:name w:val="FollowedHyperlink"/>
    <w:uiPriority w:val="99"/>
    <w:unhideWhenUsed/>
    <w:rsid w:val="00b94aa9"/>
    <w:rPr>
      <w:color w:val="800080"/>
      <w:u w:val="single"/>
    </w:rPr>
  </w:style>
  <w:style w:type="character" w:styleId="Style15" w:customStyle="1">
    <w:name w:val="Схема документа Знак"/>
    <w:basedOn w:val="DefaultParagraphFont"/>
    <w:link w:val="DocumentMap"/>
    <w:uiPriority w:val="99"/>
    <w:qFormat/>
    <w:rsid w:val="00b94aa9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Заголовок Знак"/>
    <w:basedOn w:val="DefaultParagraphFont"/>
    <w:qFormat/>
    <w:rsid w:val="00b94aa9"/>
    <w:rPr>
      <w:rFonts w:ascii="Arial" w:hAnsi="Arial" w:eastAsia="DejaVu Sans" w:cs="Lohit Hindi"/>
      <w:sz w:val="28"/>
      <w:szCs w:val="28"/>
      <w:lang w:eastAsia="zh-CN"/>
    </w:rPr>
  </w:style>
  <w:style w:type="character" w:styleId="WW8Num2z0" w:customStyle="1">
    <w:name w:val="WW8Num2z0"/>
    <w:qFormat/>
    <w:rsid w:val="00b94aa9"/>
    <w:rPr>
      <w:rFonts w:ascii="Times New Roman" w:hAnsi="Times New Roman" w:cs="Times New Roman"/>
    </w:rPr>
  </w:style>
  <w:style w:type="character" w:styleId="WW8Num4z0" w:customStyle="1">
    <w:name w:val="WW8Num4z0"/>
    <w:qFormat/>
    <w:rsid w:val="00b94aa9"/>
    <w:rPr>
      <w:rFonts w:ascii="Symbol" w:hAnsi="Symbol" w:cs="Symbol"/>
    </w:rPr>
  </w:style>
  <w:style w:type="character" w:styleId="WW8Num7z0" w:customStyle="1">
    <w:name w:val="WW8Num7z0"/>
    <w:qFormat/>
    <w:rsid w:val="00b94aa9"/>
    <w:rPr>
      <w:rFonts w:ascii="Wingdings" w:hAnsi="Wingdings" w:cs="Wingdings"/>
    </w:rPr>
  </w:style>
  <w:style w:type="character" w:styleId="WW8Num7z1" w:customStyle="1">
    <w:name w:val="WW8Num7z1"/>
    <w:qFormat/>
    <w:rsid w:val="00b94aa9"/>
    <w:rPr>
      <w:rFonts w:ascii="Courier New" w:hAnsi="Courier New" w:cs="Courier New"/>
    </w:rPr>
  </w:style>
  <w:style w:type="character" w:styleId="WW8Num7z2" w:customStyle="1">
    <w:name w:val="WW8Num7z2"/>
    <w:qFormat/>
    <w:rsid w:val="00b94aa9"/>
    <w:rPr>
      <w:rFonts w:ascii="Wingdings" w:hAnsi="Wingdings" w:cs="Wingdings"/>
    </w:rPr>
  </w:style>
  <w:style w:type="character" w:styleId="Absatz-Standardschriftart" w:customStyle="1">
    <w:name w:val="Absatz-Standardschriftart"/>
    <w:qFormat/>
    <w:rsid w:val="00b94aa9"/>
    <w:rPr/>
  </w:style>
  <w:style w:type="character" w:styleId="WW8Num5z0" w:customStyle="1">
    <w:name w:val="WW8Num5z0"/>
    <w:qFormat/>
    <w:rsid w:val="00b94aa9"/>
    <w:rPr>
      <w:rFonts w:ascii="Symbol" w:hAnsi="Symbol" w:cs="Symbol"/>
    </w:rPr>
  </w:style>
  <w:style w:type="character" w:styleId="WW8Num15z0" w:customStyle="1">
    <w:name w:val="WW8Num15z0"/>
    <w:qFormat/>
    <w:rsid w:val="00b94aa9"/>
    <w:rPr>
      <w:rFonts w:ascii="Symbol" w:hAnsi="Symbol" w:cs="Symbol"/>
    </w:rPr>
  </w:style>
  <w:style w:type="character" w:styleId="WW8Num15z1" w:customStyle="1">
    <w:name w:val="WW8Num15z1"/>
    <w:qFormat/>
    <w:rsid w:val="00b94aa9"/>
    <w:rPr>
      <w:rFonts w:ascii="Courier New" w:hAnsi="Courier New" w:cs="Courier New"/>
    </w:rPr>
  </w:style>
  <w:style w:type="character" w:styleId="WW8Num15z2" w:customStyle="1">
    <w:name w:val="WW8Num15z2"/>
    <w:qFormat/>
    <w:rsid w:val="00b94aa9"/>
    <w:rPr>
      <w:rFonts w:ascii="Wingdings" w:hAnsi="Wingdings" w:cs="Wingdings"/>
    </w:rPr>
  </w:style>
  <w:style w:type="character" w:styleId="WW8Num18z0" w:customStyle="1">
    <w:name w:val="WW8Num18z0"/>
    <w:qFormat/>
    <w:rsid w:val="00b94aa9"/>
    <w:rPr>
      <w:rFonts w:ascii="Wingdings" w:hAnsi="Wingdings" w:cs="Wingdings"/>
    </w:rPr>
  </w:style>
  <w:style w:type="character" w:styleId="WW8Num18z1" w:customStyle="1">
    <w:name w:val="WW8Num18z1"/>
    <w:qFormat/>
    <w:rsid w:val="00b94aa9"/>
    <w:rPr>
      <w:rFonts w:ascii="Times New Roman" w:hAnsi="Times New Roman" w:cs="Times New Roman"/>
    </w:rPr>
  </w:style>
  <w:style w:type="character" w:styleId="WW8Num18z2" w:customStyle="1">
    <w:name w:val="WW8Num18z2"/>
    <w:qFormat/>
    <w:rsid w:val="00b94aa9"/>
    <w:rPr>
      <w:rFonts w:ascii="Wingdings" w:hAnsi="Wingdings" w:cs="Wingdings"/>
    </w:rPr>
  </w:style>
  <w:style w:type="character" w:styleId="41" w:customStyle="1">
    <w:name w:val="Основной шрифт абзаца4"/>
    <w:qFormat/>
    <w:rsid w:val="00b94aa9"/>
    <w:rPr/>
  </w:style>
  <w:style w:type="character" w:styleId="WW-Absatz-Standardschriftart" w:customStyle="1">
    <w:name w:val="WW-Absatz-Standardschriftart"/>
    <w:qFormat/>
    <w:rsid w:val="00b94aa9"/>
    <w:rPr/>
  </w:style>
  <w:style w:type="character" w:styleId="33" w:customStyle="1">
    <w:name w:val="Основной шрифт абзаца3"/>
    <w:qFormat/>
    <w:rsid w:val="00b94aa9"/>
    <w:rPr/>
  </w:style>
  <w:style w:type="character" w:styleId="WW-Absatz-Standardschriftart1" w:customStyle="1">
    <w:name w:val="WW-Absatz-Standardschriftart1"/>
    <w:qFormat/>
    <w:rsid w:val="00b94aa9"/>
    <w:rPr/>
  </w:style>
  <w:style w:type="character" w:styleId="24" w:customStyle="1">
    <w:name w:val="Основной шрифт абзаца2"/>
    <w:qFormat/>
    <w:rsid w:val="00b94aa9"/>
    <w:rPr/>
  </w:style>
  <w:style w:type="character" w:styleId="WW-Absatz-Standardschriftart11" w:customStyle="1">
    <w:name w:val="WW-Absatz-Standardschriftart11"/>
    <w:qFormat/>
    <w:rsid w:val="00b94aa9"/>
    <w:rPr/>
  </w:style>
  <w:style w:type="character" w:styleId="WW-Absatz-Standardschriftart111" w:customStyle="1">
    <w:name w:val="WW-Absatz-Standardschriftart111"/>
    <w:qFormat/>
    <w:rsid w:val="00b94aa9"/>
    <w:rPr/>
  </w:style>
  <w:style w:type="character" w:styleId="WW-Absatz-Standardschriftart1111" w:customStyle="1">
    <w:name w:val="WW-Absatz-Standardschriftart1111"/>
    <w:qFormat/>
    <w:rsid w:val="00b94aa9"/>
    <w:rPr/>
  </w:style>
  <w:style w:type="character" w:styleId="WW-Absatz-Standardschriftart11111" w:customStyle="1">
    <w:name w:val="WW-Absatz-Standardschriftart11111"/>
    <w:qFormat/>
    <w:rsid w:val="00b94aa9"/>
    <w:rPr/>
  </w:style>
  <w:style w:type="character" w:styleId="WW8Num6z0" w:customStyle="1">
    <w:name w:val="WW8Num6z0"/>
    <w:qFormat/>
    <w:rsid w:val="00b94aa9"/>
    <w:rPr>
      <w:rFonts w:ascii="Symbol" w:hAnsi="Symbol" w:cs="Symbol"/>
    </w:rPr>
  </w:style>
  <w:style w:type="character" w:styleId="WW-Absatz-Standardschriftart111111" w:customStyle="1">
    <w:name w:val="WW-Absatz-Standardschriftart111111"/>
    <w:qFormat/>
    <w:rsid w:val="00b94aa9"/>
    <w:rPr/>
  </w:style>
  <w:style w:type="character" w:styleId="WW8Num1z0" w:customStyle="1">
    <w:name w:val="WW8Num1z0"/>
    <w:qFormat/>
    <w:rsid w:val="00b94aa9"/>
    <w:rPr>
      <w:rFonts w:ascii="Symbol" w:hAnsi="Symbol" w:cs="Symbol"/>
    </w:rPr>
  </w:style>
  <w:style w:type="character" w:styleId="WW8Num1z1" w:customStyle="1">
    <w:name w:val="WW8Num1z1"/>
    <w:qFormat/>
    <w:rsid w:val="00b94aa9"/>
    <w:rPr>
      <w:rFonts w:ascii="Courier New" w:hAnsi="Courier New" w:cs="Courier New"/>
    </w:rPr>
  </w:style>
  <w:style w:type="character" w:styleId="WW8Num1z2" w:customStyle="1">
    <w:name w:val="WW8Num1z2"/>
    <w:qFormat/>
    <w:rsid w:val="00b94aa9"/>
    <w:rPr>
      <w:rFonts w:ascii="Wingdings" w:hAnsi="Wingdings" w:cs="Wingdings"/>
    </w:rPr>
  </w:style>
  <w:style w:type="character" w:styleId="WW8Num3z0" w:customStyle="1">
    <w:name w:val="WW8Num3z0"/>
    <w:qFormat/>
    <w:rsid w:val="00b94aa9"/>
    <w:rPr>
      <w:rFonts w:ascii="Wingdings" w:hAnsi="Wingdings" w:cs="Wingdings"/>
    </w:rPr>
  </w:style>
  <w:style w:type="character" w:styleId="WW8Num3z1" w:customStyle="1">
    <w:name w:val="WW8Num3z1"/>
    <w:qFormat/>
    <w:rsid w:val="00b94aa9"/>
    <w:rPr>
      <w:rFonts w:ascii="Times New Roman" w:hAnsi="Times New Roman" w:cs="Times New Roman"/>
    </w:rPr>
  </w:style>
  <w:style w:type="character" w:styleId="WW8Num3z3" w:customStyle="1">
    <w:name w:val="WW8Num3z3"/>
    <w:qFormat/>
    <w:rsid w:val="00b94aa9"/>
    <w:rPr>
      <w:rFonts w:ascii="Symbol" w:hAnsi="Symbol" w:cs="Symbol"/>
    </w:rPr>
  </w:style>
  <w:style w:type="character" w:styleId="WW8Num3z4" w:customStyle="1">
    <w:name w:val="WW8Num3z4"/>
    <w:qFormat/>
    <w:rsid w:val="00b94aa9"/>
    <w:rPr>
      <w:rFonts w:ascii="Courier New" w:hAnsi="Courier New" w:cs="Courier New"/>
    </w:rPr>
  </w:style>
  <w:style w:type="character" w:styleId="WW8Num4z1" w:customStyle="1">
    <w:name w:val="WW8Num4z1"/>
    <w:qFormat/>
    <w:rsid w:val="00b94aa9"/>
    <w:rPr>
      <w:rFonts w:ascii="Courier New" w:hAnsi="Courier New" w:cs="Courier New"/>
    </w:rPr>
  </w:style>
  <w:style w:type="character" w:styleId="WW8Num4z2" w:customStyle="1">
    <w:name w:val="WW8Num4z2"/>
    <w:qFormat/>
    <w:rsid w:val="00b94aa9"/>
    <w:rPr>
      <w:rFonts w:ascii="Wingdings" w:hAnsi="Wingdings" w:cs="Wingdings"/>
    </w:rPr>
  </w:style>
  <w:style w:type="character" w:styleId="WW8Num5z1" w:customStyle="1">
    <w:name w:val="WW8Num5z1"/>
    <w:qFormat/>
    <w:rsid w:val="00b94aa9"/>
    <w:rPr>
      <w:rFonts w:ascii="Courier New" w:hAnsi="Courier New" w:cs="Courier New"/>
    </w:rPr>
  </w:style>
  <w:style w:type="character" w:styleId="WW8Num5z2" w:customStyle="1">
    <w:name w:val="WW8Num5z2"/>
    <w:qFormat/>
    <w:rsid w:val="00b94aa9"/>
    <w:rPr>
      <w:rFonts w:ascii="Wingdings" w:hAnsi="Wingdings" w:cs="Wingdings"/>
    </w:rPr>
  </w:style>
  <w:style w:type="character" w:styleId="WW8Num5z3" w:customStyle="1">
    <w:name w:val="WW8Num5z3"/>
    <w:qFormat/>
    <w:rsid w:val="00b94aa9"/>
    <w:rPr>
      <w:rFonts w:ascii="Symbol" w:hAnsi="Symbol" w:cs="Symbol"/>
    </w:rPr>
  </w:style>
  <w:style w:type="character" w:styleId="WW8Num7z3" w:customStyle="1">
    <w:name w:val="WW8Num7z3"/>
    <w:qFormat/>
    <w:rsid w:val="00b94aa9"/>
    <w:rPr>
      <w:rFonts w:ascii="Symbol" w:hAnsi="Symbol" w:cs="Symbol"/>
    </w:rPr>
  </w:style>
  <w:style w:type="character" w:styleId="WW8Num8z0" w:customStyle="1">
    <w:name w:val="WW8Num8z0"/>
    <w:qFormat/>
    <w:rsid w:val="00b94aa9"/>
    <w:rPr>
      <w:rFonts w:ascii="Wingdings" w:hAnsi="Wingdings" w:cs="Wingdings"/>
    </w:rPr>
  </w:style>
  <w:style w:type="character" w:styleId="WW8Num8z1" w:customStyle="1">
    <w:name w:val="WW8Num8z1"/>
    <w:qFormat/>
    <w:rsid w:val="00b94aa9"/>
    <w:rPr>
      <w:rFonts w:ascii="Times New Roman" w:hAnsi="Times New Roman" w:cs="Times New Roman"/>
    </w:rPr>
  </w:style>
  <w:style w:type="character" w:styleId="WW8Num8z3" w:customStyle="1">
    <w:name w:val="WW8Num8z3"/>
    <w:qFormat/>
    <w:rsid w:val="00b94aa9"/>
    <w:rPr>
      <w:rFonts w:ascii="Symbol" w:hAnsi="Symbol" w:cs="Symbol"/>
    </w:rPr>
  </w:style>
  <w:style w:type="character" w:styleId="WW8Num8z4" w:customStyle="1">
    <w:name w:val="WW8Num8z4"/>
    <w:qFormat/>
    <w:rsid w:val="00b94aa9"/>
    <w:rPr>
      <w:rFonts w:ascii="Courier New" w:hAnsi="Courier New" w:cs="Courier New"/>
    </w:rPr>
  </w:style>
  <w:style w:type="character" w:styleId="WW8Num9z0" w:customStyle="1">
    <w:name w:val="WW8Num9z0"/>
    <w:qFormat/>
    <w:rsid w:val="00b94aa9"/>
    <w:rPr>
      <w:rFonts w:ascii="Wingdings" w:hAnsi="Wingdings" w:cs="Wingdings"/>
    </w:rPr>
  </w:style>
  <w:style w:type="character" w:styleId="WW8Num9z1" w:customStyle="1">
    <w:name w:val="WW8Num9z1"/>
    <w:qFormat/>
    <w:rsid w:val="00b94aa9"/>
    <w:rPr>
      <w:rFonts w:ascii="Times New Roman" w:hAnsi="Times New Roman" w:cs="Times New Roman"/>
    </w:rPr>
  </w:style>
  <w:style w:type="character" w:styleId="WW8Num9z3" w:customStyle="1">
    <w:name w:val="WW8Num9z3"/>
    <w:qFormat/>
    <w:rsid w:val="00b94aa9"/>
    <w:rPr>
      <w:rFonts w:ascii="Symbol" w:hAnsi="Symbol" w:cs="Symbol"/>
    </w:rPr>
  </w:style>
  <w:style w:type="character" w:styleId="WW8Num9z4" w:customStyle="1">
    <w:name w:val="WW8Num9z4"/>
    <w:qFormat/>
    <w:rsid w:val="00b94aa9"/>
    <w:rPr>
      <w:rFonts w:ascii="Courier New" w:hAnsi="Courier New" w:cs="Courier New"/>
    </w:rPr>
  </w:style>
  <w:style w:type="character" w:styleId="WW8Num11z0" w:customStyle="1">
    <w:name w:val="WW8Num11z0"/>
    <w:qFormat/>
    <w:rsid w:val="00b94aa9"/>
    <w:rPr>
      <w:rFonts w:ascii="Symbol" w:hAnsi="Symbol" w:cs="Symbol"/>
    </w:rPr>
  </w:style>
  <w:style w:type="character" w:styleId="WW8Num11z1" w:customStyle="1">
    <w:name w:val="WW8Num11z1"/>
    <w:qFormat/>
    <w:rsid w:val="00b94aa9"/>
    <w:rPr>
      <w:rFonts w:ascii="Courier New" w:hAnsi="Courier New" w:cs="Courier New"/>
    </w:rPr>
  </w:style>
  <w:style w:type="character" w:styleId="WW8Num11z2" w:customStyle="1">
    <w:name w:val="WW8Num11z2"/>
    <w:qFormat/>
    <w:rsid w:val="00b94aa9"/>
    <w:rPr>
      <w:rFonts w:ascii="Wingdings" w:hAnsi="Wingdings" w:cs="Wingdings"/>
    </w:rPr>
  </w:style>
  <w:style w:type="character" w:styleId="WW8Num12z0" w:customStyle="1">
    <w:name w:val="WW8Num12z0"/>
    <w:qFormat/>
    <w:rsid w:val="00b94aa9"/>
    <w:rPr>
      <w:rFonts w:ascii="Times New Roman" w:hAnsi="Times New Roman" w:cs="Times New Roman"/>
    </w:rPr>
  </w:style>
  <w:style w:type="character" w:styleId="WW8Num12z1" w:customStyle="1">
    <w:name w:val="WW8Num12z1"/>
    <w:qFormat/>
    <w:rsid w:val="00b94aa9"/>
    <w:rPr>
      <w:rFonts w:ascii="Symbol" w:hAnsi="Symbol" w:cs="Symbol"/>
    </w:rPr>
  </w:style>
  <w:style w:type="character" w:styleId="WW8Num14z1" w:customStyle="1">
    <w:name w:val="WW8Num14z1"/>
    <w:qFormat/>
    <w:rsid w:val="00b94aa9"/>
    <w:rPr>
      <w:rFonts w:ascii="Courier New" w:hAnsi="Courier New" w:cs="Courier New"/>
    </w:rPr>
  </w:style>
  <w:style w:type="character" w:styleId="WW8Num14z2" w:customStyle="1">
    <w:name w:val="WW8Num14z2"/>
    <w:qFormat/>
    <w:rsid w:val="00b94aa9"/>
    <w:rPr>
      <w:rFonts w:ascii="Wingdings" w:hAnsi="Wingdings" w:cs="Wingdings"/>
    </w:rPr>
  </w:style>
  <w:style w:type="character" w:styleId="WW8Num14z3" w:customStyle="1">
    <w:name w:val="WW8Num14z3"/>
    <w:qFormat/>
    <w:rsid w:val="00b94aa9"/>
    <w:rPr>
      <w:rFonts w:ascii="Symbol" w:hAnsi="Symbol" w:cs="Symbol"/>
    </w:rPr>
  </w:style>
  <w:style w:type="character" w:styleId="WW8Num17z0" w:customStyle="1">
    <w:name w:val="WW8Num17z0"/>
    <w:qFormat/>
    <w:rsid w:val="00b94aa9"/>
    <w:rPr>
      <w:rFonts w:ascii="Wingdings" w:hAnsi="Wingdings" w:cs="Wingdings"/>
    </w:rPr>
  </w:style>
  <w:style w:type="character" w:styleId="WW8Num17z2" w:customStyle="1">
    <w:name w:val="WW8Num17z2"/>
    <w:qFormat/>
    <w:rsid w:val="00b94aa9"/>
    <w:rPr>
      <w:rFonts w:ascii="Times New Roman" w:hAnsi="Times New Roman" w:cs="Times New Roman"/>
    </w:rPr>
  </w:style>
  <w:style w:type="character" w:styleId="WW8Num18z3" w:customStyle="1">
    <w:name w:val="WW8Num18z3"/>
    <w:qFormat/>
    <w:rsid w:val="00b94aa9"/>
    <w:rPr>
      <w:rFonts w:ascii="Symbol" w:hAnsi="Symbol" w:cs="Symbol"/>
    </w:rPr>
  </w:style>
  <w:style w:type="character" w:styleId="WW8Num18z4" w:customStyle="1">
    <w:name w:val="WW8Num18z4"/>
    <w:qFormat/>
    <w:rsid w:val="00b94aa9"/>
    <w:rPr>
      <w:rFonts w:ascii="Courier New" w:hAnsi="Courier New" w:cs="Courier New"/>
    </w:rPr>
  </w:style>
  <w:style w:type="character" w:styleId="WW8Num20z1" w:customStyle="1">
    <w:name w:val="WW8Num20z1"/>
    <w:qFormat/>
    <w:rsid w:val="00b94aa9"/>
    <w:rPr>
      <w:rFonts w:ascii="Courier New" w:hAnsi="Courier New" w:cs="Courier New"/>
    </w:rPr>
  </w:style>
  <w:style w:type="character" w:styleId="WW8Num20z2" w:customStyle="1">
    <w:name w:val="WW8Num20z2"/>
    <w:qFormat/>
    <w:rsid w:val="00b94aa9"/>
    <w:rPr>
      <w:rFonts w:ascii="Wingdings" w:hAnsi="Wingdings" w:cs="Wingdings"/>
    </w:rPr>
  </w:style>
  <w:style w:type="character" w:styleId="WW8Num20z3" w:customStyle="1">
    <w:name w:val="WW8Num20z3"/>
    <w:qFormat/>
    <w:rsid w:val="00b94aa9"/>
    <w:rPr>
      <w:rFonts w:ascii="Symbol" w:hAnsi="Symbol" w:cs="Symbol"/>
    </w:rPr>
  </w:style>
  <w:style w:type="character" w:styleId="12" w:customStyle="1">
    <w:name w:val="Основной шрифт абзаца1"/>
    <w:qFormat/>
    <w:rsid w:val="00b94aa9"/>
    <w:rPr/>
  </w:style>
  <w:style w:type="character" w:styleId="Style17" w:customStyle="1">
    <w:name w:val="Символ нумерации"/>
    <w:qFormat/>
    <w:rsid w:val="00b94aa9"/>
    <w:rPr/>
  </w:style>
  <w:style w:type="character" w:styleId="13" w:customStyle="1">
    <w:name w:val="Знак примечания1"/>
    <w:qFormat/>
    <w:rsid w:val="00b94aa9"/>
    <w:rPr>
      <w:sz w:val="16"/>
      <w:szCs w:val="16"/>
    </w:rPr>
  </w:style>
  <w:style w:type="character" w:styleId="14" w:customStyle="1">
    <w:name w:val="Верхний колонтитул Знак1"/>
    <w:qFormat/>
    <w:rsid w:val="00b94aa9"/>
    <w:rPr>
      <w:rFonts w:ascii="Times New Roman" w:hAnsi="Times New Roman" w:cs="Calibri"/>
      <w:sz w:val="28"/>
      <w:szCs w:val="28"/>
      <w:lang w:eastAsia="zh-CN"/>
    </w:rPr>
  </w:style>
  <w:style w:type="character" w:styleId="15" w:customStyle="1">
    <w:name w:val="Нижний колонтитул Знак1"/>
    <w:uiPriority w:val="99"/>
    <w:qFormat/>
    <w:rsid w:val="00b94aa9"/>
    <w:rPr>
      <w:rFonts w:ascii="Times New Roman" w:hAnsi="Times New Roman" w:cs="Calibri"/>
      <w:sz w:val="28"/>
      <w:szCs w:val="28"/>
      <w:lang w:eastAsia="zh-CN"/>
    </w:rPr>
  </w:style>
  <w:style w:type="character" w:styleId="16" w:customStyle="1">
    <w:name w:val="Текст сноски Знак1"/>
    <w:qFormat/>
    <w:locked/>
    <w:rsid w:val="00b94aa9"/>
    <w:rPr>
      <w:rFonts w:ascii="Calibri" w:hAnsi="Calibri" w:cs="Calibri"/>
      <w:lang w:eastAsia="zh-CN"/>
    </w:rPr>
  </w:style>
  <w:style w:type="character" w:styleId="17" w:customStyle="1">
    <w:name w:val="Текст выноски Знак1"/>
    <w:qFormat/>
    <w:locked/>
    <w:rsid w:val="00b94aa9"/>
    <w:rPr>
      <w:rFonts w:ascii="Tahoma" w:hAnsi="Tahoma" w:eastAsia="Calibri" w:cs="Tahoma"/>
      <w:sz w:val="16"/>
      <w:szCs w:val="16"/>
      <w:lang w:eastAsia="zh-CN"/>
    </w:rPr>
  </w:style>
  <w:style w:type="character" w:styleId="18" w:customStyle="1">
    <w:name w:val="Текст примечания Знак1"/>
    <w:uiPriority w:val="99"/>
    <w:semiHidden/>
    <w:qFormat/>
    <w:rsid w:val="00b94aa9"/>
    <w:rPr>
      <w:rFonts w:ascii="Times New Roman" w:hAnsi="Times New Roman" w:eastAsia="Times New Roman" w:cs="Times New Roman"/>
    </w:rPr>
  </w:style>
  <w:style w:type="character" w:styleId="19" w:customStyle="1">
    <w:name w:val="Тема примечания Знак1"/>
    <w:qFormat/>
    <w:rsid w:val="00b94aa9"/>
    <w:rPr>
      <w:rFonts w:ascii="Times New Roman" w:hAnsi="Times New Roman" w:eastAsia="Times New Roman" w:cs="Calibri"/>
      <w:b/>
      <w:bCs/>
      <w:lang w:eastAsia="zh-CN"/>
    </w:rPr>
  </w:style>
  <w:style w:type="character" w:styleId="Apple-style-span" w:customStyle="1">
    <w:name w:val="apple-style-span"/>
    <w:qFormat/>
    <w:rsid w:val="00b94aa9"/>
    <w:rPr/>
  </w:style>
  <w:style w:type="character" w:styleId="Apple-converted-space" w:customStyle="1">
    <w:name w:val="apple-converted-space"/>
    <w:qFormat/>
    <w:rsid w:val="00b94aa9"/>
    <w:rPr/>
  </w:style>
  <w:style w:type="character" w:styleId="Blk" w:customStyle="1">
    <w:name w:val="blk"/>
    <w:qFormat/>
    <w:rsid w:val="00b94aa9"/>
    <w:rPr>
      <w:vanish w:val="false"/>
    </w:rPr>
  </w:style>
  <w:style w:type="character" w:styleId="Linenumber1" w:customStyle="1">
    <w:name w:val="line number1"/>
    <w:uiPriority w:val="99"/>
    <w:unhideWhenUsed/>
    <w:qFormat/>
    <w:rsid w:val="00b94aa9"/>
    <w:rPr/>
  </w:style>
  <w:style w:type="character" w:styleId="110" w:customStyle="1">
    <w:name w:val="Стиль1 Знак"/>
    <w:qFormat/>
    <w:rsid w:val="00b94aa9"/>
    <w:rPr>
      <w:rFonts w:eastAsia="DejaVu Sans" w:cs="Lohit Hindi"/>
      <w:b/>
      <w:bCs/>
      <w:sz w:val="24"/>
      <w:szCs w:val="24"/>
      <w:lang w:eastAsia="zh-CN"/>
    </w:rPr>
  </w:style>
  <w:style w:type="character" w:styleId="81" w:customStyle="1">
    <w:name w:val="Стиль8 Знак"/>
    <w:link w:val="82"/>
    <w:qFormat/>
    <w:rsid w:val="00b94aa9"/>
    <w:rPr>
      <w:rFonts w:ascii="Times New Roman" w:hAnsi="Times New Roman" w:eastAsia="Times New Roman" w:cs="Times New Roman"/>
      <w:sz w:val="24"/>
      <w:lang w:eastAsia="ru-RU"/>
    </w:rPr>
  </w:style>
  <w:style w:type="character" w:styleId="FontStyle17" w:customStyle="1">
    <w:name w:val="Font Style17"/>
    <w:qFormat/>
    <w:rsid w:val="00b94aa9"/>
    <w:rPr>
      <w:rFonts w:ascii="Times New Roman" w:hAnsi="Times New Roman" w:cs="Times New Roman"/>
      <w:sz w:val="20"/>
      <w:szCs w:val="20"/>
    </w:rPr>
  </w:style>
  <w:style w:type="character" w:styleId="131" w:customStyle="1">
    <w:name w:val="Знак Знак13"/>
    <w:qFormat/>
    <w:rsid w:val="00b94aa9"/>
    <w:rPr>
      <w:b/>
      <w:bCs/>
      <w:sz w:val="28"/>
    </w:rPr>
  </w:style>
  <w:style w:type="character" w:styleId="Style18" w:customStyle="1">
    <w:name w:val="Обычный список маркированный Знак"/>
    <w:link w:val="Style45"/>
    <w:qFormat/>
    <w:locked/>
    <w:rsid w:val="00b94aa9"/>
    <w:rPr>
      <w:rFonts w:ascii="Arial" w:hAnsi="Arial" w:eastAsia="Times New Roman" w:cs="Times New Roman"/>
      <w:sz w:val="28"/>
      <w:lang w:val="x-none"/>
    </w:rPr>
  </w:style>
  <w:style w:type="character" w:styleId="B-serp-itemtextpassage1" w:customStyle="1">
    <w:name w:val="b-serp-item__text_passage1"/>
    <w:qFormat/>
    <w:rsid w:val="00b94aa9"/>
    <w:rPr>
      <w:b/>
      <w:bCs/>
      <w:color w:val="888888"/>
    </w:rPr>
  </w:style>
  <w:style w:type="character" w:styleId="25" w:customStyle="1">
    <w:name w:val="Стиль2 Знак"/>
    <w:link w:val="213"/>
    <w:qFormat/>
    <w:rsid w:val="00b94aa9"/>
    <w:rPr>
      <w:rFonts w:ascii="Times New Roman" w:hAnsi="Times New Roman" w:eastAsia="Times New Roman" w:cs="Times New Roman"/>
      <w:bCs/>
      <w:sz w:val="24"/>
      <w:szCs w:val="24"/>
      <w:lang w:eastAsia="ru-RU"/>
    </w:rPr>
  </w:style>
  <w:style w:type="character" w:styleId="34" w:customStyle="1">
    <w:name w:val="Стиль3 Знак"/>
    <w:link w:val="310"/>
    <w:qFormat/>
    <w:rsid w:val="00b94aa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42" w:customStyle="1">
    <w:name w:val="Стиль4 Знак"/>
    <w:link w:val="44"/>
    <w:qFormat/>
    <w:rsid w:val="00b94aa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51" w:customStyle="1">
    <w:name w:val="Стиль5 Знак"/>
    <w:link w:val="52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61" w:customStyle="1">
    <w:name w:val="Стиль6 Знак"/>
    <w:basedOn w:val="51"/>
    <w:link w:val="62"/>
    <w:qFormat/>
    <w:rsid w:val="00b94aa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71" w:customStyle="1">
    <w:name w:val="Стиль7 Знак"/>
    <w:link w:val="72"/>
    <w:qFormat/>
    <w:rsid w:val="00b94aa9"/>
    <w:rPr>
      <w:rFonts w:ascii="Times New Roman" w:hAnsi="Times New Roman" w:eastAsia="Times New Roman" w:cs="Times New Roman"/>
      <w:sz w:val="24"/>
      <w:szCs w:val="28"/>
      <w:lang w:eastAsia="ru-RU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b94aa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9" w:customStyle="1">
    <w:name w:val="комментарий"/>
    <w:qFormat/>
    <w:rsid w:val="00c721a4"/>
    <w:rPr>
      <w:b/>
      <w:i/>
      <w:shd w:fill="FFFF99" w:val="clear"/>
    </w:rPr>
  </w:style>
  <w:style w:type="character" w:styleId="Style20" w:customStyle="1">
    <w:name w:val="Абзац списка Знак"/>
    <w:link w:val="ListParagraph"/>
    <w:uiPriority w:val="34"/>
    <w:qFormat/>
    <w:locked/>
    <w:rsid w:val="00c721a4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ConsPlusNormal" w:customStyle="1">
    <w:name w:val="ConsPlusNormal Знак"/>
    <w:link w:val="ConsPlusNormal1"/>
    <w:qFormat/>
    <w:rsid w:val="001068ea"/>
    <w:rPr>
      <w:rFonts w:ascii="Arial" w:hAnsi="Arial" w:eastAsia="Times New Roman" w:cs="Arial"/>
      <w:sz w:val="20"/>
      <w:szCs w:val="20"/>
      <w:lang w:eastAsia="ru-RU"/>
    </w:rPr>
  </w:style>
  <w:style w:type="character" w:styleId="Style21" w:customStyle="1">
    <w:name w:val="Ссылка указателя"/>
    <w:qFormat/>
    <w:rPr/>
  </w:style>
  <w:style w:type="character" w:styleId="Linenumber2" w:customStyle="1">
    <w:name w:val="line number2"/>
    <w:qFormat/>
    <w:rPr/>
  </w:style>
  <w:style w:type="character" w:styleId="Strong2" w:customStyle="1">
    <w:name w:val="Strong2"/>
    <w:qFormat/>
    <w:rPr>
      <w:b/>
      <w:bCs/>
    </w:rPr>
  </w:style>
  <w:style w:type="character" w:styleId="Linenumber">
    <w:name w:val="line number"/>
    <w:qFormat/>
    <w:rPr/>
  </w:style>
  <w:style w:type="character" w:styleId="Strong3" w:customStyle="1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Style6"/>
    <w:rsid w:val="00b94aa9"/>
    <w:pPr>
      <w:spacing w:lineRule="auto" w:line="240" w:before="0" w:after="120"/>
      <w:ind w:hanging="0"/>
      <w:jc w:val="left"/>
    </w:pPr>
    <w:rPr>
      <w:rFonts w:eastAsia="Times New Roman"/>
      <w:lang w:val="x-none" w:eastAsia="x-none"/>
    </w:rPr>
  </w:style>
  <w:style w:type="paragraph" w:styleId="List">
    <w:name w:val="List"/>
    <w:basedOn w:val="BodyText"/>
    <w:unhideWhenUsed/>
    <w:rsid w:val="00b94aa9"/>
    <w:pPr>
      <w:spacing w:lineRule="auto" w:line="276"/>
      <w:ind w:firstLine="709"/>
      <w:jc w:val="both"/>
    </w:pPr>
    <w:rPr>
      <w:rFonts w:eastAsia="Calibri" w:cs="Lohit Hindi"/>
      <w:lang w:val="ru-RU" w:eastAsia="zh-C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link w:val="Style16"/>
    <w:qFormat/>
    <w:rsid w:val="00b94aa9"/>
    <w:pPr>
      <w:keepNext w:val="true"/>
      <w:spacing w:before="240" w:after="120"/>
    </w:pPr>
    <w:rPr>
      <w:rFonts w:ascii="Arial" w:hAnsi="Arial" w:eastAsia="DejaVu Sans" w:cs="Lohit Hindi"/>
      <w:lang w:eastAsia="zh-CN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1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" w:customStyle="1">
    <w:name w:val="index heading11111"/>
    <w:basedOn w:val="112"/>
    <w:qFormat/>
    <w:pPr/>
    <w:rPr/>
  </w:style>
  <w:style w:type="paragraph" w:styleId="Style24" w:customStyle="1">
    <w:name w:val="Заголовок СПравка"/>
    <w:basedOn w:val="Normal"/>
    <w:qFormat/>
    <w:rsid w:val="009a2c2f"/>
    <w:pPr>
      <w:spacing w:before="0" w:after="120"/>
      <w:ind w:hanging="0"/>
      <w:jc w:val="center"/>
    </w:pPr>
    <w:rPr>
      <w:b/>
    </w:rPr>
  </w:style>
  <w:style w:type="paragraph" w:styleId="FootnoteText">
    <w:name w:val="Footnote Text"/>
    <w:basedOn w:val="Normal"/>
    <w:link w:val="Style"/>
    <w:uiPriority w:val="99"/>
    <w:unhideWhenUsed/>
    <w:rsid w:val="00b333bd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Style2"/>
    <w:unhideWhenUsed/>
    <w:qFormat/>
    <w:rsid w:val="0090416f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25" w:customStyle="1">
    <w:name w:val="Название раздела инструкции"/>
    <w:basedOn w:val="Normal"/>
    <w:autoRedefine/>
    <w:qFormat/>
    <w:rsid w:val="00b94aa9"/>
    <w:pPr>
      <w:spacing w:lineRule="auto" w:line="240"/>
      <w:ind w:hanging="0"/>
      <w:jc w:val="center"/>
    </w:pPr>
    <w:rPr>
      <w:rFonts w:eastAsia="Times New Roman"/>
      <w:lang w:eastAsia="ru-RU"/>
    </w:rPr>
  </w:style>
  <w:style w:type="paragraph" w:styleId="Style26" w:customStyle="1">
    <w:name w:val="Раздел положения"/>
    <w:basedOn w:val="Normal"/>
    <w:autoRedefine/>
    <w:qFormat/>
    <w:rsid w:val="00b94aa9"/>
    <w:pPr>
      <w:tabs>
        <w:tab w:val="clear" w:pos="708"/>
        <w:tab w:val="left" w:pos="360" w:leader="none"/>
      </w:tabs>
      <w:spacing w:lineRule="auto" w:line="240" w:before="80" w:after="80"/>
      <w:ind w:left="360" w:hanging="360"/>
      <w:jc w:val="center"/>
    </w:pPr>
    <w:rPr>
      <w:rFonts w:eastAsia="Times New Roman"/>
      <w:b/>
      <w:sz w:val="32"/>
      <w:szCs w:val="32"/>
      <w:lang w:eastAsia="ru-RU"/>
    </w:rPr>
  </w:style>
  <w:style w:type="paragraph" w:styleId="Style27" w:customStyle="1">
    <w:name w:val="Подраздел раздела положения"/>
    <w:basedOn w:val="Normal"/>
    <w:autoRedefine/>
    <w:qFormat/>
    <w:rsid w:val="00b94aa9"/>
    <w:pPr>
      <w:tabs>
        <w:tab w:val="clear" w:pos="708"/>
        <w:tab w:val="left" w:pos="357" w:leader="none"/>
      </w:tabs>
      <w:spacing w:lineRule="auto" w:line="240" w:before="80" w:after="80"/>
      <w:ind w:hanging="0"/>
    </w:pPr>
    <w:rPr>
      <w:rFonts w:eastAsia="Times New Roman"/>
      <w:lang w:eastAsia="ru-RU"/>
    </w:rPr>
  </w:style>
  <w:style w:type="paragraph" w:styleId="113" w:customStyle="1">
    <w:name w:val="Шапка 1"/>
    <w:basedOn w:val="Normal"/>
    <w:qFormat/>
    <w:rsid w:val="00b94aa9"/>
    <w:pPr>
      <w:pBdr>
        <w:bottom w:val="thickThinSmallGap" w:sz="24" w:space="1" w:color="000000"/>
      </w:pBdr>
      <w:spacing w:lineRule="auto" w:line="240" w:before="0" w:after="240"/>
      <w:ind w:hanging="0"/>
      <w:jc w:val="center"/>
    </w:pPr>
    <w:rPr>
      <w:rFonts w:eastAsia="Times New Roman"/>
      <w:sz w:val="22"/>
      <w:szCs w:val="22"/>
      <w:lang w:eastAsia="ru-RU"/>
    </w:rPr>
  </w:style>
  <w:style w:type="paragraph" w:styleId="26" w:customStyle="1">
    <w:name w:val="Шапка 2"/>
    <w:basedOn w:val="Normal"/>
    <w:qFormat/>
    <w:rsid w:val="00b94aa9"/>
    <w:pPr>
      <w:pBdr>
        <w:bottom w:val="thickThinSmallGap" w:sz="24" w:space="1" w:color="000000"/>
      </w:pBdr>
      <w:spacing w:lineRule="auto" w:line="240" w:before="0" w:after="120"/>
      <w:ind w:hanging="0"/>
      <w:jc w:val="center"/>
    </w:pPr>
    <w:rPr>
      <w:rFonts w:eastAsia="Times New Roman"/>
      <w:b/>
      <w:sz w:val="22"/>
      <w:szCs w:val="22"/>
      <w:lang w:eastAsia="ru-RU"/>
    </w:rPr>
  </w:style>
  <w:style w:type="paragraph" w:styleId="35" w:customStyle="1">
    <w:name w:val="Шапка 3"/>
    <w:basedOn w:val="Normal"/>
    <w:qFormat/>
    <w:rsid w:val="00b94aa9"/>
    <w:pPr>
      <w:pBdr>
        <w:bottom w:val="thickThinSmallGap" w:sz="24" w:space="1" w:color="000000"/>
      </w:pBdr>
      <w:spacing w:lineRule="auto" w:line="240" w:before="240" w:after="360"/>
      <w:ind w:hanging="0"/>
      <w:jc w:val="center"/>
    </w:pPr>
    <w:rPr>
      <w:rFonts w:eastAsia="Times New Roman"/>
      <w:b/>
      <w:sz w:val="24"/>
      <w:szCs w:val="24"/>
      <w:lang w:eastAsia="ru-RU"/>
    </w:rPr>
  </w:style>
  <w:style w:type="paragraph" w:styleId="Style2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b94aa9"/>
    <w:pPr>
      <w:tabs>
        <w:tab w:val="clear" w:pos="708"/>
        <w:tab w:val="center" w:pos="4677" w:leader="none"/>
        <w:tab w:val="right" w:pos="9355" w:leader="none"/>
      </w:tabs>
      <w:spacing w:lineRule="auto" w:line="240"/>
      <w:ind w:hanging="0"/>
      <w:jc w:val="left"/>
    </w:pPr>
    <w:rPr>
      <w:rFonts w:eastAsia="Times New Roman"/>
      <w:sz w:val="24"/>
      <w:szCs w:val="24"/>
      <w:lang w:val="x-none" w:eastAsia="x-none"/>
    </w:rPr>
  </w:style>
  <w:style w:type="paragraph" w:styleId="BodyTextIndent">
    <w:name w:val="Body Text Indent"/>
    <w:basedOn w:val="Normal"/>
    <w:link w:val="Style4"/>
    <w:rsid w:val="00b94aa9"/>
    <w:pPr>
      <w:spacing w:lineRule="auto" w:line="240"/>
      <w:ind w:left="360" w:hanging="0"/>
      <w:jc w:val="left"/>
    </w:pPr>
    <w:rPr>
      <w:rFonts w:eastAsia="Times New Roman"/>
      <w:sz w:val="24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b94aa9"/>
    <w:pPr>
      <w:tabs>
        <w:tab w:val="clear" w:pos="708"/>
        <w:tab w:val="center" w:pos="4677" w:leader="none"/>
        <w:tab w:val="right" w:pos="9355" w:leader="none"/>
      </w:tabs>
      <w:spacing w:lineRule="auto" w:line="240"/>
      <w:ind w:hanging="0"/>
      <w:jc w:val="left"/>
    </w:pPr>
    <w:rPr>
      <w:rFonts w:eastAsia="Times New Roman"/>
      <w:lang w:eastAsia="ru-RU"/>
    </w:rPr>
  </w:style>
  <w:style w:type="paragraph" w:styleId="BodyTextIndent2">
    <w:name w:val="Body Text Indent 2"/>
    <w:basedOn w:val="Normal"/>
    <w:link w:val="21"/>
    <w:qFormat/>
    <w:rsid w:val="00b94aa9"/>
    <w:pPr>
      <w:spacing w:lineRule="auto" w:line="480" w:before="0" w:after="120"/>
      <w:ind w:left="283" w:hanging="0"/>
      <w:jc w:val="left"/>
    </w:pPr>
    <w:rPr>
      <w:rFonts w:eastAsia="Times New Roman"/>
      <w:lang w:eastAsia="ru-RU"/>
    </w:rPr>
  </w:style>
  <w:style w:type="paragraph" w:styleId="BodyText3">
    <w:name w:val="Body Text 3"/>
    <w:basedOn w:val="Normal"/>
    <w:link w:val="31"/>
    <w:qFormat/>
    <w:rsid w:val="00b94aa9"/>
    <w:pPr>
      <w:spacing w:lineRule="auto" w:line="240" w:before="0" w:after="120"/>
      <w:ind w:hanging="0"/>
      <w:jc w:val="left"/>
    </w:pPr>
    <w:rPr>
      <w:rFonts w:eastAsia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b94aa9"/>
    <w:pPr>
      <w:spacing w:lineRule="auto" w:line="240" w:before="0" w:after="120"/>
      <w:ind w:left="283" w:hanging="0"/>
      <w:jc w:val="left"/>
    </w:pPr>
    <w:rPr>
      <w:rFonts w:eastAsia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b94aa9"/>
    <w:pPr>
      <w:spacing w:lineRule="auto" w:line="480" w:before="0" w:after="120"/>
      <w:ind w:hanging="0"/>
      <w:jc w:val="left"/>
    </w:pPr>
    <w:rPr>
      <w:rFonts w:eastAsia="Times New Roman"/>
      <w:lang w:eastAsia="ru-RU"/>
    </w:rPr>
  </w:style>
  <w:style w:type="paragraph" w:styleId="BlockText">
    <w:name w:val="Block Text"/>
    <w:basedOn w:val="Normal"/>
    <w:qFormat/>
    <w:rsid w:val="00b94aa9"/>
    <w:pPr>
      <w:spacing w:lineRule="auto" w:line="240"/>
      <w:ind w:left="-567" w:right="-766" w:hanging="0"/>
      <w:jc w:val="center"/>
    </w:pPr>
    <w:rPr>
      <w:rFonts w:eastAsia="Times New Roman"/>
      <w:b/>
      <w:bCs/>
      <w:sz w:val="24"/>
      <w:szCs w:val="20"/>
      <w:lang w:eastAsia="ru-RU"/>
    </w:rPr>
  </w:style>
  <w:style w:type="paragraph" w:styleId="Style29" w:customStyle="1">
    <w:name w:val="Подпункт"/>
    <w:basedOn w:val="Normal"/>
    <w:link w:val="11"/>
    <w:qFormat/>
    <w:rsid w:val="00b94aa9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</w:pPr>
    <w:rPr>
      <w:rFonts w:eastAsia="Times New Roman"/>
      <w:szCs w:val="20"/>
      <w:lang w:val="x-none" w:eastAsia="x-none"/>
    </w:rPr>
  </w:style>
  <w:style w:type="paragraph" w:styleId="27" w:customStyle="1">
    <w:name w:val="Пункт2"/>
    <w:basedOn w:val="Normal"/>
    <w:qFormat/>
    <w:rsid w:val="00b94aa9"/>
    <w:pPr>
      <w:keepNext w:val="true"/>
      <w:tabs>
        <w:tab w:val="clear" w:pos="708"/>
        <w:tab w:val="left" w:pos="1134" w:leader="none"/>
      </w:tabs>
      <w:snapToGrid w:val="false"/>
      <w:spacing w:lineRule="auto" w:line="240" w:before="240" w:after="120"/>
      <w:ind w:left="1134" w:hanging="1134"/>
      <w:jc w:val="left"/>
      <w:outlineLvl w:val="2"/>
    </w:pPr>
    <w:rPr>
      <w:rFonts w:eastAsia="Times New Roman"/>
      <w:b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qFormat/>
    <w:rsid w:val="0095544b"/>
    <w:pPr>
      <w:tabs>
        <w:tab w:val="clear" w:pos="708"/>
        <w:tab w:val="left" w:pos="426" w:leader="none"/>
        <w:tab w:val="right" w:pos="9666" w:leader="dot"/>
      </w:tabs>
      <w:spacing w:lineRule="auto" w:line="312"/>
      <w:ind w:hanging="0"/>
    </w:pPr>
    <w:rPr>
      <w:rFonts w:eastAsia="Calibri"/>
      <w:b/>
      <w:iCs/>
      <w:sz w:val="24"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qFormat/>
    <w:rsid w:val="00b94aa9"/>
    <w:pPr>
      <w:spacing w:lineRule="auto" w:line="240"/>
      <w:ind w:left="560" w:hanging="0"/>
      <w:jc w:val="left"/>
    </w:pPr>
    <w:rPr>
      <w:rFonts w:eastAsia="Times New Roman"/>
      <w:lang w:eastAsia="ru-RU"/>
    </w:rPr>
  </w:style>
  <w:style w:type="paragraph" w:styleId="Style30" w:customStyle="1">
    <w:name w:val="Раздел регламента"/>
    <w:basedOn w:val="Normal"/>
    <w:qFormat/>
    <w:rsid w:val="00b94aa9"/>
    <w:pPr>
      <w:spacing w:lineRule="auto" w:line="240"/>
      <w:ind w:hanging="0"/>
      <w:jc w:val="left"/>
    </w:pPr>
    <w:rPr>
      <w:rFonts w:eastAsia="Times New Roman"/>
      <w:lang w:eastAsia="ru-RU"/>
    </w:rPr>
  </w:style>
  <w:style w:type="paragraph" w:styleId="Style31" w:customStyle="1">
    <w:name w:val="Приложение к регламенту"/>
    <w:basedOn w:val="Normal"/>
    <w:qFormat/>
    <w:rsid w:val="00b94aa9"/>
    <w:pPr>
      <w:spacing w:lineRule="auto" w:line="240"/>
      <w:ind w:hanging="0"/>
      <w:jc w:val="right"/>
    </w:pPr>
    <w:rPr>
      <w:rFonts w:eastAsia="Times New Roman"/>
      <w:lang w:eastAsia="ru-RU"/>
    </w:rPr>
  </w:style>
  <w:style w:type="paragraph" w:styleId="TOC2">
    <w:name w:val="TOC 2"/>
    <w:basedOn w:val="Normal"/>
    <w:next w:val="Normal"/>
    <w:autoRedefine/>
    <w:uiPriority w:val="39"/>
    <w:qFormat/>
    <w:rsid w:val="00b94aa9"/>
    <w:pPr>
      <w:tabs>
        <w:tab w:val="clear" w:pos="708"/>
        <w:tab w:val="left" w:pos="426" w:leader="none"/>
        <w:tab w:val="right" w:pos="9666" w:leader="dot"/>
      </w:tabs>
      <w:spacing w:lineRule="auto" w:line="240"/>
      <w:ind w:hanging="0"/>
      <w:jc w:val="left"/>
    </w:pPr>
    <w:rPr>
      <w:rFonts w:eastAsia="Times New Roman"/>
      <w:lang w:eastAsia="ru-RU"/>
    </w:rPr>
  </w:style>
  <w:style w:type="paragraph" w:styleId="Annotationtext">
    <w:name w:val="annotation text"/>
    <w:basedOn w:val="Normal"/>
    <w:link w:val="Style7"/>
    <w:qFormat/>
    <w:rsid w:val="00b94aa9"/>
    <w:pPr>
      <w:spacing w:lineRule="auto" w:line="240"/>
      <w:ind w:hanging="0"/>
      <w:jc w:val="left"/>
    </w:pPr>
    <w:rPr>
      <w:rFonts w:eastAsia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8"/>
    <w:qFormat/>
    <w:rsid w:val="00b94aa9"/>
    <w:pPr/>
    <w:rPr>
      <w:b/>
      <w:bCs/>
    </w:rPr>
  </w:style>
  <w:style w:type="paragraph" w:styleId="NormalWeb">
    <w:name w:val="Normal (Web)"/>
    <w:basedOn w:val="Normal"/>
    <w:qFormat/>
    <w:rsid w:val="00b94aa9"/>
    <w:pPr>
      <w:spacing w:lineRule="auto" w:line="240" w:beforeAutospacing="1" w:afterAutospacing="1"/>
      <w:ind w:hanging="0"/>
      <w:jc w:val="left"/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TOC9">
    <w:name w:val="TOC 9"/>
    <w:basedOn w:val="Normal"/>
    <w:next w:val="Normal"/>
    <w:autoRedefine/>
    <w:uiPriority w:val="39"/>
    <w:rsid w:val="00b94aa9"/>
    <w:pPr>
      <w:spacing w:lineRule="auto" w:line="240"/>
      <w:ind w:left="2240" w:hanging="0"/>
      <w:jc w:val="left"/>
    </w:pPr>
    <w:rPr>
      <w:rFonts w:eastAsia="Times New Roman"/>
      <w:lang w:eastAsia="ru-RU"/>
    </w:rPr>
  </w:style>
  <w:style w:type="paragraph" w:styleId="TOC5">
    <w:name w:val="TOC 5"/>
    <w:basedOn w:val="Normal"/>
    <w:next w:val="Normal"/>
    <w:autoRedefine/>
    <w:uiPriority w:val="39"/>
    <w:rsid w:val="00b94aa9"/>
    <w:pPr>
      <w:spacing w:lineRule="auto" w:line="240"/>
      <w:ind w:left="1120" w:hanging="0"/>
      <w:jc w:val="left"/>
    </w:pPr>
    <w:rPr>
      <w:rFonts w:eastAsia="Times New Roman"/>
      <w:lang w:eastAsia="ru-RU"/>
    </w:rPr>
  </w:style>
  <w:style w:type="paragraph" w:styleId="TOC4">
    <w:name w:val="TOC 4"/>
    <w:basedOn w:val="Normal"/>
    <w:next w:val="Normal"/>
    <w:autoRedefine/>
    <w:uiPriority w:val="39"/>
    <w:rsid w:val="00b94aa9"/>
    <w:pPr>
      <w:spacing w:lineRule="auto" w:line="240"/>
      <w:ind w:left="840" w:hanging="0"/>
      <w:jc w:val="left"/>
    </w:pPr>
    <w:rPr>
      <w:rFonts w:eastAsia="Times New Roman"/>
      <w:lang w:eastAsia="ru-RU"/>
    </w:rPr>
  </w:style>
  <w:style w:type="paragraph" w:styleId="28" w:customStyle="1">
    <w:name w:val="Раздел положения 2"/>
    <w:basedOn w:val="Normal"/>
    <w:qFormat/>
    <w:rsid w:val="00b94aa9"/>
    <w:pPr>
      <w:pageBreakBefore/>
      <w:spacing w:lineRule="auto" w:line="240"/>
      <w:ind w:hanging="0"/>
      <w:outlineLvl w:val="0"/>
    </w:pPr>
    <w:rPr>
      <w:rFonts w:eastAsia="Times New Roman"/>
      <w:b/>
      <w:lang w:eastAsia="ru-RU"/>
    </w:rPr>
  </w:style>
  <w:style w:type="paragraph" w:styleId="Style32" w:customStyle="1">
    <w:name w:val="Знак Знак Знак Знак Знак Знак Знак Знак Знак"/>
    <w:basedOn w:val="Normal"/>
    <w:qFormat/>
    <w:rsid w:val="00b94aa9"/>
    <w:pPr>
      <w:spacing w:lineRule="exact" w:line="240" w:before="0" w:after="160"/>
      <w:ind w:hanging="0"/>
    </w:pPr>
    <w:rPr>
      <w:rFonts w:ascii="Verdana" w:hAnsi="Verdana" w:eastAsia="Times New Roman" w:cs="Verdana"/>
      <w:sz w:val="22"/>
      <w:szCs w:val="22"/>
      <w:lang w:val="en-US"/>
    </w:rPr>
  </w:style>
  <w:style w:type="paragraph" w:styleId="NoSpacing">
    <w:name w:val="No Spacing"/>
    <w:basedOn w:val="Normal"/>
    <w:uiPriority w:val="1"/>
    <w:qFormat/>
    <w:rsid w:val="00b94aa9"/>
    <w:pPr>
      <w:spacing w:lineRule="auto" w:line="360"/>
      <w:ind w:hanging="0"/>
      <w:jc w:val="left"/>
    </w:pPr>
    <w:rPr>
      <w:rFonts w:eastAsia="Calibri"/>
      <w:sz w:val="24"/>
      <w:szCs w:val="24"/>
      <w:lang w:eastAsia="ru-RU"/>
    </w:rPr>
  </w:style>
  <w:style w:type="paragraph" w:styleId="Caption111111" w:customStyle="1">
    <w:name w:val="caption111111"/>
    <w:basedOn w:val="Normal"/>
    <w:next w:val="Normal"/>
    <w:uiPriority w:val="35"/>
    <w:qFormat/>
    <w:rsid w:val="00b94aa9"/>
    <w:pPr>
      <w:spacing w:lineRule="auto" w:line="240"/>
      <w:ind w:hanging="0"/>
      <w:jc w:val="left"/>
    </w:pPr>
    <w:rPr>
      <w:rFonts w:eastAsia="Calibri"/>
      <w:b/>
      <w:bCs/>
      <w:color w:val="4F81BD"/>
      <w:sz w:val="18"/>
      <w:szCs w:val="18"/>
      <w:lang w:eastAsia="ru-RU"/>
    </w:rPr>
  </w:style>
  <w:style w:type="paragraph" w:styleId="Subtitle">
    <w:name w:val="Subtitle"/>
    <w:basedOn w:val="Normal"/>
    <w:next w:val="Normal"/>
    <w:link w:val="Style10"/>
    <w:uiPriority w:val="11"/>
    <w:qFormat/>
    <w:rsid w:val="00b94aa9"/>
    <w:pPr>
      <w:numPr>
        <w:ilvl w:val="1"/>
      </w:numPr>
      <w:spacing w:lineRule="auto" w:line="240"/>
      <w:ind w:left="1066" w:firstLine="709"/>
      <w:jc w:val="left"/>
    </w:pPr>
    <w:rPr>
      <w:rFonts w:ascii="Cambria" w:hAnsi="Cambria" w:eastAsia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20"/>
    <w:uiPriority w:val="34"/>
    <w:qFormat/>
    <w:rsid w:val="00b94aa9"/>
    <w:pPr>
      <w:spacing w:lineRule="auto" w:line="240" w:before="0" w:after="0"/>
      <w:ind w:left="720" w:hanging="0"/>
      <w:contextualSpacing/>
      <w:jc w:val="left"/>
    </w:pPr>
    <w:rPr>
      <w:rFonts w:eastAsia="Calibri"/>
      <w:sz w:val="24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b94aa9"/>
    <w:pPr>
      <w:spacing w:lineRule="auto" w:line="240"/>
      <w:ind w:hanging="0"/>
      <w:jc w:val="left"/>
    </w:pPr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b94aa9"/>
    <w:pPr>
      <w:pBdr>
        <w:bottom w:val="single" w:sz="4" w:space="4" w:color="4F81BD"/>
      </w:pBdr>
      <w:spacing w:lineRule="auto" w:line="240" w:before="200" w:after="280"/>
      <w:ind w:left="936" w:right="936" w:hanging="0"/>
      <w:jc w:val="left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2"/>
    <w:pPr/>
    <w:rPr/>
  </w:style>
  <w:style w:type="paragraph" w:styleId="TOCHeading">
    <w:name w:val="TOC Heading"/>
    <w:basedOn w:val="Heading1"/>
    <w:next w:val="Normal"/>
    <w:uiPriority w:val="39"/>
    <w:qFormat/>
    <w:rsid w:val="00b94aa9"/>
    <w:pPr>
      <w:keepLines/>
      <w:spacing w:before="480" w:after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E-mailSignature">
    <w:name w:val="E-mail Signature"/>
    <w:basedOn w:val="Normal"/>
    <w:link w:val="Style12"/>
    <w:uiPriority w:val="99"/>
    <w:unhideWhenUsed/>
    <w:qFormat/>
    <w:rsid w:val="00b94aa9"/>
    <w:pPr>
      <w:spacing w:lineRule="auto" w:line="240"/>
      <w:ind w:hanging="0"/>
      <w:jc w:val="left"/>
    </w:pPr>
    <w:rPr>
      <w:rFonts w:eastAsia="Calibri"/>
      <w:sz w:val="24"/>
      <w:szCs w:val="24"/>
      <w:lang w:val="x-none" w:eastAsia="x-none"/>
    </w:rPr>
  </w:style>
  <w:style w:type="paragraph" w:styleId="Style33" w:customStyle="1">
    <w:name w:val="Знак"/>
    <w:basedOn w:val="Normal"/>
    <w:qFormat/>
    <w:rsid w:val="00b94aa9"/>
    <w:pPr>
      <w:spacing w:lineRule="exact" w:line="240" w:before="0" w:after="160"/>
      <w:ind w:hanging="0"/>
      <w:jc w:val="left"/>
    </w:pPr>
    <w:rPr>
      <w:rFonts w:ascii="Verdana" w:hAnsi="Verdana" w:eastAsia="Times New Roman" w:cs="Verdana"/>
      <w:sz w:val="20"/>
      <w:szCs w:val="20"/>
      <w:lang w:val="en-US" w:eastAsia="ru-RU"/>
    </w:rPr>
  </w:style>
  <w:style w:type="paragraph" w:styleId="36" w:customStyle="1">
    <w:name w:val="Нумерованный список ур3"/>
    <w:basedOn w:val="Normal"/>
    <w:qFormat/>
    <w:rsid w:val="00b94aa9"/>
    <w:pPr>
      <w:tabs>
        <w:tab w:val="clear" w:pos="708"/>
        <w:tab w:val="left" w:pos="1233" w:leader="none"/>
      </w:tabs>
      <w:spacing w:lineRule="auto" w:line="240"/>
      <w:ind w:left="1233" w:hanging="360"/>
    </w:pPr>
    <w:rPr>
      <w:rFonts w:ascii="Garamond" w:hAnsi="Garamond" w:eastAsia="Times New Roman"/>
      <w:sz w:val="24"/>
      <w:szCs w:val="20"/>
      <w:lang w:eastAsia="ru-RU"/>
    </w:rPr>
  </w:style>
  <w:style w:type="paragraph" w:styleId="411" w:customStyle="1">
    <w:name w:val="Маркированный список 41"/>
    <w:basedOn w:val="Normal"/>
    <w:qFormat/>
    <w:rsid w:val="00b94aa9"/>
    <w:pPr>
      <w:tabs>
        <w:tab w:val="clear" w:pos="708"/>
        <w:tab w:val="left" w:pos="0" w:leader="none"/>
      </w:tabs>
      <w:spacing w:lineRule="auto" w:line="240" w:before="120" w:after="0"/>
      <w:ind w:left="-207" w:hanging="360"/>
    </w:pPr>
    <w:rPr>
      <w:rFonts w:ascii="Garamond" w:hAnsi="Garamond" w:eastAsia="Times New Roman"/>
      <w:sz w:val="24"/>
      <w:szCs w:val="20"/>
      <w:lang w:eastAsia="ru-RU"/>
    </w:rPr>
  </w:style>
  <w:style w:type="paragraph" w:styleId="29" w:customStyle="1">
    <w:name w:val="Нумерованный список ур2"/>
    <w:basedOn w:val="Normal"/>
    <w:qFormat/>
    <w:rsid w:val="00b94aa9"/>
    <w:pPr>
      <w:tabs>
        <w:tab w:val="clear" w:pos="708"/>
        <w:tab w:val="left" w:pos="513" w:leader="none"/>
      </w:tabs>
      <w:spacing w:lineRule="auto" w:line="240" w:before="120" w:after="0"/>
      <w:ind w:left="513" w:hanging="360"/>
    </w:pPr>
    <w:rPr>
      <w:rFonts w:ascii="Garamond" w:hAnsi="Garamond" w:eastAsia="Times New Roman"/>
      <w:sz w:val="24"/>
      <w:szCs w:val="20"/>
      <w:lang w:eastAsia="ru-RU"/>
    </w:rPr>
  </w:style>
  <w:style w:type="paragraph" w:styleId="Revision">
    <w:name w:val="Revision"/>
    <w:uiPriority w:val="99"/>
    <w:qFormat/>
    <w:rsid w:val="00b94aa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b94aa9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b94aa9"/>
    <w:pPr>
      <w:spacing w:lineRule="exact" w:line="240" w:before="0" w:after="160"/>
      <w:ind w:hanging="0"/>
    </w:pPr>
    <w:rPr>
      <w:rFonts w:ascii="Verdana" w:hAnsi="Verdana" w:eastAsia="Times New Roman" w:cs="Verdana"/>
      <w:sz w:val="22"/>
      <w:szCs w:val="22"/>
      <w:lang w:val="en-US" w:eastAsia="ru-RU"/>
    </w:rPr>
  </w:style>
  <w:style w:type="paragraph" w:styleId="Style34" w:customStyle="1">
    <w:name w:val="Пункт"/>
    <w:basedOn w:val="Normal"/>
    <w:qFormat/>
    <w:rsid w:val="00b94aa9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</w:pPr>
    <w:rPr>
      <w:rFonts w:ascii="Arial" w:hAnsi="Arial" w:eastAsia="Times New Roman"/>
      <w:b/>
      <w:i/>
      <w:szCs w:val="20"/>
      <w:lang w:eastAsia="ru-RU"/>
    </w:rPr>
  </w:style>
  <w:style w:type="paragraph" w:styleId="114" w:customStyle="1">
    <w:name w:val="Абзац списка1"/>
    <w:basedOn w:val="Normal"/>
    <w:qFormat/>
    <w:rsid w:val="00b94aa9"/>
    <w:pPr>
      <w:spacing w:before="0" w:after="200"/>
      <w:ind w:left="720" w:hanging="0"/>
      <w:contextualSpacing/>
      <w:jc w:val="left"/>
    </w:pPr>
    <w:rPr>
      <w:rFonts w:ascii="Calibri" w:hAnsi="Calibri" w:eastAsia="Times New Roman"/>
      <w:sz w:val="22"/>
      <w:szCs w:val="22"/>
    </w:rPr>
  </w:style>
  <w:style w:type="paragraph" w:styleId="Style35" w:customStyle="1">
    <w:name w:val="Таблица"/>
    <w:basedOn w:val="Normal"/>
    <w:qFormat/>
    <w:rsid w:val="00b94aa9"/>
    <w:pPr>
      <w:spacing w:lineRule="auto" w:line="240"/>
      <w:ind w:hanging="0"/>
      <w:jc w:val="left"/>
    </w:pPr>
    <w:rPr>
      <w:rFonts w:eastAsia="Times New Roman"/>
      <w:sz w:val="20"/>
      <w:szCs w:val="20"/>
      <w:lang w:eastAsia="ru-RU"/>
    </w:rPr>
  </w:style>
  <w:style w:type="paragraph" w:styleId="EndnoteText">
    <w:name w:val="Endnote Text"/>
    <w:basedOn w:val="Normal"/>
    <w:link w:val="Style13"/>
    <w:rsid w:val="00b94aa9"/>
    <w:pPr>
      <w:spacing w:lineRule="auto" w:line="240"/>
      <w:ind w:hanging="0"/>
      <w:jc w:val="left"/>
    </w:pPr>
    <w:rPr>
      <w:rFonts w:eastAsia="Times New Roman"/>
      <w:sz w:val="20"/>
      <w:szCs w:val="20"/>
      <w:lang w:eastAsia="ru-RU"/>
    </w:rPr>
  </w:style>
  <w:style w:type="paragraph" w:styleId="H2" w:customStyle="1">
    <w:name w:val="##h2*"/>
    <w:basedOn w:val="Heading2"/>
    <w:uiPriority w:val="99"/>
    <w:qFormat/>
    <w:rsid w:val="00b94aa9"/>
    <w:pPr>
      <w:keepNext w:val="false"/>
      <w:tabs>
        <w:tab w:val="clear" w:pos="708"/>
        <w:tab w:val="left" w:pos="360" w:leader="none"/>
        <w:tab w:val="left" w:pos="1695" w:leader="none"/>
      </w:tabs>
      <w:spacing w:lineRule="auto" w:line="276" w:before="0" w:after="0"/>
      <w:ind w:right="266" w:firstLine="567"/>
      <w:jc w:val="both"/>
    </w:pPr>
    <w:rPr>
      <w:rFonts w:ascii="Times New Roman" w:hAnsi="Times New Roman"/>
      <w:b w:val="false"/>
      <w:i w:val="false"/>
      <w:sz w:val="24"/>
      <w:szCs w:val="24"/>
      <w:lang w:val="ru-RU" w:eastAsia="ru-RU"/>
    </w:rPr>
  </w:style>
  <w:style w:type="paragraph" w:styleId="1111" w:customStyle="1">
    <w:name w:val="111"/>
    <w:basedOn w:val="Normal"/>
    <w:qFormat/>
    <w:rsid w:val="00b94aa9"/>
    <w:pPr>
      <w:spacing w:lineRule="auto" w:line="360"/>
      <w:ind w:left="425" w:right="851" w:firstLine="425"/>
    </w:pPr>
    <w:rPr>
      <w:rFonts w:ascii="Arial" w:hAnsi="Arial" w:eastAsia="Times New Roman"/>
      <w:iCs/>
      <w:sz w:val="22"/>
      <w:szCs w:val="32"/>
      <w:lang w:val="x-none" w:eastAsia="x-none"/>
    </w:rPr>
  </w:style>
  <w:style w:type="paragraph" w:styleId="TOC6">
    <w:name w:val="TOC 6"/>
    <w:basedOn w:val="Normal"/>
    <w:next w:val="Normal"/>
    <w:autoRedefine/>
    <w:uiPriority w:val="39"/>
    <w:unhideWhenUsed/>
    <w:rsid w:val="00b94aa9"/>
    <w:pPr>
      <w:spacing w:before="0" w:after="100"/>
      <w:ind w:left="1100" w:hanging="0"/>
      <w:jc w:val="left"/>
    </w:pPr>
    <w:rPr>
      <w:rFonts w:ascii="Calibri" w:hAnsi="Calibri" w:eastAsia="Times New Roman"/>
      <w:sz w:val="22"/>
      <w:szCs w:val="22"/>
      <w:lang w:eastAsia="ru-RU"/>
    </w:rPr>
  </w:style>
  <w:style w:type="paragraph" w:styleId="TOC7">
    <w:name w:val="TOC 7"/>
    <w:basedOn w:val="Normal"/>
    <w:next w:val="Normal"/>
    <w:autoRedefine/>
    <w:uiPriority w:val="39"/>
    <w:unhideWhenUsed/>
    <w:rsid w:val="00b94aa9"/>
    <w:pPr>
      <w:spacing w:before="0" w:after="100"/>
      <w:ind w:left="1320" w:hanging="0"/>
      <w:jc w:val="left"/>
    </w:pPr>
    <w:rPr>
      <w:rFonts w:ascii="Calibri" w:hAnsi="Calibri" w:eastAsia="Times New Roman"/>
      <w:sz w:val="22"/>
      <w:szCs w:val="22"/>
      <w:lang w:eastAsia="ru-RU"/>
    </w:rPr>
  </w:style>
  <w:style w:type="paragraph" w:styleId="TOC8">
    <w:name w:val="TOC 8"/>
    <w:basedOn w:val="Normal"/>
    <w:next w:val="Normal"/>
    <w:autoRedefine/>
    <w:uiPriority w:val="39"/>
    <w:unhideWhenUsed/>
    <w:rsid w:val="00b94aa9"/>
    <w:pPr>
      <w:spacing w:before="0" w:after="100"/>
      <w:ind w:left="1540" w:hanging="0"/>
      <w:jc w:val="left"/>
    </w:pPr>
    <w:rPr>
      <w:rFonts w:ascii="Calibri" w:hAnsi="Calibri" w:eastAsia="Times New Roman"/>
      <w:sz w:val="22"/>
      <w:szCs w:val="22"/>
      <w:lang w:eastAsia="ru-RU"/>
    </w:rPr>
  </w:style>
  <w:style w:type="paragraph" w:styleId="DocumentMap">
    <w:name w:val="Document Map"/>
    <w:basedOn w:val="Normal"/>
    <w:link w:val="Style15"/>
    <w:uiPriority w:val="99"/>
    <w:unhideWhenUsed/>
    <w:qFormat/>
    <w:rsid w:val="00b94aa9"/>
    <w:pPr>
      <w:spacing w:lineRule="auto" w:line="240"/>
      <w:ind w:hanging="0"/>
      <w:jc w:val="left"/>
    </w:pPr>
    <w:rPr>
      <w:rFonts w:ascii="Tahoma" w:hAnsi="Tahoma" w:eastAsia="Times New Roman" w:cs="Tahoma"/>
      <w:sz w:val="16"/>
      <w:szCs w:val="16"/>
      <w:lang w:eastAsia="ru-RU"/>
    </w:rPr>
  </w:style>
  <w:style w:type="paragraph" w:styleId="115" w:customStyle="1">
    <w:name w:val="Знак1"/>
    <w:basedOn w:val="Normal"/>
    <w:qFormat/>
    <w:rsid w:val="00b94aa9"/>
    <w:pPr>
      <w:tabs>
        <w:tab w:val="clear" w:pos="708"/>
        <w:tab w:val="left" w:pos="720" w:leader="none"/>
      </w:tabs>
      <w:spacing w:lineRule="exact" w:line="240" w:before="0" w:after="160"/>
      <w:ind w:left="720" w:hanging="720"/>
    </w:pPr>
    <w:rPr>
      <w:rFonts w:ascii="Verdana" w:hAnsi="Verdana" w:eastAsia="Calibri" w:cs="Verdana"/>
      <w:sz w:val="20"/>
      <w:szCs w:val="20"/>
      <w:lang w:val="en-US"/>
    </w:rPr>
  </w:style>
  <w:style w:type="paragraph" w:styleId="Msonormalcxspmiddle" w:customStyle="1">
    <w:name w:val="msonormalcxspmiddle"/>
    <w:basedOn w:val="Normal"/>
    <w:qFormat/>
    <w:rsid w:val="00b94aa9"/>
    <w:pPr>
      <w:spacing w:lineRule="auto" w:line="240" w:beforeAutospacing="1" w:afterAutospacing="1"/>
      <w:ind w:hanging="0"/>
      <w:jc w:val="left"/>
    </w:pPr>
    <w:rPr>
      <w:rFonts w:eastAsia="Times New Roman"/>
      <w:sz w:val="24"/>
      <w:szCs w:val="24"/>
      <w:lang w:eastAsia="ru-RU"/>
    </w:rPr>
  </w:style>
  <w:style w:type="paragraph" w:styleId="43" w:customStyle="1">
    <w:name w:val="Указатель4"/>
    <w:basedOn w:val="Normal"/>
    <w:qFormat/>
    <w:rsid w:val="00b94aa9"/>
    <w:pPr>
      <w:suppressLineNumbers/>
    </w:pPr>
    <w:rPr>
      <w:rFonts w:eastAsia="Calibri" w:cs="Lohit Hindi"/>
      <w:lang w:eastAsia="zh-CN"/>
    </w:rPr>
  </w:style>
  <w:style w:type="paragraph" w:styleId="210" w:customStyle="1">
    <w:name w:val="Название объекта2"/>
    <w:basedOn w:val="Normal"/>
    <w:qFormat/>
    <w:rsid w:val="00b94aa9"/>
    <w:pPr>
      <w:suppressLineNumbers/>
      <w:spacing w:before="120" w:after="120"/>
    </w:pPr>
    <w:rPr>
      <w:rFonts w:eastAsia="Calibri" w:cs="Lohit Hindi"/>
      <w:i/>
      <w:iCs/>
      <w:sz w:val="24"/>
      <w:szCs w:val="24"/>
      <w:lang w:eastAsia="zh-CN"/>
    </w:rPr>
  </w:style>
  <w:style w:type="paragraph" w:styleId="38" w:customStyle="1">
    <w:name w:val="Указатель3"/>
    <w:basedOn w:val="Normal"/>
    <w:qFormat/>
    <w:rsid w:val="00b94aa9"/>
    <w:pPr>
      <w:suppressLineNumbers/>
    </w:pPr>
    <w:rPr>
      <w:rFonts w:eastAsia="Calibri" w:cs="Lohit Hindi"/>
      <w:lang w:eastAsia="zh-CN"/>
    </w:rPr>
  </w:style>
  <w:style w:type="paragraph" w:styleId="116" w:customStyle="1">
    <w:name w:val="Название объекта1"/>
    <w:basedOn w:val="Normal"/>
    <w:qFormat/>
    <w:rsid w:val="00b94aa9"/>
    <w:pPr>
      <w:suppressLineNumbers/>
      <w:spacing w:before="120" w:after="120"/>
    </w:pPr>
    <w:rPr>
      <w:rFonts w:eastAsia="Calibri" w:cs="Lohit Hindi"/>
      <w:i/>
      <w:iCs/>
      <w:sz w:val="24"/>
      <w:szCs w:val="24"/>
      <w:lang w:eastAsia="zh-CN"/>
    </w:rPr>
  </w:style>
  <w:style w:type="paragraph" w:styleId="211" w:customStyle="1">
    <w:name w:val="Указатель2"/>
    <w:basedOn w:val="Normal"/>
    <w:qFormat/>
    <w:rsid w:val="00b94aa9"/>
    <w:pPr>
      <w:suppressLineNumbers/>
    </w:pPr>
    <w:rPr>
      <w:rFonts w:eastAsia="Calibri" w:cs="Lohit Hindi"/>
      <w:lang w:eastAsia="zh-CN"/>
    </w:rPr>
  </w:style>
  <w:style w:type="paragraph" w:styleId="117" w:customStyle="1">
    <w:name w:val="Название1"/>
    <w:basedOn w:val="Normal"/>
    <w:qFormat/>
    <w:rsid w:val="00b94aa9"/>
    <w:pPr>
      <w:suppressLineNumbers/>
      <w:spacing w:before="120" w:after="120"/>
    </w:pPr>
    <w:rPr>
      <w:rFonts w:eastAsia="Calibri" w:cs="Lohit Hindi"/>
      <w:i/>
      <w:iCs/>
      <w:sz w:val="24"/>
      <w:szCs w:val="24"/>
      <w:lang w:eastAsia="zh-CN"/>
    </w:rPr>
  </w:style>
  <w:style w:type="paragraph" w:styleId="118" w:customStyle="1">
    <w:name w:val="Указатель1"/>
    <w:basedOn w:val="Normal"/>
    <w:qFormat/>
    <w:rsid w:val="00b94aa9"/>
    <w:pPr>
      <w:suppressLineNumbers/>
    </w:pPr>
    <w:rPr>
      <w:rFonts w:eastAsia="Calibri" w:cs="Lohit Hindi"/>
      <w:lang w:eastAsia="zh-CN"/>
    </w:rPr>
  </w:style>
  <w:style w:type="paragraph" w:styleId="119" w:customStyle="1">
    <w:name w:val="Обычный1"/>
    <w:qFormat/>
    <w:rsid w:val="00b94aa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Calibri"/>
      <w:color w:val="000000"/>
      <w:kern w:val="0"/>
      <w:sz w:val="24"/>
      <w:szCs w:val="24"/>
      <w:lang w:val="ru-RU" w:eastAsia="zh-CN" w:bidi="ar-SA"/>
    </w:rPr>
  </w:style>
  <w:style w:type="paragraph" w:styleId="Style36" w:customStyle="1">
    <w:name w:val="Содержимое таблицы"/>
    <w:basedOn w:val="Normal"/>
    <w:qFormat/>
    <w:rsid w:val="00b94aa9"/>
    <w:pPr>
      <w:suppressLineNumbers/>
    </w:pPr>
    <w:rPr>
      <w:rFonts w:eastAsia="Calibri" w:cs="Calibri"/>
      <w:lang w:eastAsia="zh-CN"/>
    </w:rPr>
  </w:style>
  <w:style w:type="paragraph" w:styleId="Style37" w:customStyle="1">
    <w:name w:val="Заголовок таблицы"/>
    <w:basedOn w:val="Style36"/>
    <w:qFormat/>
    <w:rsid w:val="00b94aa9"/>
    <w:pPr>
      <w:jc w:val="center"/>
    </w:pPr>
    <w:rPr>
      <w:b/>
      <w:bCs/>
    </w:rPr>
  </w:style>
  <w:style w:type="paragraph" w:styleId="Style38" w:customStyle="1">
    <w:name w:val="Содержимое врезки"/>
    <w:basedOn w:val="BodyText"/>
    <w:qFormat/>
    <w:rsid w:val="00b94aa9"/>
    <w:pPr>
      <w:spacing w:lineRule="auto" w:line="276"/>
      <w:ind w:firstLine="709"/>
      <w:jc w:val="both"/>
    </w:pPr>
    <w:rPr>
      <w:rFonts w:eastAsia="Calibri" w:cs="Calibri"/>
      <w:lang w:val="ru-RU" w:eastAsia="zh-CN"/>
    </w:rPr>
  </w:style>
  <w:style w:type="paragraph" w:styleId="120" w:customStyle="1">
    <w:name w:val="Текст примечания1"/>
    <w:basedOn w:val="Normal"/>
    <w:qFormat/>
    <w:rsid w:val="00b94aa9"/>
    <w:pPr/>
    <w:rPr>
      <w:rFonts w:eastAsia="Calibri" w:cs="Calibri"/>
      <w:sz w:val="20"/>
      <w:szCs w:val="20"/>
      <w:lang w:eastAsia="zh-CN"/>
    </w:rPr>
  </w:style>
  <w:style w:type="paragraph" w:styleId="Style39" w:customStyle="1">
    <w:name w:val="Обычный+ без отступа"/>
    <w:basedOn w:val="Normal"/>
    <w:qFormat/>
    <w:rsid w:val="00b94aa9"/>
    <w:pPr>
      <w:spacing w:lineRule="auto" w:line="360" w:before="120" w:after="0"/>
      <w:ind w:hanging="0"/>
    </w:pPr>
    <w:rPr>
      <w:rFonts w:eastAsia="MS Mincho"/>
      <w:lang w:eastAsia="ru-RU"/>
    </w:rPr>
  </w:style>
  <w:style w:type="paragraph" w:styleId="Style40" w:customStyle="1">
    <w:name w:val="Таблица шапка"/>
    <w:basedOn w:val="Normal"/>
    <w:qFormat/>
    <w:rsid w:val="00b94aa9"/>
    <w:pPr>
      <w:keepNext w:val="true"/>
      <w:spacing w:lineRule="auto" w:line="240" w:before="40" w:after="40"/>
      <w:ind w:left="57" w:right="57" w:hanging="0"/>
      <w:jc w:val="left"/>
    </w:pPr>
    <w:rPr>
      <w:rFonts w:eastAsia="Times New Roman"/>
      <w:sz w:val="18"/>
      <w:szCs w:val="18"/>
      <w:lang w:eastAsia="ru-RU"/>
    </w:rPr>
  </w:style>
  <w:style w:type="paragraph" w:styleId="Style41" w:customStyle="1">
    <w:name w:val="Текст таблицы"/>
    <w:basedOn w:val="Normal"/>
    <w:qFormat/>
    <w:rsid w:val="00b94aa9"/>
    <w:pPr>
      <w:spacing w:lineRule="auto" w:line="240" w:before="40" w:after="40"/>
      <w:ind w:left="57" w:right="57" w:hanging="0"/>
      <w:jc w:val="left"/>
    </w:pPr>
    <w:rPr>
      <w:rFonts w:eastAsia="Times New Roman"/>
      <w:sz w:val="24"/>
      <w:szCs w:val="24"/>
      <w:lang w:eastAsia="ru-RU"/>
    </w:rPr>
  </w:style>
  <w:style w:type="paragraph" w:styleId="Style42" w:customStyle="1">
    <w:name w:val="Пункт Знак"/>
    <w:basedOn w:val="Normal"/>
    <w:qFormat/>
    <w:rsid w:val="00b94aa9"/>
    <w:pPr>
      <w:tabs>
        <w:tab w:val="clear" w:pos="708"/>
        <w:tab w:val="left" w:pos="851" w:leader="none"/>
        <w:tab w:val="left" w:pos="1134" w:leader="none"/>
        <w:tab w:val="left" w:pos="1844" w:leader="none"/>
      </w:tabs>
      <w:snapToGrid w:val="false"/>
      <w:spacing w:lineRule="auto" w:line="360"/>
      <w:ind w:left="1844" w:hanging="567"/>
    </w:pPr>
    <w:rPr>
      <w:rFonts w:eastAsia="Times New Roman"/>
      <w:b/>
      <w:szCs w:val="20"/>
      <w:lang w:eastAsia="ru-RU"/>
    </w:rPr>
  </w:style>
  <w:style w:type="paragraph" w:styleId="Style43" w:customStyle="1">
    <w:name w:val="Подподпункт"/>
    <w:basedOn w:val="Style29"/>
    <w:qFormat/>
    <w:rsid w:val="00b94aa9"/>
    <w:pPr>
      <w:tabs>
        <w:tab w:val="left" w:pos="851" w:leader="none"/>
        <w:tab w:val="left" w:pos="1134" w:leader="none"/>
        <w:tab w:val="left" w:pos="1277" w:leader="none"/>
        <w:tab w:val="left" w:pos="1418" w:leader="none"/>
      </w:tabs>
      <w:snapToGrid w:val="true"/>
      <w:ind w:left="1277" w:hanging="567"/>
    </w:pPr>
    <w:rPr>
      <w:b/>
      <w:lang w:val="ru-RU" w:eastAsia="ru-RU"/>
    </w:rPr>
  </w:style>
  <w:style w:type="paragraph" w:styleId="Style44" w:customStyle="1">
    <w:name w:val="Подподподпункт"/>
    <w:basedOn w:val="Normal"/>
    <w:qFormat/>
    <w:rsid w:val="00b94aa9"/>
    <w:pPr>
      <w:tabs>
        <w:tab w:val="clear" w:pos="708"/>
        <w:tab w:val="left" w:pos="1134" w:leader="none"/>
        <w:tab w:val="left" w:pos="1701" w:leader="none"/>
      </w:tabs>
      <w:snapToGrid w:val="false"/>
      <w:spacing w:lineRule="auto" w:line="360"/>
      <w:ind w:left="1718" w:hanging="1008"/>
    </w:pPr>
    <w:rPr>
      <w:rFonts w:eastAsia="Times New Roman"/>
      <w:szCs w:val="20"/>
      <w:lang w:eastAsia="ru-RU"/>
    </w:rPr>
  </w:style>
  <w:style w:type="paragraph" w:styleId="121" w:customStyle="1">
    <w:name w:val="Пункт1"/>
    <w:basedOn w:val="Normal"/>
    <w:qFormat/>
    <w:rsid w:val="00b94aa9"/>
    <w:pPr>
      <w:tabs>
        <w:tab w:val="clear" w:pos="708"/>
        <w:tab w:val="left" w:pos="567" w:leader="none"/>
      </w:tabs>
      <w:snapToGrid w:val="false"/>
      <w:spacing w:lineRule="auto" w:line="360" w:before="240" w:after="0"/>
      <w:ind w:left="567" w:hanging="279"/>
      <w:jc w:val="center"/>
    </w:pPr>
    <w:rPr>
      <w:rFonts w:ascii="Arial" w:hAnsi="Arial" w:eastAsia="Times New Roman"/>
      <w:b/>
      <w:lang w:eastAsia="ru-RU"/>
    </w:rPr>
  </w:style>
  <w:style w:type="paragraph" w:styleId="39" w:customStyle="1">
    <w:name w:val="Пункт_3"/>
    <w:basedOn w:val="Normal"/>
    <w:uiPriority w:val="99"/>
    <w:qFormat/>
    <w:rsid w:val="00b94aa9"/>
    <w:pPr>
      <w:tabs>
        <w:tab w:val="clear" w:pos="708"/>
        <w:tab w:val="left" w:pos="1134" w:leader="none"/>
      </w:tabs>
      <w:snapToGrid w:val="false"/>
      <w:spacing w:lineRule="auto" w:line="360"/>
      <w:ind w:left="1134" w:hanging="1133"/>
    </w:pPr>
    <w:rPr>
      <w:rFonts w:eastAsia="Times New Roman"/>
      <w:szCs w:val="20"/>
      <w:lang w:eastAsia="ru-RU"/>
    </w:rPr>
  </w:style>
  <w:style w:type="paragraph" w:styleId="212" w:customStyle="1">
    <w:name w:val="Абзац списка2"/>
    <w:basedOn w:val="Normal"/>
    <w:qFormat/>
    <w:rsid w:val="00b94aa9"/>
    <w:pPr>
      <w:spacing w:before="0" w:after="200"/>
      <w:ind w:left="720" w:hanging="0"/>
      <w:contextualSpacing/>
      <w:jc w:val="left"/>
    </w:pPr>
    <w:rPr>
      <w:rFonts w:ascii="Calibri" w:hAnsi="Calibri" w:eastAsia="Times New Roman"/>
      <w:sz w:val="22"/>
      <w:szCs w:val="22"/>
      <w:lang w:eastAsia="ru-RU"/>
    </w:rPr>
  </w:style>
  <w:style w:type="paragraph" w:styleId="213" w:customStyle="1">
    <w:name w:val="Стиль2"/>
    <w:basedOn w:val="Normal"/>
    <w:link w:val="25"/>
    <w:qFormat/>
    <w:rsid w:val="00b94aa9"/>
    <w:pPr>
      <w:spacing w:lineRule="exact" w:line="400" w:before="0" w:after="120"/>
      <w:ind w:left="792" w:hanging="432"/>
    </w:pPr>
    <w:rPr>
      <w:rFonts w:eastAsia="Times New Roman"/>
      <w:bCs/>
      <w:sz w:val="24"/>
      <w:szCs w:val="24"/>
      <w:lang w:eastAsia="ru-RU"/>
    </w:rPr>
  </w:style>
  <w:style w:type="paragraph" w:styleId="310" w:customStyle="1">
    <w:name w:val="Стиль3"/>
    <w:basedOn w:val="Normal"/>
    <w:link w:val="34"/>
    <w:qFormat/>
    <w:rsid w:val="00b94aa9"/>
    <w:pPr>
      <w:tabs>
        <w:tab w:val="clear" w:pos="708"/>
        <w:tab w:val="left" w:pos="420" w:leader="none"/>
      </w:tabs>
      <w:spacing w:lineRule="exact" w:line="400"/>
      <w:ind w:left="1224" w:hanging="504"/>
    </w:pPr>
    <w:rPr>
      <w:rFonts w:eastAsia="Times New Roman"/>
      <w:sz w:val="24"/>
      <w:szCs w:val="24"/>
      <w:lang w:eastAsia="ru-RU"/>
    </w:rPr>
  </w:style>
  <w:style w:type="paragraph" w:styleId="52" w:customStyle="1">
    <w:name w:val="Стиль5"/>
    <w:basedOn w:val="Normal"/>
    <w:link w:val="51"/>
    <w:qFormat/>
    <w:rsid w:val="00b94aa9"/>
    <w:pPr>
      <w:spacing w:lineRule="auto" w:line="240"/>
      <w:ind w:left="1783" w:hanging="648"/>
      <w:jc w:val="left"/>
    </w:pPr>
    <w:rPr>
      <w:rFonts w:eastAsia="Times New Roman"/>
      <w:lang w:eastAsia="ru-RU"/>
    </w:rPr>
  </w:style>
  <w:style w:type="paragraph" w:styleId="82" w:customStyle="1">
    <w:name w:val="Стиль8"/>
    <w:basedOn w:val="Normal"/>
    <w:link w:val="81"/>
    <w:qFormat/>
    <w:rsid w:val="00b94aa9"/>
    <w:pPr>
      <w:pageBreakBefore/>
      <w:tabs>
        <w:tab w:val="clear" w:pos="708"/>
        <w:tab w:val="left" w:pos="1260" w:leader="none"/>
      </w:tabs>
      <w:spacing w:lineRule="auto" w:line="240"/>
      <w:ind w:hanging="1077"/>
      <w:jc w:val="right"/>
    </w:pPr>
    <w:rPr>
      <w:rFonts w:eastAsia="Times New Roman"/>
      <w:sz w:val="24"/>
      <w:szCs w:val="22"/>
      <w:lang w:eastAsia="ru-RU"/>
    </w:rPr>
  </w:style>
  <w:style w:type="paragraph" w:styleId="Style61" w:customStyle="1">
    <w:name w:val="Style6"/>
    <w:basedOn w:val="Normal"/>
    <w:qFormat/>
    <w:rsid w:val="00b94aa9"/>
    <w:pPr>
      <w:widowControl w:val="false"/>
      <w:spacing w:lineRule="exact" w:line="263"/>
      <w:ind w:hanging="0"/>
    </w:pPr>
    <w:rPr>
      <w:rFonts w:eastAsia="Malgun Gothic"/>
      <w:sz w:val="24"/>
      <w:szCs w:val="24"/>
      <w:lang w:eastAsia="ru-RU"/>
    </w:rPr>
  </w:style>
  <w:style w:type="paragraph" w:styleId="Style71" w:customStyle="1">
    <w:name w:val="Style7"/>
    <w:basedOn w:val="Normal"/>
    <w:qFormat/>
    <w:rsid w:val="00b94aa9"/>
    <w:pPr>
      <w:widowControl w:val="false"/>
      <w:spacing w:lineRule="exact" w:line="262"/>
      <w:ind w:firstLine="288"/>
    </w:pPr>
    <w:rPr>
      <w:rFonts w:eastAsia="Malgun Gothic"/>
      <w:sz w:val="24"/>
      <w:szCs w:val="24"/>
      <w:lang w:eastAsia="ru-RU"/>
    </w:rPr>
  </w:style>
  <w:style w:type="paragraph" w:styleId="Style45" w:customStyle="1">
    <w:name w:val="Обычный список маркированный"/>
    <w:basedOn w:val="Normal"/>
    <w:link w:val="Style18"/>
    <w:qFormat/>
    <w:rsid w:val="00b94aa9"/>
    <w:pPr>
      <w:tabs>
        <w:tab w:val="clear" w:pos="708"/>
        <w:tab w:val="left" w:pos="0" w:leader="none"/>
      </w:tabs>
      <w:spacing w:lineRule="auto" w:line="240" w:before="0" w:after="240"/>
      <w:ind w:left="1429" w:hanging="360"/>
      <w:contextualSpacing/>
    </w:pPr>
    <w:rPr>
      <w:rFonts w:ascii="Arial" w:hAnsi="Arial" w:eastAsia="Times New Roman"/>
      <w:szCs w:val="22"/>
      <w:lang w:val="x-none"/>
    </w:rPr>
  </w:style>
  <w:style w:type="paragraph" w:styleId="Default" w:customStyle="1">
    <w:name w:val="Default"/>
    <w:qFormat/>
    <w:rsid w:val="00b94aa9"/>
    <w:pPr>
      <w:widowControl/>
      <w:suppressAutoHyphens w:val="true"/>
      <w:bidi w:val="0"/>
      <w:spacing w:before="0" w:after="0"/>
      <w:jc w:val="left"/>
    </w:pPr>
    <w:rPr>
      <w:rFonts w:ascii="Myriad Pro" w:hAnsi="Myriad Pro" w:eastAsia="Calibri" w:cs="Myriad Pro"/>
      <w:color w:val="000000"/>
      <w:kern w:val="0"/>
      <w:sz w:val="24"/>
      <w:szCs w:val="24"/>
      <w:lang w:val="ru-RU" w:eastAsia="ru-RU" w:bidi="ar-SA"/>
    </w:rPr>
  </w:style>
  <w:style w:type="paragraph" w:styleId="ConsPlusTitle" w:customStyle="1">
    <w:name w:val="ConsPlusTitle"/>
    <w:qFormat/>
    <w:rsid w:val="00b94aa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3TimesNewRoman12" w:customStyle="1">
    <w:name w:val="Стиль Заголовок 3 + Times New Roman 12 пт"/>
    <w:basedOn w:val="Normal"/>
    <w:qFormat/>
    <w:rsid w:val="00b94aa9"/>
    <w:pPr>
      <w:spacing w:lineRule="auto" w:line="240"/>
      <w:ind w:hanging="0"/>
      <w:jc w:val="left"/>
    </w:pPr>
    <w:rPr>
      <w:rFonts w:eastAsia="Times New Roman"/>
      <w:lang w:eastAsia="ru-RU"/>
    </w:rPr>
  </w:style>
  <w:style w:type="paragraph" w:styleId="214" w:customStyle="1">
    <w:name w:val="Обычный2"/>
    <w:qFormat/>
    <w:rsid w:val="00b94aa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Calibri"/>
      <w:color w:val="000000"/>
      <w:kern w:val="0"/>
      <w:sz w:val="24"/>
      <w:szCs w:val="24"/>
      <w:lang w:val="ru-RU" w:eastAsia="zh-CN" w:bidi="ar-SA"/>
    </w:rPr>
  </w:style>
  <w:style w:type="paragraph" w:styleId="44" w:customStyle="1">
    <w:name w:val="Стиль4"/>
    <w:basedOn w:val="Normal"/>
    <w:link w:val="42"/>
    <w:qFormat/>
    <w:rsid w:val="00b94aa9"/>
    <w:pPr>
      <w:tabs>
        <w:tab w:val="clear" w:pos="708"/>
        <w:tab w:val="left" w:pos="420" w:leader="none"/>
      </w:tabs>
      <w:spacing w:lineRule="exact" w:line="400"/>
      <w:ind w:left="1080" w:hanging="0"/>
    </w:pPr>
    <w:rPr>
      <w:rFonts w:eastAsia="Times New Roman"/>
      <w:b/>
      <w:sz w:val="24"/>
      <w:szCs w:val="24"/>
      <w:lang w:eastAsia="ru-RU"/>
    </w:rPr>
  </w:style>
  <w:style w:type="paragraph" w:styleId="62" w:customStyle="1">
    <w:name w:val="Стиль6"/>
    <w:basedOn w:val="52"/>
    <w:link w:val="61"/>
    <w:qFormat/>
    <w:rsid w:val="00b94aa9"/>
    <w:pPr>
      <w:tabs>
        <w:tab w:val="clear" w:pos="708"/>
        <w:tab w:val="left" w:pos="1953" w:leader="none"/>
      </w:tabs>
      <w:ind w:left="1925" w:hanging="648"/>
    </w:pPr>
    <w:rPr/>
  </w:style>
  <w:style w:type="paragraph" w:styleId="72" w:customStyle="1">
    <w:name w:val="Стиль7"/>
    <w:basedOn w:val="62"/>
    <w:link w:val="71"/>
    <w:qFormat/>
    <w:rsid w:val="00b94aa9"/>
    <w:pPr/>
    <w:rPr>
      <w:sz w:val="24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b94aa9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  <w:ind w:hanging="0"/>
      <w:jc w:val="lef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Headertext" w:customStyle="1">
    <w:name w:val="headertext"/>
    <w:basedOn w:val="Normal"/>
    <w:qFormat/>
    <w:rsid w:val="00ce7a4e"/>
    <w:pPr>
      <w:spacing w:lineRule="auto" w:line="240" w:beforeAutospacing="1" w:afterAutospacing="1"/>
      <w:ind w:hanging="0"/>
      <w:jc w:val="left"/>
    </w:pPr>
    <w:rPr>
      <w:rFonts w:eastAsia="Times New Roman"/>
      <w:sz w:val="24"/>
      <w:szCs w:val="24"/>
      <w:lang w:eastAsia="ru-RU"/>
    </w:rPr>
  </w:style>
  <w:style w:type="paragraph" w:styleId="Formattext" w:customStyle="1">
    <w:name w:val="formattext"/>
    <w:basedOn w:val="Normal"/>
    <w:qFormat/>
    <w:rsid w:val="00ce7a4e"/>
    <w:pPr>
      <w:spacing w:lineRule="auto" w:line="240" w:beforeAutospacing="1" w:afterAutospacing="1"/>
      <w:ind w:hanging="0"/>
      <w:jc w:val="left"/>
    </w:pPr>
    <w:rPr>
      <w:rFonts w:eastAsia="Times New Roman"/>
      <w:sz w:val="24"/>
      <w:szCs w:val="24"/>
      <w:lang w:eastAsia="ru-RU"/>
    </w:rPr>
  </w:style>
  <w:style w:type="paragraph" w:styleId="Style46" w:customStyle="1">
    <w:name w:val="Описание"/>
    <w:basedOn w:val="Normal"/>
    <w:qFormat/>
    <w:pPr>
      <w:spacing w:before="120" w:after="60"/>
      <w:ind w:left="431" w:hanging="0"/>
      <w:contextualSpacing/>
    </w:pPr>
    <w:rPr>
      <w:lang w:val="x-none" w:eastAsia="x-none"/>
    </w:rPr>
  </w:style>
  <w:style w:type="paragraph" w:styleId="Dt-p" w:customStyle="1">
    <w:name w:val="dt-p"/>
    <w:basedOn w:val="Normal"/>
    <w:qFormat/>
    <w:rsid w:val="00a95279"/>
    <w:pPr>
      <w:spacing w:lineRule="auto" w:line="240" w:before="280" w:after="280"/>
      <w:ind w:hanging="0"/>
      <w:jc w:val="left"/>
    </w:pPr>
    <w:rPr>
      <w:rFonts w:eastAsia="Times New Roman"/>
      <w:sz w:val="24"/>
      <w:szCs w:val="24"/>
      <w:lang w:eastAsia="ru-RU"/>
    </w:rPr>
  </w:style>
  <w:style w:type="paragraph" w:styleId="ConsPlusNonformat" w:customStyle="1">
    <w:name w:val="ConsPlusNonformat"/>
    <w:basedOn w:val="Normal"/>
    <w:qFormat/>
    <w:rsid w:val="00a95279"/>
    <w:pPr>
      <w:spacing w:lineRule="auto" w:line="240"/>
      <w:ind w:hanging="0"/>
      <w:jc w:val="left"/>
    </w:pPr>
    <w:rPr>
      <w:rFonts w:ascii="Courier New" w:hAnsi="Courier New" w:eastAsia="Calibri" w:cs="Courier New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22" w:customStyle="1">
    <w:name w:val="Стиль1"/>
    <w:uiPriority w:val="99"/>
    <w:qFormat/>
    <w:rsid w:val="00b94aa9"/>
  </w:style>
  <w:style w:type="numbering" w:styleId="123" w:customStyle="1">
    <w:name w:val="Нет списка1"/>
    <w:uiPriority w:val="99"/>
    <w:semiHidden/>
    <w:unhideWhenUsed/>
    <w:qFormat/>
    <w:rsid w:val="00b94aa9"/>
  </w:style>
  <w:style w:type="numbering" w:styleId="1110" w:customStyle="1">
    <w:name w:val="Нет списка11"/>
    <w:uiPriority w:val="99"/>
    <w:semiHidden/>
    <w:unhideWhenUsed/>
    <w:qFormat/>
    <w:rsid w:val="00b94aa9"/>
  </w:style>
  <w:style w:type="numbering" w:styleId="215" w:customStyle="1">
    <w:name w:val="Нет списка2"/>
    <w:uiPriority w:val="99"/>
    <w:semiHidden/>
    <w:unhideWhenUsed/>
    <w:qFormat/>
    <w:rsid w:val="00b94aa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5">
    <w:name w:val="Table Grid"/>
    <w:basedOn w:val="a1"/>
    <w:uiPriority w:val="59"/>
    <w:rsid w:val="00b94aa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8">
    <w:name w:val="Сетка таблицы1"/>
    <w:basedOn w:val="a1"/>
    <w:rsid w:val="00b94aa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">
    <w:name w:val="Сетка таблицы11"/>
    <w:basedOn w:val="a1"/>
    <w:rsid w:val="00b94aa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4">
    <w:name w:val="Сетка таблицы2"/>
    <w:basedOn w:val="a1"/>
    <w:uiPriority w:val="59"/>
    <w:rsid w:val="00b94a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e">
    <w:name w:val="Сетка таблицы3"/>
    <w:basedOn w:val="a1"/>
    <w:rsid w:val="00b94aa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">
    <w:name w:val="Сетка таблицы111"/>
    <w:basedOn w:val="a1"/>
    <w:rsid w:val="00b94aa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">
    <w:name w:val="Сетка таблицы4"/>
    <w:basedOn w:val="a1"/>
    <w:rsid w:val="00b94aa9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">
    <w:name w:val="Сетка таблицы5"/>
    <w:basedOn w:val="a1"/>
    <w:uiPriority w:val="39"/>
    <w:rsid w:val="0095544b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zlovaES@lhp.ru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1D0A3-0CEC-4A89-B35A-A44CD043C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Application>AlterOffice/2025.3.0.0$Linux_X86_64 LibreOffice_project/4ba31b6a4271509a884f95065d0a726e9cb2bdbb</Application>
  <AppVersion>15.0000</AppVersion>
  <Pages>10</Pages>
  <Words>1750</Words>
  <Characters>12032</Characters>
  <CharactersWithSpaces>13541</CharactersWithSpaces>
  <Paragraphs>232</Paragraphs>
  <Company>Ленгидропроект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2026-08-24T08:08:00Z</dcterms:created>
  <dc:creator>Вавилова Анна Владиславовна</dc:creator>
  <dc:description/>
  <dc:language>ru-RU</dc:language>
  <cp:lastModifiedBy>kozlovaes</cp:lastModifiedBy>
  <dcterms:modified xsi:type="dcterms:W3CDTF">2026-10-13T14:59:07Z</dcterms:modified>
  <cp:revision>44</cp:revision>
  <dc:subject/>
  <dc:title>ТЗ Хук-Браун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