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Cs w:val="26"/>
        </w:rPr>
      </w:pPr>
      <w:r>
        <w:rPr>
          <w:rFonts w:eastAsia="Calibri"/>
          <w:b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Normal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  <w:t>ОКПД2: 28.92.61.120 Поставка элементов ходовой части для экскаватора HYUNDAI R210LC-7  в г. Хабаровск для нужд Хабаровского участка расчистки просек Дальневосточного филиала АО «ТК РусГидро»</w:t>
      </w:r>
    </w:p>
    <w:p>
      <w:pPr>
        <w:pStyle w:val="Normal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  <w:t>Ло</w:t>
      </w:r>
      <w:r>
        <w:rPr>
          <w:rFonts w:eastAsia="Calibri"/>
          <w:b/>
          <w:i/>
          <w:shd w:fill="auto" w:val="clear"/>
        </w:rPr>
        <w:t>т № 3222-ЭКСП ПРОД-2026-ТК_Дальневост_фил</w:t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_RefHeading___Toc2114_2713773899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2"/>
            <w:tabs>
              <w:tab w:val="clear" w:pos="709"/>
              <w:tab w:val="right" w:pos="9921" w:leader="dot"/>
            </w:tabs>
            <w:rPr/>
          </w:pPr>
          <w:hyperlink w:anchor="__RefHeading___Toc2116_2713773899">
            <w:r>
              <w:rPr>
                <w:rStyle w:val="Style14"/>
              </w:rPr>
              <w:t>1.1. Обозначения и сокращения</w:t>
              <w:tab/>
              <w:t>3</w:t>
            </w:r>
          </w:hyperlink>
        </w:p>
        <w:p>
          <w:pPr>
            <w:pStyle w:val="TOC2"/>
            <w:tabs>
              <w:tab w:val="clear" w:pos="709"/>
              <w:tab w:val="right" w:pos="9921" w:leader="dot"/>
            </w:tabs>
            <w:rPr/>
          </w:pPr>
          <w:hyperlink w:anchor="__RefHeading___Toc2118_2713773899">
            <w:r>
              <w:rPr>
                <w:rStyle w:val="Style14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2"/>
            <w:tabs>
              <w:tab w:val="clear" w:pos="709"/>
              <w:tab w:val="right" w:pos="9921" w:leader="dot"/>
            </w:tabs>
            <w:rPr/>
          </w:pPr>
          <w:hyperlink w:anchor="__RefHeading___Toc2120_2713773899">
            <w:r>
              <w:rPr>
                <w:rStyle w:val="Style14"/>
              </w:rPr>
              <w:t>1.3. Цель использования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2124_2713773899">
            <w:r>
              <w:rPr>
                <w:rStyle w:val="Style14"/>
              </w:rPr>
              <w:t>2. Требования к продукции</w:t>
              <w:tab/>
              <w:t>3</w:t>
            </w:r>
          </w:hyperlink>
        </w:p>
        <w:p>
          <w:pPr>
            <w:pStyle w:val="TOC2"/>
            <w:tabs>
              <w:tab w:val="clear" w:pos="709"/>
              <w:tab w:val="right" w:pos="9921" w:leader="dot"/>
            </w:tabs>
            <w:rPr/>
          </w:pPr>
          <w:hyperlink w:anchor="__RefHeading___Toc2126_2713773899">
            <w:r>
              <w:rPr>
                <w:rStyle w:val="Style14"/>
              </w:rPr>
              <w:t>2.1. Требования к объемам и срокам поставки</w:t>
              <w:tab/>
              <w:t>3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128_2713773899">
            <w:r>
              <w:rPr>
                <w:rStyle w:val="Style14"/>
              </w:rPr>
              <w:t>2.1.1. Перечень и объем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2130_2713773899">
            <w:r>
              <w:rPr>
                <w:rStyle w:val="Style14"/>
              </w:rPr>
              <w:t>Таблица 1.1 Перечень и объем закупаемой продукции</w:t>
              <w:tab/>
              <w:t>3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132_2713773899">
            <w:r>
              <w:rPr>
                <w:rStyle w:val="Style14"/>
              </w:rPr>
              <w:t>2.1.2. Требования к срокам поставки продукции и оказания сопутствующих услуг</w:t>
              <w:tab/>
              <w:t>3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2134_2713773899">
            <w:r>
              <w:rPr>
                <w:rStyle w:val="Style14"/>
              </w:rPr>
              <w:t>Таблица 2.1 Требования по срокам поставки продукции</w:t>
              <w:tab/>
              <w:t>3</w:t>
            </w:r>
          </w:hyperlink>
        </w:p>
        <w:p>
          <w:pPr>
            <w:pStyle w:val="TOC2"/>
            <w:tabs>
              <w:tab w:val="clear" w:pos="709"/>
              <w:tab w:val="right" w:pos="9921" w:leader="dot"/>
            </w:tabs>
            <w:rPr/>
          </w:pPr>
          <w:hyperlink w:anchor="__RefHeading___Toc5971_995959555">
            <w:r>
              <w:rPr>
                <w:rStyle w:val="Style14"/>
              </w:rPr>
              <w:t>2.2. Требования к качеству продукции</w:t>
              <w:tab/>
              <w:t>4</w:t>
            </w:r>
          </w:hyperlink>
        </w:p>
        <w:p>
          <w:pPr>
            <w:pStyle w:val="TOC2"/>
            <w:tabs>
              <w:tab w:val="clear" w:pos="709"/>
              <w:tab w:val="right" w:pos="9921" w:leader="dot"/>
            </w:tabs>
            <w:rPr/>
          </w:pPr>
          <w:hyperlink w:anchor="__RefHeading___Toc5973_995959555">
            <w:r>
              <w:rPr>
                <w:rStyle w:val="Style14"/>
              </w:rPr>
              <w:t>Таблица 3. Требования к продукции</w:t>
              <w:tab/>
              <w:t>4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6071_995959555">
            <w:r>
              <w:rPr>
                <w:rStyle w:val="Style14"/>
              </w:rPr>
              <w:t>3. Требования к документации по ценообразованию на этапе закупки</w:t>
              <w:tab/>
              <w:t>7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ListParagraph"/>
        <w:ind w:hanging="0" w:left="108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</w:r>
    </w:p>
    <w:p>
      <w:pPr>
        <w:pStyle w:val="TOC1"/>
        <w:tabs>
          <w:tab w:val="clear" w:pos="709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" w:cs="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Heading2"/>
        <w:numPr>
          <w:ilvl w:val="0"/>
          <w:numId w:val="0"/>
        </w:numPr>
        <w:ind w:hanging="0" w:left="0" w:right="57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tabs>
          <w:tab w:val="clear" w:pos="709"/>
        </w:tabs>
        <w:spacing w:before="119" w:after="62"/>
        <w:ind w:hanging="363" w:left="788" w:right="0"/>
        <w:jc w:val="both"/>
        <w:rPr/>
      </w:pPr>
      <w:bookmarkStart w:id="0" w:name="__RefHeading___Toc2114_2713773899"/>
      <w:bookmarkStart w:id="1" w:name="_Toc51339692"/>
      <w:bookmarkStart w:id="2" w:name="_Toc75446566"/>
      <w:bookmarkEnd w:id="0"/>
      <w:r>
        <w:rPr>
          <w:sz w:val="24"/>
          <w:szCs w:val="24"/>
        </w:rPr>
        <w:t>Общие сведения</w:t>
      </w:r>
      <w:bookmarkEnd w:id="1"/>
      <w:bookmarkEnd w:id="2"/>
    </w:p>
    <w:p>
      <w:pPr>
        <w:pStyle w:val="Heading2"/>
        <w:numPr>
          <w:ilvl w:val="1"/>
          <w:numId w:val="3"/>
        </w:numPr>
        <w:ind w:hanging="432" w:left="432" w:right="57"/>
        <w:rPr/>
      </w:pPr>
      <w:bookmarkStart w:id="3" w:name="__RefHeading___Toc2116_2713773899"/>
      <w:bookmarkStart w:id="4" w:name="_Toc46743505"/>
      <w:bookmarkStart w:id="5" w:name="_Toc75446567"/>
      <w:bookmarkEnd w:id="3"/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x-none" w:eastAsia="x-none" w:bidi="ar-SA"/>
        </w:rPr>
        <w:t>Обозначения и сокращ</w:t>
      </w:r>
      <w:r>
        <w:rPr>
          <w:sz w:val="24"/>
          <w:szCs w:val="24"/>
        </w:rPr>
        <w:t>ения</w:t>
      </w:r>
      <w:bookmarkEnd w:id="4"/>
      <w:bookmarkEnd w:id="5"/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tabs>
                <w:tab w:val="clear" w:pos="709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>ТМЦ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>Товарно-материальные ценности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УПД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Универсальный передаточный документ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2"/>
        <w:numPr>
          <w:ilvl w:val="1"/>
          <w:numId w:val="3"/>
        </w:numPr>
        <w:ind w:hanging="432" w:left="432" w:right="57"/>
        <w:rPr>
          <w:sz w:val="24"/>
          <w:szCs w:val="24"/>
        </w:rPr>
      </w:pPr>
      <w:bookmarkStart w:id="6" w:name="__RefHeading___Toc2118_2713773899"/>
      <w:bookmarkStart w:id="7" w:name="_Toc46743506"/>
      <w:bookmarkStart w:id="8" w:name="_Toc75446568"/>
      <w:bookmarkEnd w:id="6"/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x-none" w:eastAsia="x-none" w:bidi="ar-SA"/>
        </w:rPr>
        <w:t>Наименование закупаемой продукц</w:t>
      </w:r>
      <w:r>
        <w:rPr>
          <w:sz w:val="24"/>
          <w:szCs w:val="24"/>
        </w:rPr>
        <w:t>ии</w:t>
      </w:r>
      <w:bookmarkEnd w:id="7"/>
      <w:bookmarkEnd w:id="8"/>
    </w:p>
    <w:p>
      <w:pPr>
        <w:pStyle w:val="Normal"/>
        <w:widowControl w:val="false"/>
        <w:tabs>
          <w:tab w:val="clear" w:pos="709"/>
          <w:tab w:val="left" w:pos="426" w:leader="none"/>
        </w:tabs>
        <w:ind w:firstLine="709"/>
        <w:jc w:val="both"/>
        <w:rPr/>
      </w:pPr>
      <w:r>
        <w:rPr>
          <w:rStyle w:val="Style8"/>
          <w:rFonts w:eastAsia="Calibri"/>
          <w:b w:val="false"/>
          <w:bCs/>
          <w:i w:val="false"/>
          <w:iCs w:val="false"/>
          <w:sz w:val="24"/>
          <w:szCs w:val="24"/>
          <w:shd w:fill="auto" w:val="clear"/>
          <w:lang w:val="ru-RU" w:eastAsia="ru-RU"/>
        </w:rPr>
        <w:t>ОКПД2: 28.92.61.120 Поставка элементов ходовой части для экскаватора HYUNDAI R210LC-7  в г. Хабаровск для нужд Хабаровского участка расчистки просек Дальневосточного филиала АО «ТК РусГидро».</w:t>
      </w:r>
    </w:p>
    <w:p>
      <w:pPr>
        <w:pStyle w:val="Heading2"/>
        <w:numPr>
          <w:ilvl w:val="1"/>
          <w:numId w:val="3"/>
        </w:numPr>
        <w:ind w:hanging="432" w:left="432" w:right="57"/>
        <w:rPr>
          <w:sz w:val="24"/>
          <w:szCs w:val="24"/>
        </w:rPr>
      </w:pPr>
      <w:bookmarkStart w:id="9" w:name="__RefHeading___Toc2120_2713773899"/>
      <w:bookmarkStart w:id="10" w:name="_Toc75446569"/>
      <w:bookmarkStart w:id="11" w:name="_Toc46743507"/>
      <w:bookmarkEnd w:id="9"/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x-none" w:eastAsia="x-none" w:bidi="ar-SA"/>
        </w:rPr>
        <w:t xml:space="preserve">Цель </w:t>
      </w:r>
      <w:bookmarkEnd w:id="11"/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x-none" w:eastAsia="x-none" w:bidi="ar-SA"/>
        </w:rPr>
        <w:t>использования закупаемой продукци</w:t>
      </w:r>
      <w:r>
        <w:rPr>
          <w:sz w:val="24"/>
          <w:szCs w:val="24"/>
        </w:rPr>
        <w:t>и</w:t>
      </w:r>
      <w:bookmarkEnd w:id="10"/>
    </w:p>
    <w:p>
      <w:pPr>
        <w:pStyle w:val="Normal"/>
        <w:widowControl/>
        <w:tabs>
          <w:tab w:val="clear" w:pos="709"/>
          <w:tab w:val="left" w:pos="1134" w:leader="none"/>
        </w:tabs>
        <w:suppressAutoHyphens w:val="true"/>
        <w:bidi w:val="0"/>
        <w:spacing w:before="0" w:after="0"/>
        <w:ind w:firstLine="737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>Запасные части закупаются для последующего использования при ремонте экскаватора марки HYUNDAI R210LC-7, для нужд Хабаровского участка расчистки просек Дальневосточного филиала АО «ТК РусГидро».</w:t>
      </w:r>
      <w:bookmarkStart w:id="12" w:name="_Toc51339693"/>
      <w:bookmarkStart w:id="13" w:name="_Toc75446573"/>
    </w:p>
    <w:p>
      <w:pPr>
        <w:pStyle w:val="Heading1"/>
        <w:numPr>
          <w:ilvl w:val="0"/>
          <w:numId w:val="3"/>
        </w:numPr>
        <w:tabs>
          <w:tab w:val="clear" w:pos="709"/>
        </w:tabs>
        <w:spacing w:before="119" w:after="62"/>
        <w:ind w:hanging="363" w:left="788" w:right="0"/>
        <w:jc w:val="both"/>
        <w:rPr>
          <w:rFonts w:ascii="Times New Roman" w:hAnsi="Times New Roman" w:eastAsia="Calibri" w:cs="Times New Roman"/>
          <w:b/>
          <w:color w:val="auto"/>
          <w:kern w:val="0"/>
          <w:sz w:val="24"/>
          <w:szCs w:val="24"/>
          <w:lang w:val="x-none" w:eastAsia="x-none" w:bidi="ar-SA"/>
        </w:rPr>
      </w:pPr>
      <w:bookmarkStart w:id="14" w:name="__RefHeading___Toc2124_2713773899"/>
      <w:bookmarkEnd w:id="14"/>
      <w:r>
        <w:rPr>
          <w:rFonts w:eastAsia="Calibri" w:cs="Times New Roman"/>
          <w:b/>
          <w:color w:val="auto"/>
          <w:kern w:val="0"/>
          <w:sz w:val="24"/>
          <w:szCs w:val="24"/>
          <w:lang w:val="x-none" w:eastAsia="x-none" w:bidi="ar-SA"/>
        </w:rPr>
        <w:t>Требования к продукции</w:t>
      </w:r>
      <w:bookmarkEnd w:id="12"/>
      <w:bookmarkEnd w:id="13"/>
    </w:p>
    <w:p>
      <w:pPr>
        <w:pStyle w:val="Heading2"/>
        <w:numPr>
          <w:ilvl w:val="1"/>
          <w:numId w:val="3"/>
        </w:numPr>
        <w:ind w:hanging="432" w:left="432" w:right="57"/>
        <w:rPr>
          <w:sz w:val="24"/>
          <w:szCs w:val="24"/>
        </w:rPr>
      </w:pPr>
      <w:bookmarkStart w:id="15" w:name="__RefHeading___Toc2126_2713773899"/>
      <w:bookmarkStart w:id="16" w:name="_Toc75446574"/>
      <w:bookmarkEnd w:id="15"/>
      <w:r>
        <w:rPr>
          <w:sz w:val="24"/>
          <w:szCs w:val="24"/>
        </w:rPr>
        <w:t xml:space="preserve">Требования к объемам и срокам </w:t>
      </w:r>
      <w:r>
        <w:rPr>
          <w:sz w:val="24"/>
          <w:szCs w:val="24"/>
          <w:lang w:val="ru-RU"/>
        </w:rPr>
        <w:t>поставки</w:t>
      </w:r>
      <w:bookmarkEnd w:id="16"/>
    </w:p>
    <w:p>
      <w:pPr>
        <w:pStyle w:val="Heading3"/>
        <w:keepNext w:val="true"/>
        <w:widowControl/>
        <w:numPr>
          <w:ilvl w:val="2"/>
          <w:numId w:val="3"/>
        </w:numPr>
        <w:suppressAutoHyphens w:val="true"/>
        <w:bidi w:val="0"/>
        <w:spacing w:lineRule="auto" w:line="240" w:before="0" w:after="0"/>
        <w:ind w:hanging="0" w:left="0" w:right="57"/>
        <w:rPr/>
      </w:pPr>
      <w:bookmarkStart w:id="17" w:name="__RefHeading___Toc2128_2713773899"/>
      <w:bookmarkStart w:id="18" w:name="_Toc75446575"/>
      <w:bookmarkEnd w:id="17"/>
      <w:r>
        <w:rPr>
          <w:rFonts w:eastAsia="Calibri" w:cs="Times New Roman"/>
          <w:b/>
          <w:color w:val="auto"/>
          <w:kern w:val="0"/>
          <w:sz w:val="24"/>
          <w:szCs w:val="24"/>
          <w:lang w:val="x-none" w:eastAsia="x-none" w:bidi="ar-SA"/>
        </w:rPr>
        <w:t>Перечень и объем закупаемой продукции</w:t>
      </w:r>
      <w:bookmarkEnd w:id="18"/>
    </w:p>
    <w:p>
      <w:pPr>
        <w:pStyle w:val="Heading1"/>
        <w:numPr>
          <w:ilvl w:val="0"/>
          <w:numId w:val="0"/>
        </w:numPr>
        <w:spacing w:before="0" w:after="0"/>
        <w:ind w:hanging="0" w:left="0" w:right="0"/>
        <w:jc w:val="both"/>
        <w:rPr/>
      </w:pPr>
      <w:bookmarkStart w:id="19" w:name="__RefHeading___Toc2130_2713773899"/>
      <w:bookmarkStart w:id="20" w:name="_Toc75446576"/>
      <w:bookmarkStart w:id="21" w:name="_Toc51339695"/>
      <w:bookmarkEnd w:id="19"/>
      <w:r>
        <w:rPr>
          <w:sz w:val="24"/>
          <w:szCs w:val="24"/>
        </w:rPr>
        <w:t xml:space="preserve">Таблица 1.1 Перечень </w:t>
      </w:r>
      <w:bookmarkEnd w:id="21"/>
      <w:r>
        <w:rPr>
          <w:sz w:val="24"/>
          <w:szCs w:val="24"/>
        </w:rPr>
        <w:t>и объем закупаемой продукции</w:t>
      </w:r>
      <w:bookmarkEnd w:id="20"/>
    </w:p>
    <w:tbl>
      <w:tblPr>
        <w:tblW w:w="986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00"/>
        <w:gridCol w:w="6567"/>
        <w:gridCol w:w="1365"/>
        <w:gridCol w:w="1432"/>
      </w:tblGrid>
      <w:tr>
        <w:trPr>
          <w:trHeight w:val="85" w:hRule="atLeast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both"/>
              <w:rPr/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both"/>
              <w:rPr/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both"/>
              <w:rPr/>
            </w:pPr>
            <w:r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both"/>
              <w:rPr/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both"/>
              <w:rPr/>
            </w:pPr>
            <w:r>
              <w:rPr>
                <w:sz w:val="22"/>
                <w:szCs w:val="22"/>
              </w:rPr>
              <w:t>Количество</w:t>
            </w:r>
          </w:p>
        </w:tc>
      </w:tr>
      <w:tr>
        <w:trPr>
          <w:trHeight w:val="45" w:hRule="atLeast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both"/>
              <w:rPr/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both"/>
              <w:rPr/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both"/>
              <w:rPr/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both"/>
              <w:rPr/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>
        <w:trPr>
          <w:trHeight w:val="402" w:hRule="atLeast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Гусеница в сборе 600 мм Hyandai R 210 LC-7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>
          <w:trHeight w:val="402" w:hRule="atLeast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Звездочка Hyandai R 210 LC-7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>
          <w:trHeight w:val="402" w:hRule="atLeast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656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Направляющее колесо (ленивец) Hyandai R 210 LC-7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>
          <w:trHeight w:val="402" w:hRule="atLeast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56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Каток опорный нижний Hyandai R 210 LC-7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426" w:leader="none"/>
        </w:tabs>
        <w:rPr>
          <w:bCs/>
          <w:sz w:val="24"/>
          <w:szCs w:val="24"/>
          <w:shd w:fill="FFFF99" w:val="clear"/>
        </w:rPr>
      </w:pPr>
      <w:r>
        <w:rPr>
          <w:bCs/>
          <w:sz w:val="24"/>
          <w:szCs w:val="24"/>
          <w:shd w:fill="FFFF99" w:val="clear"/>
        </w:rPr>
      </w:r>
    </w:p>
    <w:p>
      <w:pPr>
        <w:pStyle w:val="Heading3"/>
        <w:keepNext w:val="true"/>
        <w:widowControl/>
        <w:numPr>
          <w:ilvl w:val="2"/>
          <w:numId w:val="3"/>
        </w:numPr>
        <w:suppressAutoHyphens w:val="true"/>
        <w:bidi w:val="0"/>
        <w:spacing w:lineRule="auto" w:line="240" w:before="0" w:after="0"/>
        <w:ind w:hanging="0" w:left="0" w:right="57"/>
        <w:rPr>
          <w:sz w:val="24"/>
          <w:szCs w:val="24"/>
        </w:rPr>
      </w:pPr>
      <w:bookmarkStart w:id="22" w:name="__RefHeading___Toc2132_2713773899"/>
      <w:bookmarkStart w:id="23" w:name="_Toc75446578"/>
      <w:bookmarkStart w:id="24" w:name="_Toc51339696"/>
      <w:bookmarkEnd w:id="22"/>
      <w:r>
        <w:rPr/>
        <w:t xml:space="preserve">Требования </w:t>
      </w:r>
      <w:bookmarkEnd w:id="24"/>
      <w:r>
        <w:rPr/>
        <w:t>к срокам поставки продукции и оказания сопутствующих услуг</w:t>
      </w:r>
      <w:bookmarkEnd w:id="23"/>
    </w:p>
    <w:p>
      <w:pPr>
        <w:pStyle w:val="Heading1"/>
        <w:numPr>
          <w:ilvl w:val="0"/>
          <w:numId w:val="0"/>
        </w:numPr>
        <w:ind w:hanging="0" w:left="0" w:right="0"/>
        <w:rPr>
          <w:sz w:val="24"/>
          <w:szCs w:val="24"/>
        </w:rPr>
      </w:pPr>
      <w:bookmarkStart w:id="25" w:name="__RefHeading___Toc2134_2713773899"/>
      <w:bookmarkStart w:id="26" w:name="_Toc75446579"/>
      <w:bookmarkStart w:id="27" w:name="_Toc50125127"/>
      <w:bookmarkStart w:id="28" w:name="_Toc51339697"/>
      <w:bookmarkStart w:id="29" w:name="_Toc50125126_Копия_1"/>
      <w:bookmarkEnd w:id="25"/>
      <w:bookmarkEnd w:id="2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30" w:name="_Hlk50465284"/>
      <w:r>
        <w:rPr>
          <w:sz w:val="24"/>
          <w:szCs w:val="24"/>
        </w:rPr>
        <w:t xml:space="preserve">Требования по срокам </w:t>
      </w:r>
      <w:bookmarkEnd w:id="27"/>
      <w:bookmarkEnd w:id="28"/>
      <w:bookmarkEnd w:id="30"/>
      <w:r>
        <w:rPr>
          <w:sz w:val="24"/>
          <w:szCs w:val="24"/>
          <w:lang w:val="ru-RU"/>
        </w:rPr>
        <w:t>поставки продукции</w:t>
      </w:r>
      <w:bookmarkEnd w:id="26"/>
      <w:r>
        <w:rPr>
          <w:sz w:val="24"/>
          <w:szCs w:val="24"/>
          <w:lang w:val="ru-RU"/>
        </w:rPr>
        <w:t xml:space="preserve"> </w:t>
      </w:r>
    </w:p>
    <w:tbl>
      <w:tblPr>
        <w:tblW w:w="1006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4"/>
        <w:gridCol w:w="2961"/>
        <w:gridCol w:w="3276"/>
        <w:gridCol w:w="3118"/>
      </w:tblGrid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236" w:hRule="atLeast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/>
            </w:pPr>
            <w:bookmarkStart w:id="31" w:name="_Toc46743510"/>
            <w:r>
              <w:rPr>
                <w:b/>
                <w:sz w:val="24"/>
                <w:szCs w:val="24"/>
              </w:rPr>
              <w:t>4</w:t>
            </w:r>
            <w:bookmarkEnd w:id="31"/>
          </w:p>
        </w:tc>
      </w:tr>
      <w:tr>
        <w:trPr>
          <w:trHeight w:val="417" w:hRule="atLeast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ОКПД2: 28.92.61.120 Поставка элементов ходовой части для экскаватора HYUNDAI R210LC-7  в г. Хабаровск для нужд Хабаровского участка расчистки просек Дальневосточного филиала АО «ТК РусГидро»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jc w:val="center"/>
              <w:rPr/>
            </w:pPr>
            <w:r>
              <w:rPr>
                <w:bCs/>
                <w:sz w:val="22"/>
                <w:szCs w:val="22"/>
              </w:rPr>
              <w:t>С момента (даты) оплаты авансового платежа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spacing w:lineRule="auto" w:line="276"/>
              <w:ind w:firstLine="85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134" w:leader="none"/>
              </w:tabs>
              <w:jc w:val="center"/>
              <w:rPr/>
            </w:pPr>
            <w:bookmarkStart w:id="32" w:name="_Toc54785622"/>
            <w:bookmarkEnd w:id="32"/>
            <w:r>
              <w:rPr>
                <w:bCs/>
                <w:sz w:val="22"/>
                <w:szCs w:val="22"/>
              </w:rPr>
              <w:t>В течение 7 (семи) календарных дней с момента оплаты авансового платежа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2"/>
        <w:numPr>
          <w:ilvl w:val="1"/>
          <w:numId w:val="3"/>
        </w:numPr>
        <w:ind w:hanging="432" w:left="432" w:right="57"/>
        <w:rPr>
          <w:sz w:val="24"/>
          <w:szCs w:val="24"/>
        </w:rPr>
      </w:pPr>
      <w:bookmarkStart w:id="33" w:name="__RefHeading___Toc5971_995959555"/>
      <w:bookmarkStart w:id="34" w:name="_Toc51339698"/>
      <w:bookmarkStart w:id="35" w:name="_Toc75446581"/>
      <w:bookmarkStart w:id="36" w:name="_Toc46743511"/>
      <w:bookmarkStart w:id="37" w:name="_Toc54785622_Копия_1"/>
      <w:bookmarkEnd w:id="33"/>
      <w:bookmarkEnd w:id="37"/>
      <w:r>
        <w:rPr/>
        <w:t xml:space="preserve">Требования к </w:t>
      </w:r>
      <w:bookmarkEnd w:id="36"/>
      <w:r>
        <w:rPr/>
        <w:t>качеству продукции</w:t>
      </w:r>
      <w:bookmarkEnd w:id="35"/>
    </w:p>
    <w:p>
      <w:pPr>
        <w:pStyle w:val="Heading2"/>
        <w:numPr>
          <w:ilvl w:val="0"/>
          <w:numId w:val="0"/>
        </w:numPr>
        <w:tabs>
          <w:tab w:val="clear" w:pos="709"/>
        </w:tabs>
        <w:ind w:hanging="0" w:left="0" w:right="0"/>
        <w:rPr>
          <w:sz w:val="24"/>
          <w:szCs w:val="24"/>
        </w:rPr>
      </w:pPr>
      <w:bookmarkStart w:id="38" w:name="__RefHeading___Toc5973_995959555"/>
      <w:bookmarkStart w:id="39" w:name="_Toc75446582"/>
      <w:bookmarkEnd w:id="38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9"/>
      <w:r>
        <w:rPr>
          <w:sz w:val="24"/>
          <w:szCs w:val="24"/>
        </w:rPr>
        <w:t xml:space="preserve"> </w:t>
      </w:r>
      <w:bookmarkEnd w:id="34"/>
    </w:p>
    <w:p>
      <w:pPr>
        <w:pStyle w:val="Normal"/>
        <w:widowControl w:val="false"/>
        <w:tabs>
          <w:tab w:val="clear" w:pos="709"/>
          <w:tab w:val="left" w:pos="426" w:leader="none"/>
        </w:tabs>
        <w:ind w:hanging="0"/>
        <w:jc w:val="both"/>
        <w:rPr/>
      </w:pPr>
      <w:r>
        <w:rPr>
          <w:rStyle w:val="Style8"/>
          <w:rFonts w:eastAsia="Calibri"/>
          <w:b w:val="false"/>
          <w:bCs/>
          <w:i w:val="false"/>
          <w:iCs w:val="false"/>
          <w:shd w:fill="auto" w:val="clear"/>
          <w:lang w:eastAsia="x-none"/>
        </w:rPr>
        <w:t>Наименование продукции (позиции №1-4 таблицы 1.1):  ОКПД2: 28.92.61.120 Поставка элементов ходовой части для экскаватора HYUNDAI R210LC-7  в г. Хабаровск для нужд Хабаровского участка расчистки просек Дальневосточного филиала АО «ТК РусГидро».</w:t>
      </w:r>
    </w:p>
    <w:tbl>
      <w:tblPr>
        <w:tblStyle w:val="1c"/>
        <w:tblW w:w="15131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4"/>
        <w:gridCol w:w="2100"/>
        <w:gridCol w:w="30"/>
        <w:gridCol w:w="2123"/>
        <w:gridCol w:w="1277"/>
        <w:gridCol w:w="1678"/>
        <w:gridCol w:w="2109"/>
        <w:gridCol w:w="1775"/>
        <w:gridCol w:w="1427"/>
        <w:gridCol w:w="1766"/>
      </w:tblGrid>
      <w:tr>
        <w:trPr>
          <w:trHeight w:val="311" w:hRule="atLeast"/>
        </w:trPr>
        <w:tc>
          <w:tcPr>
            <w:tcW w:w="84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2130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3400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заказчика</w:t>
            </w:r>
          </w:p>
        </w:tc>
        <w:tc>
          <w:tcPr>
            <w:tcW w:w="378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4968" w:type="dxa"/>
            <w:gridSpan w:val="3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Предложения участника по характеристикам и параметрам</w:t>
            </w:r>
          </w:p>
        </w:tc>
      </w:tr>
      <w:tr>
        <w:trPr>
          <w:trHeight w:val="70" w:hRule="atLeast"/>
        </w:trPr>
        <w:tc>
          <w:tcPr>
            <w:tcW w:w="84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30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00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ru-RU" w:eastAsia="en-US" w:bidi="ar-SA"/>
              </w:rPr>
              <w:t>Согласие с требованием/ указание характеристик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ru-RU" w:eastAsia="en-US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4968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70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1.</w:t>
            </w:r>
          </w:p>
        </w:tc>
        <w:tc>
          <w:tcPr>
            <w:tcW w:w="5530" w:type="dxa"/>
            <w:gridSpan w:val="4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6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7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7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70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1.1</w:t>
            </w:r>
          </w:p>
        </w:tc>
        <w:tc>
          <w:tcPr>
            <w:tcW w:w="2130" w:type="dxa"/>
            <w:gridSpan w:val="2"/>
            <w:tcBorders>
              <w:bottom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212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Каталожный номер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1277" w:type="dxa"/>
            <w:tcBorders>
              <w:bottom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Количество</w:t>
            </w:r>
          </w:p>
        </w:tc>
        <w:tc>
          <w:tcPr>
            <w:tcW w:w="16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7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Каталожный номер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1427" w:type="dxa"/>
            <w:tcBorders>
              <w:bottom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Количество</w:t>
            </w:r>
          </w:p>
        </w:tc>
        <w:tc>
          <w:tcPr>
            <w:tcW w:w="17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Производитель, страна происхождения</w:t>
            </w:r>
          </w:p>
        </w:tc>
      </w:tr>
      <w:tr>
        <w:trPr>
          <w:trHeight w:val="1305" w:hRule="atLeast"/>
        </w:trPr>
        <w:tc>
          <w:tcPr>
            <w:tcW w:w="844" w:type="dxa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1.1.1</w:t>
            </w:r>
          </w:p>
        </w:tc>
        <w:tc>
          <w:tcPr>
            <w:tcW w:w="2130" w:type="dxa"/>
            <w:gridSpan w:val="2"/>
            <w:tcBorders>
              <w:right w:val="nil"/>
            </w:tcBorders>
            <w:shd w:color="000000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Гусеница в сборе 600 мм Hyandai R 210 LC-7</w:t>
            </w:r>
          </w:p>
        </w:tc>
        <w:tc>
          <w:tcPr>
            <w:tcW w:w="2123" w:type="dxa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 w:val="false"/>
                <w:bCs/>
                <w:color w:val="000000"/>
                <w:sz w:val="22"/>
                <w:szCs w:val="22"/>
                <w:lang w:val="ru-RU" w:eastAsia="ru-RU"/>
              </w:rPr>
              <w:t xml:space="preserve">81N6-26030 </w:t>
            </w:r>
            <w:r>
              <w:rPr>
                <w:sz w:val="22"/>
                <w:szCs w:val="22"/>
              </w:rPr>
              <w:t>или эквивалент</w:t>
            </w:r>
          </w:p>
        </w:tc>
        <w:tc>
          <w:tcPr>
            <w:tcW w:w="1277" w:type="dxa"/>
            <w:tcBorders>
              <w:right w:val="nil"/>
            </w:tcBorders>
            <w:shd w:color="000000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1678" w:type="dxa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9" w:type="dxa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75" w:type="dxa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27" w:type="dxa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66" w:type="dxa"/>
            <w:tcBorders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305" w:hRule="atLeast"/>
        </w:trPr>
        <w:tc>
          <w:tcPr>
            <w:tcW w:w="844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1.1.2</w:t>
            </w:r>
          </w:p>
        </w:tc>
        <w:tc>
          <w:tcPr>
            <w:tcW w:w="2130" w:type="dxa"/>
            <w:gridSpan w:val="2"/>
            <w:tcBorders>
              <w:right w:val="nil"/>
            </w:tcBorders>
            <w:shd w:color="000000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Звездочка Hyandai R 210 LC-7</w:t>
            </w:r>
          </w:p>
        </w:tc>
        <w:tc>
          <w:tcPr>
            <w:tcW w:w="2123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Style w:val="Strong"/>
                <w:rFonts w:eastAsia="Calibri"/>
                <w:b w:val="false"/>
                <w:bCs/>
                <w:color w:val="000000"/>
                <w:sz w:val="22"/>
                <w:szCs w:val="22"/>
                <w:lang w:val="ru-RU" w:eastAsia="ru-RU"/>
              </w:rPr>
              <w:t>81EM-10010 или эквивалент</w:t>
            </w:r>
          </w:p>
        </w:tc>
        <w:tc>
          <w:tcPr>
            <w:tcW w:w="1277" w:type="dxa"/>
            <w:tcBorders>
              <w:top w:val="nil"/>
              <w:right w:val="nil"/>
            </w:tcBorders>
            <w:shd w:color="000000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78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2"/>
                <w:szCs w:val="22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109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1775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27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66" w:type="dxa"/>
            <w:tcBorders>
              <w:top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305" w:hRule="atLeast"/>
        </w:trPr>
        <w:tc>
          <w:tcPr>
            <w:tcW w:w="844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1.1.3</w:t>
            </w:r>
          </w:p>
        </w:tc>
        <w:tc>
          <w:tcPr>
            <w:tcW w:w="2130" w:type="dxa"/>
            <w:gridSpan w:val="2"/>
            <w:tcBorders>
              <w:top w:val="nil"/>
              <w:right w:val="nil"/>
            </w:tcBorders>
            <w:shd w:color="000000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Направляющее колесо (ленивец) Hyandai R 210 LC-7</w:t>
            </w:r>
          </w:p>
        </w:tc>
        <w:tc>
          <w:tcPr>
            <w:tcW w:w="2123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Style w:val="Strong"/>
                <w:rFonts w:eastAsia="Calibri"/>
                <w:b w:val="false"/>
                <w:bCs/>
                <w:color w:val="000000"/>
                <w:sz w:val="22"/>
                <w:szCs w:val="22"/>
                <w:lang w:val="ru-RU" w:eastAsia="ru-RU"/>
              </w:rPr>
              <w:t>81N6-13010 или эквивалент</w:t>
            </w:r>
          </w:p>
        </w:tc>
        <w:tc>
          <w:tcPr>
            <w:tcW w:w="1277" w:type="dxa"/>
            <w:tcBorders>
              <w:top w:val="nil"/>
              <w:right w:val="nil"/>
            </w:tcBorders>
            <w:shd w:color="000000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78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9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1775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27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66" w:type="dxa"/>
            <w:tcBorders>
              <w:top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305" w:hRule="atLeast"/>
        </w:trPr>
        <w:tc>
          <w:tcPr>
            <w:tcW w:w="844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1.1.4</w:t>
            </w:r>
          </w:p>
        </w:tc>
        <w:tc>
          <w:tcPr>
            <w:tcW w:w="2130" w:type="dxa"/>
            <w:gridSpan w:val="2"/>
            <w:tcBorders>
              <w:top w:val="nil"/>
              <w:right w:val="nil"/>
            </w:tcBorders>
            <w:shd w:color="000000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Каток опорный нижний Hyandai R 210 LC-7</w:t>
            </w:r>
          </w:p>
        </w:tc>
        <w:tc>
          <w:tcPr>
            <w:tcW w:w="2123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 w:val="false"/>
                <w:bCs/>
                <w:color w:val="000000"/>
                <w:sz w:val="22"/>
                <w:szCs w:val="22"/>
                <w:lang w:val="ru-RU" w:eastAsia="ru-RU"/>
              </w:rPr>
              <w:t>81Q6-11010/81Q6-11011/81Q6-11011GG или эквивалент</w:t>
            </w:r>
          </w:p>
        </w:tc>
        <w:tc>
          <w:tcPr>
            <w:tcW w:w="1277" w:type="dxa"/>
            <w:tcBorders>
              <w:top w:val="nil"/>
              <w:right w:val="nil"/>
            </w:tcBorders>
            <w:shd w:color="000000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678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9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1775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27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66" w:type="dxa"/>
            <w:tcBorders>
              <w:top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49" w:hRule="atLeast"/>
        </w:trPr>
        <w:tc>
          <w:tcPr>
            <w:tcW w:w="844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2.</w:t>
            </w:r>
          </w:p>
        </w:tc>
        <w:tc>
          <w:tcPr>
            <w:tcW w:w="5530" w:type="dxa"/>
            <w:gridSpan w:val="4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безопасности</w:t>
            </w:r>
          </w:p>
        </w:tc>
        <w:tc>
          <w:tcPr>
            <w:tcW w:w="1678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109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4968" w:type="dxa"/>
            <w:gridSpan w:val="3"/>
            <w:tcBorders>
              <w:top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688" w:hRule="atLeast"/>
        </w:trPr>
        <w:tc>
          <w:tcPr>
            <w:tcW w:w="844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2.1</w:t>
            </w:r>
          </w:p>
        </w:tc>
        <w:tc>
          <w:tcPr>
            <w:tcW w:w="2100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Безопасность продукции</w:t>
            </w:r>
          </w:p>
        </w:tc>
        <w:tc>
          <w:tcPr>
            <w:tcW w:w="3430" w:type="dxa"/>
            <w:gridSpan w:val="3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sz w:val="22"/>
                <w:szCs w:val="22"/>
              </w:rPr>
              <w:t>Качество и безопасность товара должны соответствовать техническому регламенту Таможенного союза ТР ТС 010/2011 «О безопасности машин и оборудования»</w:t>
            </w:r>
          </w:p>
        </w:tc>
        <w:tc>
          <w:tcPr>
            <w:tcW w:w="1678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109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4968" w:type="dxa"/>
            <w:gridSpan w:val="3"/>
            <w:tcBorders>
              <w:top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88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3.</w:t>
            </w:r>
          </w:p>
        </w:tc>
        <w:tc>
          <w:tcPr>
            <w:tcW w:w="5530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</w:tc>
        <w:tc>
          <w:tcPr>
            <w:tcW w:w="16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496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424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3.1</w:t>
            </w:r>
          </w:p>
        </w:tc>
        <w:tc>
          <w:tcPr>
            <w:tcW w:w="2130" w:type="dxa"/>
            <w:gridSpan w:val="2"/>
            <w:tcBorders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ru-RU" w:eastAsia="en-US" w:bidi="ar-SA"/>
              </w:rPr>
              <w:t>Место поставки</w:t>
            </w:r>
          </w:p>
        </w:tc>
        <w:tc>
          <w:tcPr>
            <w:tcW w:w="34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г. Хабаровск, склад Поставщика</w:t>
            </w:r>
          </w:p>
        </w:tc>
        <w:tc>
          <w:tcPr>
            <w:tcW w:w="16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496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424" w:hRule="atLeast"/>
        </w:trPr>
        <w:tc>
          <w:tcPr>
            <w:tcW w:w="84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3.2</w:t>
            </w:r>
          </w:p>
        </w:tc>
        <w:tc>
          <w:tcPr>
            <w:tcW w:w="2130" w:type="dxa"/>
            <w:gridSpan w:val="2"/>
            <w:tcBorders>
              <w:top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упаковке</w:t>
            </w:r>
          </w:p>
        </w:tc>
        <w:tc>
          <w:tcPr>
            <w:tcW w:w="3400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Продукция должна поставляться в упаковке, обеспечивающей защиту от внешних воздействующих факторов (в т.ч. климатических, механических) при транспортировании, хранении и погрузочно-разгрузочных работах.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Маркировка и (или) упаковка продукции должна обеспечивать Заказчику возможность идентифицировать продукцию.</w:t>
            </w:r>
          </w:p>
        </w:tc>
        <w:tc>
          <w:tcPr>
            <w:tcW w:w="167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10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968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33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4.</w:t>
            </w:r>
          </w:p>
        </w:tc>
        <w:tc>
          <w:tcPr>
            <w:tcW w:w="5530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эксплуатации, обеспечению и утилизации</w:t>
            </w:r>
          </w:p>
        </w:tc>
        <w:tc>
          <w:tcPr>
            <w:tcW w:w="16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496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391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4.1</w:t>
            </w:r>
          </w:p>
        </w:tc>
        <w:tc>
          <w:tcPr>
            <w:tcW w:w="2100" w:type="dxa"/>
            <w:tcBorders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эксплуатации</w:t>
            </w:r>
          </w:p>
        </w:tc>
        <w:tc>
          <w:tcPr>
            <w:tcW w:w="3430" w:type="dxa"/>
            <w:gridSpan w:val="3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color w:val="000000" w:themeColor="text1"/>
                <w:sz w:val="22"/>
                <w:szCs w:val="22"/>
                <w:shd w:fill="auto" w:val="clear"/>
              </w:rPr>
              <w:t>Поставляемая Продукция должна быть новой, несипользованной, невостановленной. Продукция должна обеспечивать взаимодействие с транспортным средством Заказчика, а именно при установке на ТС соответствующей марки продукция должна обеспечивать устойчивую, надёжную и безопасную работу агрегатов и узлов ТС. Год изготовления товара – не ранее 2023г.</w:t>
            </w:r>
          </w:p>
        </w:tc>
        <w:tc>
          <w:tcPr>
            <w:tcW w:w="16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496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72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5.</w:t>
            </w:r>
          </w:p>
        </w:tc>
        <w:tc>
          <w:tcPr>
            <w:tcW w:w="5530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6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496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688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5.1</w:t>
            </w:r>
          </w:p>
        </w:tc>
        <w:tc>
          <w:tcPr>
            <w:tcW w:w="2130" w:type="dxa"/>
            <w:gridSpan w:val="2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ru-RU" w:eastAsia="en-US" w:bidi="ar-SA"/>
              </w:rPr>
              <w:t>Срок гарантии</w:t>
            </w:r>
          </w:p>
        </w:tc>
        <w:tc>
          <w:tcPr>
            <w:tcW w:w="34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Гарантийный срок на Товар, поставленный по Договору, равен гарантийному сроку производителя и начинает течь с даты подписания Сторонами Накладной ТОРГ-12/УПД. Гарантийный срок может быть продлен в соответствии с условиями Договора.</w:t>
            </w:r>
          </w:p>
        </w:tc>
        <w:tc>
          <w:tcPr>
            <w:tcW w:w="16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496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62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6.</w:t>
            </w:r>
          </w:p>
        </w:tc>
        <w:tc>
          <w:tcPr>
            <w:tcW w:w="5530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6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496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688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6.1</w:t>
            </w:r>
          </w:p>
        </w:tc>
        <w:tc>
          <w:tcPr>
            <w:tcW w:w="2130" w:type="dxa"/>
            <w:gridSpan w:val="2"/>
            <w:tcBorders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ru-RU" w:eastAsia="en-US" w:bidi="ar-SA"/>
              </w:rPr>
              <w:t>Документы, передаваемые вместе с продукцией</w:t>
            </w:r>
          </w:p>
        </w:tc>
        <w:tc>
          <w:tcPr>
            <w:tcW w:w="34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Поставщик передает Заказчику товарную накладную (ТОРГ-12)/УПД, счет-фактуру</w:t>
            </w:r>
          </w:p>
        </w:tc>
        <w:tc>
          <w:tcPr>
            <w:tcW w:w="16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496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numPr>
          <w:ilvl w:val="0"/>
          <w:numId w:val="3"/>
        </w:numPr>
        <w:tabs>
          <w:tab w:val="clear" w:pos="709"/>
        </w:tabs>
        <w:spacing w:before="119" w:after="62"/>
        <w:ind w:hanging="363" w:left="788" w:right="0"/>
        <w:rPr/>
      </w:pPr>
      <w:bookmarkStart w:id="40" w:name="__RefHeading___Toc6071_995959555"/>
      <w:bookmarkEnd w:id="40"/>
      <w:r>
        <w:rPr/>
        <w:t>Требования к документации по ценообразованию на этапе закупки</w:t>
      </w:r>
    </w:p>
    <w:p>
      <w:pPr>
        <w:pStyle w:val="Normal"/>
        <w:spacing w:before="0" w:after="0"/>
        <w:ind w:hanging="0" w:left="1080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ListParagraph"/>
        <w:widowControl/>
        <w:numPr>
          <w:ilvl w:val="0"/>
          <w:numId w:val="0"/>
        </w:numPr>
        <w:bidi w:val="0"/>
        <w:spacing w:before="0" w:after="0"/>
        <w:ind w:hanging="0" w:left="0" w:right="0"/>
        <w:contextualSpacing/>
        <w:jc w:val="both"/>
        <w:rPr>
          <w:sz w:val="24"/>
          <w:szCs w:val="24"/>
        </w:rPr>
      </w:pPr>
      <w:r>
        <w:rPr>
          <w:iCs/>
          <w:color w:val="000000" w:themeColor="text1"/>
          <w:sz w:val="24"/>
          <w:szCs w:val="24"/>
          <w:lang w:eastAsia="x-none"/>
        </w:rPr>
        <w:t>3.1 В обоснование стоимости своей заявки Участник предоставляет Коммерческое предложение.</w:t>
      </w:r>
    </w:p>
    <w:p>
      <w:pPr>
        <w:pStyle w:val="ListParagraph"/>
        <w:numPr>
          <w:ilvl w:val="0"/>
          <w:numId w:val="0"/>
        </w:numPr>
        <w:ind w:hanging="0" w:left="0"/>
        <w:jc w:val="both"/>
        <w:rPr>
          <w:sz w:val="24"/>
          <w:szCs w:val="24"/>
        </w:rPr>
      </w:pPr>
      <w:r>
        <w:rPr>
          <w:sz w:val="24"/>
          <w:szCs w:val="24"/>
        </w:rPr>
        <w:t>3.2 Дополнительные документы по ценообразованию в состав заявки не включаются.</w:t>
      </w:r>
    </w:p>
    <w:p>
      <w:pPr>
        <w:pStyle w:val="ListParagraph"/>
        <w:numPr>
          <w:ilvl w:val="0"/>
          <w:numId w:val="0"/>
        </w:numPr>
        <w:ind w:hanging="0" w:left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rPr>
          <w:bCs/>
          <w:sz w:val="24"/>
          <w:szCs w:val="24"/>
        </w:rPr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4</w:t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33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b/>
        <w:kern w:val="0"/>
        <w:szCs w:val="24"/>
        <w:rFonts w:ascii="Times New Roman" w:hAnsi="Times New Roman" w:eastAsia="Calibri" w:cs="Times New Roman"/>
        <w:color w:val="auto"/>
        <w:lang w:val="x-none" w:eastAsia="x-none" w:bidi="ar-SA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ind w:hanging="0" w:left="5038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481159"/>
    <w:pPr>
      <w:keepNext w:val="true"/>
      <w:widowControl/>
      <w:numPr>
        <w:ilvl w:val="2"/>
        <w:numId w:val="3"/>
      </w:numPr>
      <w:suppressAutoHyphens w:val="true"/>
      <w:bidi w:val="0"/>
      <w:spacing w:lineRule="auto" w:line="240" w:before="0" w:after="0"/>
      <w:ind w:hanging="0" w:left="0" w:right="57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481159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lineRule="auto" w:line="360" w:before="0" w:after="0"/>
      <w:jc w:val="both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e26b68"/>
    <w:pPr>
      <w:tabs>
        <w:tab w:val="clear" w:pos="709"/>
        <w:tab w:val="left" w:pos="1120" w:leader="none"/>
        <w:tab w:val="right" w:pos="9911" w:leader="dot"/>
      </w:tabs>
      <w:spacing w:lineRule="auto" w:line="360"/>
      <w:ind w:firstLine="287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lineRule="auto" w:line="360" w:before="0" w:after="0"/>
    </w:pPr>
    <w:rPr>
      <w:rFonts w:cs="Calibri" w:cstheme="minorHAnsi"/>
      <w:b w:val="false"/>
      <w:bCs w:val="false"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9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FORMATTEXT" w:customStyle="1">
    <w:name w:val=".FORMATTEXT"/>
    <w:uiPriority w:val="99"/>
    <w:qFormat/>
    <w:rsid w:val="00604f23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paragraph" w:styleId="Style36">
    <w:name w:val="[РГ] Текст"/>
    <w:basedOn w:val="Normal"/>
    <w:qFormat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ListBullet41">
    <w:name w:val="List Bullet 41"/>
    <w:basedOn w:val="Normal"/>
    <w:qFormat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Indexheading1">
    <w:name w:val="index heading1"/>
    <w:qFormat/>
    <w:pPr>
      <w:keepNext w:val="true"/>
      <w:widowControl/>
      <w:suppressAutoHyphens w:val="true"/>
      <w:bidi w:val="0"/>
      <w:spacing w:before="240" w:after="120"/>
      <w:jc w:val="left"/>
    </w:pPr>
    <w:rPr>
      <w:rFonts w:ascii="Liberation Sans" w:hAnsi="Liberation Sans" w:eastAsia="Arial Unicode MS" w:cs="Arial Unicode MS"/>
      <w:color w:val="auto"/>
      <w:kern w:val="0"/>
      <w:sz w:val="20"/>
      <w:szCs w:val="20"/>
      <w:lang w:val="ru-RU" w:eastAsia="ru-RU" w:bidi="ar-SA"/>
    </w:rPr>
  </w:style>
  <w:style w:type="paragraph" w:styleId="Caption2">
    <w:name w:val="caption2"/>
    <w:basedOn w:val="Normal"/>
    <w:qFormat/>
    <w:pPr>
      <w:spacing w:before="120" w:after="120"/>
    </w:pPr>
    <w:rPr>
      <w:i/>
      <w:iCs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09CE6-E0D3-4B72-A1F3-0D6CF6059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2020</TotalTime>
  <Application>AlterOffice/2026.2.0.0$Linux_X86_64 LibreOffice_project/bc4ef1adf80b36c7a6365f8ed6cbf29021361edd</Application>
  <AppVersion>15.0000</AppVersion>
  <Pages>7</Pages>
  <Words>783</Words>
  <Characters>5151</Characters>
  <CharactersWithSpaces>5746</CharactersWithSpaces>
  <Paragraphs>187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2024-03-14T00:42:00Z</dcterms:created>
  <dc:creator>Быстров Олег Геннадьевич</dc:creator>
  <dc:description/>
  <dc:language>ru-RU</dc:language>
  <cp:lastModifiedBy>larionovadv@corp.gidroogk.com</cp:lastModifiedBy>
  <cp:lastPrinted>2023-04-21T04:33:00Z</cp:lastPrinted>
  <dcterms:modified xsi:type="dcterms:W3CDTF">2026-10-14T10:48:54Z</dcterms:modified>
  <cp:revision>76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