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bCs/>
          <w:spacing w:val="4"/>
          <w:sz w:val="24"/>
          <w:szCs w:val="24"/>
        </w:rPr>
        <w:t>Акционерное общество «Транспортная компания РусГидро»</w:t>
      </w:r>
      <w:r>
        <w:rPr>
          <w:spacing w:val="4"/>
          <w:sz w:val="24"/>
          <w:szCs w:val="24"/>
        </w:rPr>
        <w:t xml:space="preserve"> (АО «ТК РусГидро») (далее – «Покупатель»), в лице Директора Дальневосточного филиала АО «ТК РусГидро» Золотарева Василия Юрьевича, действующего на основании доверенности № 816 от 01.12.2025, с одной стороны, и</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неконкурентной процедуры по лоту № ____________,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bCs/>
          <w:sz w:val="24"/>
          <w:szCs w:val="24"/>
        </w:rPr>
        <w:t>«Национальный режим»</w:t>
      </w:r>
      <w:r>
        <w:rPr>
          <w:bCs/>
          <w:sz w:val="24"/>
          <w:szCs w:val="24"/>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b/>
          <w:sz w:val="24"/>
          <w:szCs w:val="24"/>
          <w:lang w:eastAsia="en-US"/>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highlight w:val="lightGray"/>
        </w:rPr>
        <w:t>«___» ___________ 20___</w:t>
      </w:r>
      <w:r>
        <w:rPr>
          <w:bCs/>
          <w:sz w:val="24"/>
          <w:szCs w:val="24"/>
        </w:rPr>
        <w:t xml:space="preserve"> г.</w:t>
      </w:r>
    </w:p>
    <w:p>
      <w:pPr>
        <w:pStyle w:val="Normal"/>
        <w:shd w:val="clear" w:color="auto" w:fill="FFFFFF"/>
        <w:tabs>
          <w:tab w:val="clear" w:pos="709"/>
          <w:tab w:val="left" w:pos="540" w:leader="none"/>
        </w:tabs>
        <w:ind w:hanging="0"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твердой</w:t>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0" w:leader="none"/>
          <w:tab w:val="left" w:pos="1134" w:leader="none"/>
        </w:tabs>
        <w:ind w:firstLine="709" w:left="0"/>
        <w:jc w:val="both"/>
        <w:rPr>
          <w:highlight w:val="none"/>
          <w:shd w:fill="auto" w:val="clear"/>
        </w:rPr>
      </w:pPr>
      <w:r>
        <w:rPr>
          <w:bCs/>
          <w:sz w:val="24"/>
          <w:szCs w:val="24"/>
          <w:shd w:fill="auto" w:val="clear"/>
        </w:rPr>
        <w:t>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highlight w:val="none"/>
          <w:shd w:fill="auto" w:val="clear"/>
        </w:rPr>
      </w:pPr>
      <w:r>
        <w:rPr>
          <w:bCs/>
          <w:sz w:val="24"/>
          <w:szCs w:val="24"/>
          <w:shd w:fill="auto" w:val="clear"/>
        </w:rPr>
        <w:t>Авансовый платеж в размере 100 (сто)%, от Цены Договора выплачивается в течение 20 (двадцати) календарных дней</w:t>
      </w:r>
      <w:r>
        <w:rPr>
          <w:rStyle w:val="FootnoteReference"/>
          <w:bCs/>
          <w:sz w:val="24"/>
          <w:szCs w:val="24"/>
          <w:shd w:fill="auto" w:val="clear"/>
        </w:rPr>
        <w:footnoteReference w:id="2"/>
      </w:r>
      <w:r>
        <w:rPr>
          <w:bCs/>
          <w:sz w:val="24"/>
          <w:szCs w:val="24"/>
          <w:shd w:fill="auto" w:val="clear"/>
        </w:rPr>
        <w:t xml:space="preserve"> / 7 (семи) рабочих дней</w:t>
      </w:r>
      <w:r>
        <w:rPr>
          <w:rStyle w:val="FootnoteReference"/>
          <w:bCs/>
          <w:sz w:val="24"/>
          <w:szCs w:val="24"/>
          <w:shd w:fill="auto" w:val="clear"/>
        </w:rPr>
        <w:footnoteReference w:id="3"/>
      </w:r>
      <w:r>
        <w:rPr>
          <w:bCs/>
          <w:sz w:val="24"/>
          <w:szCs w:val="24"/>
          <w:shd w:fill="auto" w:val="clear"/>
        </w:rPr>
        <w:t xml:space="preserve"> с даты подписания Договора и получения Покупателем счета, выставленного Поставщиком</w:t>
      </w:r>
      <w:r>
        <w:rPr>
          <w:sz w:val="24"/>
          <w:szCs w:val="24"/>
          <w:shd w:fill="auto" w:val="clear"/>
        </w:rPr>
        <w:t>.</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Поставщик не вправе производить замену Товара на иной Товар, если это приведет к несоблюдению защитных мер, установленных законодательством о Национальном режиме.</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ТОРГ-12/УПД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0"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1" w:name="_Ref361396594"/>
      <w:r>
        <w:rPr>
          <w:sz w:val="24"/>
          <w:szCs w:val="24"/>
        </w:rPr>
        <w:t xml:space="preserve">Датой поставки Товара является дата подписания Сторонами Накладной </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Гарантийный срок на Товар, поставленный по Договору, равен гарантийному сроку производителя и начинает течь с даты подписания Сторонами Накладной ТОРГ-12/УПД.</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shd w:val="clear" w:color="auto" w:fill="FFFFFF"/>
        <w:tabs>
          <w:tab w:val="clear" w:pos="709"/>
          <w:tab w:val="left" w:pos="1134" w:leader="none"/>
        </w:tabs>
        <w:ind w:firstLine="709" w:left="0"/>
        <w:jc w:val="both"/>
        <w:rPr>
          <w:sz w:val="24"/>
          <w:szCs w:val="24"/>
        </w:rPr>
      </w:pPr>
      <w:r>
        <w:rPr>
          <w:sz w:val="24"/>
          <w:szCs w:val="24"/>
        </w:rPr>
      </w:r>
    </w:p>
    <w:p>
      <w:pPr>
        <w:pStyle w:val="Normal"/>
        <w:shd w:val="clear" w:color="auto" w:fill="FFFFFF"/>
        <w:tabs>
          <w:tab w:val="clear" w:pos="709"/>
          <w:tab w:val="left" w:pos="1134" w:leader="none"/>
        </w:tabs>
        <w:ind w:firstLine="709" w:left="0"/>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firstLine="709" w:left="0"/>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shd w:val="clear" w:color="auto" w:fill="FFFFFF"/>
        <w:tabs>
          <w:tab w:val="clear" w:pos="709"/>
          <w:tab w:val="left" w:pos="1418" w:leader="none"/>
        </w:tabs>
        <w:ind w:firstLine="709" w:left="0"/>
        <w:jc w:val="both"/>
        <w:rPr>
          <w:bCs/>
        </w:rPr>
      </w:pPr>
      <w:r>
        <w:rPr>
          <w:bCs/>
          <w:color w:val="000000"/>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ind w:firstLine="709"/>
        <w:jc w:val="both"/>
        <w:rPr>
          <w:bCs/>
          <w:sz w:val="24"/>
          <w:szCs w:val="24"/>
          <w:shd w:fill="FFFF00" w:val="clear"/>
        </w:rPr>
      </w:pPr>
      <w:r>
        <w:rPr>
          <w:bCs/>
          <w:color w:val="000000"/>
          <w:sz w:val="24"/>
          <w:szCs w:val="24"/>
        </w:rPr>
        <w:t xml:space="preserve">Выбор формы направления такого требования осуществляется Бенефициаром самостоятельно. </w:t>
      </w: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widowControl/>
        <w:numPr>
          <w:ilvl w:val="2"/>
          <w:numId w:val="2"/>
        </w:numPr>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Банковские гарантии, предусмотренные настоящим разделом Договора, предоставляются (по выбору Заказчика): </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в оригинале на бумажном носителе.</w:t>
      </w:r>
    </w:p>
    <w:p>
      <w:pPr>
        <w:pStyle w:val="Normal"/>
        <w:widowControl/>
        <w:numPr>
          <w:ilvl w:val="1"/>
          <w:numId w:val="2"/>
        </w:numPr>
        <w:tabs>
          <w:tab w:val="clear" w:pos="709"/>
          <w:tab w:val="left" w:pos="0" w:leader="none"/>
          <w:tab w:val="left" w:pos="1134" w:leader="none"/>
        </w:tabs>
        <w:ind w:firstLine="709" w:left="0"/>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firstLine="709" w:left="0"/>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firstLine="709" w:left="0"/>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firstLine="709" w:left="0"/>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4"/>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Положения пункта 2.4.1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firstLine="709" w:left="0"/>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5"/>
      </w:r>
      <w:r>
        <w:rPr>
          <w:sz w:val="24"/>
          <w:szCs w:val="24"/>
          <w:highlight w:val="lightGray"/>
        </w:rPr>
        <w:t>.</w:t>
      </w:r>
    </w:p>
    <w:p>
      <w:pPr>
        <w:pStyle w:val="ListParagraph"/>
        <w:widowControl/>
        <w:numPr>
          <w:ilvl w:val="1"/>
          <w:numId w:val="2"/>
        </w:numPr>
        <w:shd w:val="clear" w:color="auto" w:fill="FFFFFF"/>
        <w:ind w:firstLine="709" w:left="0"/>
        <w:jc w:val="both"/>
        <w:rPr>
          <w:bCs/>
          <w:sz w:val="24"/>
          <w:szCs w:val="24"/>
        </w:rPr>
      </w:pPr>
      <w:r>
        <w:rPr>
          <w:sz w:val="24"/>
          <w:szCs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hanging="0"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Normal"/>
        <w:widowControl/>
        <w:numPr>
          <w:ilvl w:val="1"/>
          <w:numId w:val="2"/>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Normal"/>
        <w:widowControl/>
        <w:numPr>
          <w:ilvl w:val="2"/>
          <w:numId w:val="2"/>
        </w:numPr>
        <w:tabs>
          <w:tab w:val="clear" w:pos="709"/>
          <w:tab w:val="left" w:pos="1276" w:leader="none"/>
        </w:tabs>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Normal"/>
        <w:widowControl/>
        <w:numPr>
          <w:ilvl w:val="1"/>
          <w:numId w:val="2"/>
        </w:numPr>
        <w:tabs>
          <w:tab w:val="clear" w:pos="709"/>
          <w:tab w:val="left" w:pos="1276" w:leader="none"/>
        </w:tabs>
        <w:ind w:firstLine="709" w:left="0"/>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Если в результате составления и выставления Поставщиком счетов-фактур/УПД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pPr>
      <w:r>
        <w:rPr>
          <w:bCs/>
          <w:sz w:val="24"/>
          <w:szCs w:val="24"/>
        </w:rPr>
        <w:t>В случае нарушения Поставщиком сроков предоставления счетов-фактур/УПД,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sz w:val="24"/>
          <w:szCs w:val="24"/>
        </w:rPr>
      </w:r>
    </w:p>
    <w:p>
      <w:pPr>
        <w:pStyle w:val="ListParagraph"/>
        <w:widowControl/>
        <w:shd w:val="clear" w:color="auto" w:fill="FFFFFF"/>
        <w:tabs>
          <w:tab w:val="clear" w:pos="709"/>
          <w:tab w:val="left" w:pos="1276" w:leader="none"/>
        </w:tabs>
        <w:suppressAutoHyphens w:val="true"/>
        <w:bidi w:val="0"/>
        <w:spacing w:before="0" w:after="0"/>
        <w:ind w:firstLine="709" w:left="0"/>
        <w:contextualSpacing w:val="false"/>
        <w:jc w:val="both"/>
        <w:rPr>
          <w:sz w:val="24"/>
          <w:szCs w:val="24"/>
        </w:rPr>
      </w:pPr>
      <w:r>
        <w:rPr>
          <w:sz w:val="24"/>
          <w:szCs w:val="24"/>
        </w:rPr>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shd w:fill="auto" w:val="clear"/>
        </w:rPr>
        <w:t>Хабаровского края</w:t>
      </w:r>
      <w:r>
        <w:rPr>
          <w:bCs/>
          <w:sz w:val="24"/>
          <w:szCs w:val="24"/>
        </w:rPr>
        <w:t xml:space="preserve">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8.7.2.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5"/>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hanging="0"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8"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8"/>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9"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ind w:firstLine="709"/>
        <w:jc w:val="both"/>
        <w:rPr>
          <w:sz w:val="24"/>
          <w:szCs w:val="24"/>
        </w:rPr>
      </w:pPr>
      <w:r>
        <w:rPr>
          <w:sz w:val="24"/>
          <w:szCs w:val="24"/>
          <w:lang w:eastAsia="x-none"/>
        </w:rPr>
        <w:t>Приложение № 3 –</w:t>
      </w:r>
      <w:r>
        <w:rPr>
          <w:rFonts w:eastAsia="Calibri"/>
          <w:sz w:val="24"/>
          <w:szCs w:val="24"/>
          <w:lang w:eastAsia="en-US"/>
        </w:rPr>
        <w:t xml:space="preserve"> </w:t>
      </w:r>
      <w:bookmarkEnd w:id="9"/>
      <w:r>
        <w:rPr>
          <w:rFonts w:eastAsia="Calibri"/>
          <w:bCs/>
          <w:sz w:val="24"/>
          <w:szCs w:val="24"/>
          <w:lang w:eastAsia="en-US"/>
        </w:rPr>
        <w:t xml:space="preserve">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8"/>
        <w:gridCol w:w="4633"/>
        <w:gridCol w:w="329"/>
      </w:tblGrid>
      <w:tr>
        <w:trPr/>
        <w:tc>
          <w:tcPr>
            <w:tcW w:w="4928" w:type="dxa"/>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vMerge w:val="restart"/>
            <w:tcBorders/>
            <w:shd w:color="auto" w:fill="BFBFBF" w:val="clear"/>
          </w:tcPr>
          <w:p>
            <w:pPr>
              <w:pStyle w:val="Normal"/>
              <w:widowControl w:val="false"/>
              <w:rPr>
                <w:sz w:val="24"/>
                <w:szCs w:val="24"/>
                <w:highlight w:val="lightGray"/>
              </w:rPr>
            </w:pPr>
            <w:r>
              <w:rPr>
                <w:sz w:val="24"/>
                <w:szCs w:val="24"/>
                <w:highlight w:val="lightGray"/>
              </w:rPr>
            </w:r>
          </w:p>
          <w:p>
            <w:pPr>
              <w:pStyle w:val="Normal"/>
              <w:widowControl w:val="false"/>
              <w:rPr>
                <w:sz w:val="24"/>
                <w:szCs w:val="24"/>
              </w:rPr>
            </w:pPr>
            <w:r>
              <w:rPr>
                <w:b/>
                <w:sz w:val="24"/>
                <w:szCs w:val="24"/>
              </w:rPr>
              <w:t>Акционерное общество «Транспортная компания РусГидро»</w:t>
            </w:r>
          </w:p>
          <w:p>
            <w:pPr>
              <w:pStyle w:val="Normal"/>
              <w:widowControl w:val="false"/>
              <w:rPr>
                <w:sz w:val="24"/>
                <w:szCs w:val="24"/>
              </w:rPr>
            </w:pPr>
            <w:r>
              <w:rPr>
                <w:b/>
                <w:sz w:val="24"/>
                <w:szCs w:val="24"/>
              </w:rPr>
              <w:t>(АО «ТК РусГидро»)</w:t>
            </w:r>
          </w:p>
          <w:p>
            <w:pPr>
              <w:pStyle w:val="Normal"/>
              <w:widowControl w:val="false"/>
              <w:rPr>
                <w:b w:val="false"/>
                <w:bCs w:val="false"/>
              </w:rPr>
            </w:pPr>
            <w:r>
              <w:rPr>
                <w:b w:val="false"/>
                <w:bCs w:val="false"/>
                <w:sz w:val="24"/>
                <w:szCs w:val="24"/>
              </w:rPr>
              <w:t>Юридический адрес: 655619, Республика Хакасия, г. Саяногорск, рп. Черемушки, стр. 101.</w:t>
            </w:r>
          </w:p>
          <w:p>
            <w:pPr>
              <w:pStyle w:val="Normal"/>
              <w:widowControl w:val="false"/>
              <w:rPr>
                <w:sz w:val="24"/>
                <w:szCs w:val="24"/>
              </w:rPr>
            </w:pPr>
            <w:r>
              <w:rPr>
                <w:b/>
                <w:sz w:val="24"/>
                <w:szCs w:val="24"/>
              </w:rPr>
              <w:t>Дальневосточный филиал АО «ТК РусГидро»</w:t>
            </w:r>
          </w:p>
          <w:p>
            <w:pPr>
              <w:pStyle w:val="Normal"/>
              <w:widowControl w:val="false"/>
              <w:rPr>
                <w:b w:val="false"/>
                <w:bCs w:val="false"/>
              </w:rPr>
            </w:pPr>
            <w:r>
              <w:rPr>
                <w:b w:val="false"/>
                <w:bCs w:val="false"/>
                <w:sz w:val="24"/>
                <w:szCs w:val="24"/>
              </w:rPr>
              <w:t>Почтовый адрес: 680021, Хабаровский край, г. Хабаровск, ул. Ленинградская, д. 46.</w:t>
            </w:r>
          </w:p>
          <w:p>
            <w:pPr>
              <w:pStyle w:val="Normal"/>
              <w:widowControl w:val="false"/>
              <w:rPr>
                <w:b w:val="false"/>
                <w:bCs w:val="false"/>
              </w:rPr>
            </w:pPr>
            <w:r>
              <w:rPr>
                <w:b w:val="false"/>
                <w:bCs w:val="false"/>
                <w:sz w:val="24"/>
                <w:szCs w:val="24"/>
              </w:rPr>
              <w:t>ИНН: 1902018248; КПП: 272443001;</w:t>
            </w:r>
          </w:p>
          <w:p>
            <w:pPr>
              <w:pStyle w:val="Normal"/>
              <w:widowControl w:val="false"/>
              <w:rPr>
                <w:b w:val="false"/>
                <w:bCs w:val="false"/>
              </w:rPr>
            </w:pPr>
            <w:r>
              <w:rPr>
                <w:b w:val="false"/>
                <w:bCs w:val="false"/>
                <w:sz w:val="24"/>
                <w:szCs w:val="24"/>
              </w:rPr>
              <w:t>ОГРН: 1031900676356;</w:t>
            </w:r>
          </w:p>
          <w:p>
            <w:pPr>
              <w:pStyle w:val="Normal"/>
              <w:widowControl w:val="false"/>
              <w:rPr>
                <w:b w:val="false"/>
                <w:bCs w:val="false"/>
              </w:rPr>
            </w:pPr>
            <w:r>
              <w:rPr>
                <w:b w:val="false"/>
                <w:bCs w:val="false"/>
                <w:sz w:val="24"/>
                <w:szCs w:val="24"/>
              </w:rPr>
              <w:t>Р/счет: 40702810903000031136,</w:t>
            </w:r>
          </w:p>
          <w:p>
            <w:pPr>
              <w:pStyle w:val="Normal"/>
              <w:widowControl w:val="false"/>
              <w:rPr>
                <w:b w:val="false"/>
                <w:bCs w:val="false"/>
              </w:rPr>
            </w:pPr>
            <w:r>
              <w:rPr>
                <w:b w:val="false"/>
                <w:bCs w:val="false"/>
                <w:sz w:val="24"/>
                <w:szCs w:val="24"/>
              </w:rPr>
              <w:t>Банк: Дальневосточный филиал</w:t>
            </w:r>
          </w:p>
          <w:p>
            <w:pPr>
              <w:pStyle w:val="Normal"/>
              <w:widowControl w:val="false"/>
              <w:rPr>
                <w:b w:val="false"/>
                <w:bCs w:val="false"/>
              </w:rPr>
            </w:pPr>
            <w:r>
              <w:rPr>
                <w:b w:val="false"/>
                <w:bCs w:val="false"/>
                <w:sz w:val="24"/>
                <w:szCs w:val="24"/>
              </w:rPr>
              <w:t>ПАО «Сбербанк России» г. Хабаровск,</w:t>
            </w:r>
          </w:p>
          <w:p>
            <w:pPr>
              <w:pStyle w:val="Normal"/>
              <w:widowControl w:val="false"/>
              <w:rPr>
                <w:b w:val="false"/>
                <w:bCs w:val="false"/>
              </w:rPr>
            </w:pPr>
            <w:r>
              <w:rPr>
                <w:b w:val="false"/>
                <w:bCs w:val="false"/>
                <w:sz w:val="24"/>
                <w:szCs w:val="24"/>
              </w:rPr>
              <w:t>К/счет: 30101810600000000608;</w:t>
            </w:r>
          </w:p>
          <w:p>
            <w:pPr>
              <w:pStyle w:val="Normal"/>
              <w:widowControl w:val="false"/>
              <w:rPr>
                <w:b w:val="false"/>
                <w:bCs w:val="false"/>
              </w:rPr>
            </w:pPr>
            <w:r>
              <w:rPr>
                <w:b w:val="false"/>
                <w:bCs w:val="false"/>
                <w:sz w:val="24"/>
                <w:szCs w:val="24"/>
              </w:rPr>
              <w:t>БИК: 040813608</w:t>
            </w:r>
          </w:p>
          <w:p>
            <w:pPr>
              <w:pStyle w:val="Normal"/>
              <w:widowControl w:val="false"/>
              <w:rPr>
                <w:b w:val="false"/>
                <w:bCs w:val="false"/>
              </w:rPr>
            </w:pPr>
            <w:r>
              <w:rPr>
                <w:b w:val="false"/>
                <w:bCs w:val="false"/>
              </w:rPr>
            </w:r>
          </w:p>
          <w:p>
            <w:pPr>
              <w:pStyle w:val="Normal"/>
              <w:widowControl w:val="false"/>
              <w:rPr>
                <w:b w:val="false"/>
                <w:bCs w:val="false"/>
              </w:rPr>
            </w:pPr>
            <w:r>
              <w:rPr>
                <w:b w:val="false"/>
                <w:bCs w:val="false"/>
                <w:sz w:val="24"/>
                <w:szCs w:val="24"/>
              </w:rPr>
              <w:t>Покупатель:</w:t>
            </w:r>
          </w:p>
          <w:p>
            <w:pPr>
              <w:pStyle w:val="Normal"/>
              <w:widowControl w:val="false"/>
              <w:rPr>
                <w:b w:val="false"/>
                <w:bCs w:val="false"/>
              </w:rPr>
            </w:pPr>
            <w:r>
              <w:rPr>
                <w:b w:val="false"/>
                <w:bCs w:val="false"/>
                <w:sz w:val="24"/>
                <w:szCs w:val="24"/>
              </w:rPr>
              <w:t>Директор</w:t>
            </w:r>
          </w:p>
          <w:p>
            <w:pPr>
              <w:pStyle w:val="Normal"/>
              <w:widowControl w:val="false"/>
              <w:rPr>
                <w:b w:val="false"/>
                <w:bCs w:val="false"/>
              </w:rPr>
            </w:pPr>
            <w:r>
              <w:rPr>
                <w:b w:val="false"/>
                <w:bCs w:val="false"/>
                <w:sz w:val="24"/>
                <w:szCs w:val="24"/>
              </w:rPr>
              <w:t>Дальневосточного филиала</w:t>
            </w:r>
          </w:p>
          <w:p>
            <w:pPr>
              <w:pStyle w:val="Normal"/>
              <w:widowControl w:val="false"/>
              <w:rPr>
                <w:b w:val="false"/>
                <w:bCs w:val="false"/>
              </w:rPr>
            </w:pPr>
            <w:r>
              <w:rPr>
                <w:b w:val="false"/>
                <w:bCs w:val="false"/>
                <w:sz w:val="24"/>
                <w:szCs w:val="24"/>
              </w:rPr>
              <w:t>АО «ТК РусГидро»</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b w:val="false"/>
                <w:bCs w:val="false"/>
              </w:rPr>
            </w:pPr>
            <w:r>
              <w:rPr>
                <w:b w:val="false"/>
                <w:bCs w:val="false"/>
                <w:sz w:val="24"/>
                <w:szCs w:val="24"/>
                <w:highlight w:val="lightGray"/>
              </w:rPr>
              <w:t>_______________ / В.Ю. Золотарев /</w:t>
            </w:r>
          </w:p>
          <w:p>
            <w:pPr>
              <w:pStyle w:val="Normal"/>
              <w:rPr/>
            </w:pPr>
            <w:r>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928" w:type="dxa"/>
            <w:vMerge w:val="continue"/>
            <w:tcBorders/>
            <w:shd w:color="auto" w:fill="BFBFBF" w:val="clear"/>
          </w:tcPr>
          <w:p>
            <w:pPr>
              <w:pStyle w:val="Normal"/>
              <w:widowControl w:val="false"/>
              <w:rPr>
                <w:sz w:val="24"/>
                <w:szCs w:val="24"/>
                <w:highlight w:val="lightGray"/>
              </w:rPr>
            </w:pPr>
            <w:r>
              <w:rPr>
                <w:sz w:val="24"/>
                <w:szCs w:val="24"/>
                <w:highlight w:val="lightGray"/>
              </w:rPr>
            </w:r>
          </w:p>
        </w:tc>
        <w:tc>
          <w:tcPr>
            <w:tcW w:w="4633" w:type="dxa"/>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9"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16384"/>
        </w:sectPr>
      </w:pPr>
    </w:p>
    <w:p>
      <w:pPr>
        <w:pStyle w:val="Normal"/>
        <w:ind w:hanging="0" w:left="5103" w:right="96"/>
        <w:rPr>
          <w:sz w:val="22"/>
          <w:szCs w:val="22"/>
        </w:rPr>
      </w:pPr>
      <w:r>
        <w:rPr>
          <w:sz w:val="22"/>
          <w:szCs w:val="22"/>
        </w:rPr>
        <w:t>Приложение № 1</w:t>
      </w:r>
    </w:p>
    <w:p>
      <w:pPr>
        <w:pStyle w:val="Normal"/>
        <w:ind w:hanging="0" w:left="5103" w:right="96"/>
        <w:rPr>
          <w:sz w:val="22"/>
          <w:szCs w:val="22"/>
        </w:rPr>
      </w:pPr>
      <w:r>
        <w:rPr>
          <w:sz w:val="22"/>
          <w:szCs w:val="22"/>
        </w:rPr>
        <w:t>к Договору поставки</w:t>
      </w:r>
    </w:p>
    <w:p>
      <w:pPr>
        <w:pStyle w:val="Normal"/>
        <w:ind w:hanging="0" w:left="5103" w:right="96"/>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7"/>
        <w:gridCol w:w="635"/>
        <w:gridCol w:w="636"/>
        <w:gridCol w:w="637"/>
        <w:gridCol w:w="798"/>
        <w:gridCol w:w="767"/>
        <w:gridCol w:w="643"/>
        <w:gridCol w:w="762"/>
        <w:gridCol w:w="720"/>
        <w:gridCol w:w="376"/>
        <w:gridCol w:w="157"/>
        <w:gridCol w:w="665"/>
        <w:gridCol w:w="583"/>
        <w:gridCol w:w="531"/>
        <w:gridCol w:w="745"/>
        <w:gridCol w:w="585"/>
      </w:tblGrid>
      <w:tr>
        <w:trPr>
          <w:trHeight w:val="526"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6"/>
            </w:r>
          </w:p>
        </w:tc>
        <w:tc>
          <w:tcPr>
            <w:tcW w:w="7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7"/>
            </w:r>
          </w:p>
          <w:p>
            <w:pPr>
              <w:pStyle w:val="Normal"/>
              <w:widowControl w:val="false"/>
              <w:jc w:val="center"/>
              <w:rPr>
                <w:bCs/>
              </w:rPr>
            </w:pPr>
            <w:r>
              <w:rPr>
                <w:bCs/>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3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9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1"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66"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ind w:hanging="0" w:left="-737" w:right="680"/>
        <w:jc w:val="both"/>
        <w:rPr>
          <w:i/>
          <w:i/>
          <w:iCs/>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left="-737" w:right="680"/>
        <w:jc w:val="both"/>
        <w:rPr>
          <w:i/>
          <w:i/>
          <w:iCs/>
        </w:rPr>
      </w:pPr>
      <w:r>
        <w:rPr>
          <w:i/>
          <w:iCs/>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ind w:firstLine="5103" w:right="96"/>
        <w:rPr>
          <w:sz w:val="22"/>
          <w:szCs w:val="22"/>
        </w:rPr>
      </w:pPr>
      <w:r>
        <w:rPr>
          <w:sz w:val="22"/>
          <w:szCs w:val="22"/>
        </w:rPr>
        <w:t>Приложение № 2</w:t>
      </w:r>
    </w:p>
    <w:p>
      <w:pPr>
        <w:pStyle w:val="Normal"/>
        <w:ind w:firstLine="5103" w:right="96"/>
        <w:rPr>
          <w:sz w:val="22"/>
          <w:szCs w:val="22"/>
        </w:rPr>
      </w:pPr>
      <w:r>
        <w:rPr>
          <w:sz w:val="22"/>
          <w:szCs w:val="22"/>
        </w:rPr>
        <w:t xml:space="preserve">к Договору поставки </w:t>
      </w:r>
    </w:p>
    <w:p>
      <w:pPr>
        <w:pStyle w:val="Normal"/>
        <w:ind w:firstLine="5103" w:right="96"/>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firstLine="6237" w:right="96"/>
        <w:rPr>
          <w:sz w:val="24"/>
          <w:szCs w:val="24"/>
        </w:rPr>
      </w:pPr>
      <w:r>
        <w:rPr>
          <w:sz w:val="24"/>
          <w:szCs w:val="24"/>
        </w:rPr>
      </w:r>
    </w:p>
    <w:p>
      <w:pPr>
        <w:pStyle w:val="Normal"/>
        <w:widowControl/>
        <w:rPr>
          <w:sz w:val="24"/>
          <w:szCs w:val="24"/>
        </w:rPr>
      </w:pPr>
      <w:r>
        <w:rPr>
          <w:sz w:val="24"/>
          <w:szCs w:val="24"/>
        </w:rPr>
      </w:r>
      <w:r>
        <w:br w:type="page"/>
      </w:r>
    </w:p>
    <w:p>
      <w:pPr>
        <w:pStyle w:val="Normal"/>
        <w:ind w:firstLine="5529" w:right="96"/>
        <w:rPr>
          <w:sz w:val="22"/>
          <w:szCs w:val="22"/>
        </w:rPr>
      </w:pPr>
      <w:r>
        <w:rPr>
          <w:sz w:val="22"/>
          <w:szCs w:val="22"/>
        </w:rPr>
        <w:t>Приложение № 3</w:t>
      </w:r>
    </w:p>
    <w:p>
      <w:pPr>
        <w:pStyle w:val="Normal"/>
        <w:ind w:firstLine="5529" w:right="96"/>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hanging="0" w:left="5103"/>
        <w:rPr>
          <w:sz w:val="24"/>
          <w:szCs w:val="24"/>
        </w:rPr>
      </w:pPr>
      <w:r>
        <w:rPr>
          <w:sz w:val="24"/>
          <w:szCs w:val="24"/>
        </w:rPr>
      </w:r>
    </w:p>
    <w:p>
      <w:pPr>
        <w:pStyle w:val="Normal"/>
        <w:ind w:hanging="0" w:left="5103"/>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hanging="0" w:left="5103"/>
        <w:rPr>
          <w:b/>
          <w:bCs/>
          <w:sz w:val="24"/>
          <w:szCs w:val="24"/>
        </w:rPr>
      </w:pPr>
      <w:r>
        <w:rPr>
          <w:b/>
          <w:bCs/>
          <w:sz w:val="24"/>
          <w:szCs w:val="24"/>
        </w:rPr>
      </w:r>
    </w:p>
    <w:p>
      <w:pPr>
        <w:pStyle w:val="Normal"/>
        <w:widowControl/>
        <w:rPr>
          <w:b/>
          <w:bCs/>
          <w:sz w:val="24"/>
          <w:szCs w:val="24"/>
        </w:rPr>
      </w:pPr>
      <w:r>
        <w:rPr>
          <w:b/>
          <w:bCs/>
          <w:sz w:val="24"/>
          <w:szCs w:val="24"/>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314"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4</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22</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4"/>
        </w:rPr>
        <w:footnoteRef/>
      </w:r>
      <w:r>
        <w:rPr/>
        <w:t>Для договоров, заключенных в рамках операционной (текущей) деятельности Заказчика.</w:t>
      </w:r>
    </w:p>
  </w:footnote>
  <w:footnote w:id="3">
    <w:p>
      <w:pPr>
        <w:pStyle w:val="FootnoteText"/>
        <w:rPr/>
      </w:pPr>
      <w:r>
        <w:rPr>
          <w:rStyle w:val="Style14"/>
        </w:rPr>
        <w:footnoteRef/>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5">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6">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7">
    <w:p>
      <w:pPr>
        <w:pStyle w:val="FootnoteText"/>
        <w:jc w:val="both"/>
        <w:rPr/>
      </w:pPr>
      <w:r>
        <w:rPr>
          <w:rStyle w:val="Style14"/>
        </w:rPr>
        <w:footnoteRef/>
      </w:r>
      <w:r>
        <w:rPr/>
        <w:t xml:space="preserve"> </w:t>
      </w:r>
      <w:r>
        <w:rPr>
          <w:bCs/>
        </w:rPr>
        <w:t>Порядковый номер (номера) реестровой записи (реестровых записей), под которой (которыми) Товар  включен</w:t>
      </w:r>
      <w:bookmarkStart w:id="10" w:name="_GoBack_Копия_1_Копия_1_Копия_1_Копия_1_"/>
      <w:bookmarkEnd w:id="10"/>
      <w:r>
        <w:rPr>
          <w:bCs/>
        </w:rPr>
        <w:t xml:space="preserve">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hanging="426" w:left="8364"/>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75"/>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Linenumber">
    <w:name w:val="line number"/>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yle19">
    <w:name w:val="Символ нумерации"/>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9B0D606D-4B15-4B5E-8E7C-8A1A8F83DE80}">
  <ds:schemaRefs>
    <ds:schemaRef ds:uri="http://schemas.openxmlformats.org/officeDocument/2006/bibliography"/>
  </ds:schemaRefs>
</ds:datastoreItem>
</file>

<file path=customXml/itemProps4.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Application>AlterOffice/2026.2.0.0$Linux_X86_64 LibreOffice_project/bc4ef1adf80b36c7a6365f8ed6cbf29021361edd</Application>
  <AppVersion>15.0000</AppVersion>
  <Pages>22</Pages>
  <Words>7858</Words>
  <Characters>56333</Characters>
  <CharactersWithSpaces>63914</CharactersWithSpaces>
  <Paragraphs>365</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larionovadv@corp.gidroogk.com</cp:lastModifiedBy>
  <cp:lastPrinted>2018-05-22T09:46:00Z</cp:lastPrinted>
  <dcterms:modified xsi:type="dcterms:W3CDTF">2026-10-14T10:48:18Z</dcterms:modified>
  <cp:revision>60</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