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center"/>
        <w:rPr>
          <w:b/>
          <w:bCs/>
          <w:sz w:val="24"/>
          <w:szCs w:val="24"/>
        </w:rPr>
      </w:pPr>
      <w:r>
        <w:rPr>
          <w:b/>
          <w:bCs/>
          <w:sz w:val="24"/>
          <w:szCs w:val="24"/>
        </w:rPr>
        <w:t>ПРОЕКТ ДОГОВОРА</w:t>
      </w:r>
    </w:p>
    <w:p>
      <w:pPr>
        <w:pStyle w:val="Normal"/>
        <w:widowControl/>
        <w:jc w:val="center"/>
        <w:rPr>
          <w:b/>
          <w:bCs/>
          <w:sz w:val="24"/>
          <w:szCs w:val="24"/>
        </w:rPr>
      </w:pPr>
      <w:r>
        <w:rPr>
          <w:rFonts w:ascii="Times New Roman;serif" w:hAnsi="Times New Roman;serif"/>
          <w:b/>
          <w:bCs/>
          <w:color w:val="000000"/>
          <w:sz w:val="24"/>
          <w:szCs w:val="24"/>
          <w:shd w:fill="auto" w:val="clear"/>
        </w:rPr>
        <w:t xml:space="preserve">Поставка </w:t>
      </w:r>
      <w:r>
        <w:rPr>
          <w:rFonts w:eastAsia="Times New Roman" w:cs="Times New Roman" w:ascii="Times New Roman;serif" w:hAnsi="Times New Roman;serif"/>
          <w:b/>
          <w:bCs/>
          <w:color w:val="000000"/>
          <w:kern w:val="0"/>
          <w:sz w:val="24"/>
          <w:szCs w:val="24"/>
          <w:shd w:fill="auto" w:val="clear"/>
          <w:lang w:val="ru-RU" w:eastAsia="ru-RU" w:bidi="ar-SA"/>
        </w:rPr>
        <w:t>сетей защитных заградительных и шнуров от воздействия беспилотных летательных аппаратов для нужд филиала ПАО «РусГидро»-«Зейская ГЭС»</w:t>
      </w:r>
    </w:p>
    <w:p>
      <w:pPr>
        <w:pStyle w:val="Normal"/>
        <w:shd w:val="clear" w:color="auto" w:fill="FFFFFF"/>
        <w:tabs>
          <w:tab w:val="clear" w:pos="709"/>
          <w:tab w:val="left" w:pos="6926" w:leader="none"/>
        </w:tabs>
        <w:jc w:val="center"/>
        <w:rPr>
          <w:b/>
          <w:sz w:val="24"/>
          <w:szCs w:val="24"/>
        </w:rPr>
      </w:pPr>
      <w:r>
        <w:rPr>
          <w:b/>
          <w:sz w:val="24"/>
          <w:szCs w:val="24"/>
        </w:rPr>
      </w:r>
    </w:p>
    <w:p>
      <w:pPr>
        <w:pStyle w:val="Normal"/>
        <w:shd w:val="clear" w:color="auto" w:fill="FFFFFF"/>
        <w:tabs>
          <w:tab w:val="clear" w:pos="709"/>
          <w:tab w:val="left" w:pos="6926" w:leader="none"/>
        </w:tabs>
        <w:jc w:val="center"/>
        <w:rPr>
          <w:b/>
          <w:sz w:val="24"/>
          <w:szCs w:val="24"/>
        </w:rPr>
      </w:pPr>
      <w:r>
        <w:rPr>
          <w:b/>
          <w:sz w:val="24"/>
          <w:szCs w:val="24"/>
        </w:rPr>
      </w:r>
    </w:p>
    <w:p>
      <w:pPr>
        <w:pStyle w:val="Normal"/>
        <w:shd w:val="clear" w:color="auto" w:fill="FFFFFF"/>
        <w:tabs>
          <w:tab w:val="clear" w:pos="709"/>
          <w:tab w:val="left" w:pos="6926" w:leader="none"/>
        </w:tabs>
        <w:jc w:val="center"/>
        <w:rPr>
          <w:b/>
          <w:sz w:val="24"/>
          <w:szCs w:val="24"/>
        </w:rPr>
      </w:pPr>
      <w:r>
        <w:rPr>
          <w:b/>
          <w:sz w:val="24"/>
          <w:szCs w:val="24"/>
        </w:rPr>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Зея</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z w:val="24"/>
          <w:szCs w:val="24"/>
        </w:rPr>
        <w:t xml:space="preserve">Публичное акционерное общество «Федеральная гидрогенерирующая </w:t>
        <w:br/>
        <w:t xml:space="preserve">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shd w:fill="auto" w:val="clear"/>
          <w:lang w:eastAsia="en-US"/>
        </w:rPr>
        <w:t xml:space="preserve">по результатам проведенной Покупателем закупочной процедуры по лоту № ____________ и на основании протокола __________ от «___» _________ г. №_______, </w:t>
      </w:r>
      <w:r>
        <w:rPr>
          <w:sz w:val="24"/>
          <w:szCs w:val="24"/>
          <w:shd w:fill="auto" w:val="clear"/>
        </w:rPr>
        <w:t>заключ</w:t>
      </w:r>
      <w:r>
        <w:rPr>
          <w:sz w:val="24"/>
          <w:szCs w:val="24"/>
        </w:rPr>
        <w:t>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rFonts w:eastAsia="Times New Roman" w:cs="Times New Roman" w:ascii="Times New Roman;serif" w:hAnsi="Times New Roman;serif"/>
          <w:b/>
          <w:bCs/>
          <w:i w:val="false"/>
          <w:iCs w:val="false"/>
          <w:strike w:val="false"/>
          <w:dstrike w:val="false"/>
          <w:outline w:val="false"/>
          <w:shadow w:val="false"/>
          <w:color w:val="000000"/>
          <w:kern w:val="0"/>
          <w:sz w:val="24"/>
          <w:szCs w:val="24"/>
          <w:u w:val="none"/>
          <w:shd w:fill="auto" w:val="clear"/>
          <w:em w:val="none"/>
          <w:lang w:val="ru-RU" w:eastAsia="ru-RU" w:bidi="ar-SA"/>
        </w:rPr>
        <w:t>сети защитные заградительные и шнуры</w:t>
      </w:r>
      <w:r>
        <w:rPr>
          <w:bCs/>
          <w:sz w:val="24"/>
          <w:szCs w:val="24"/>
          <w:shd w:fill="auto" w:val="clear"/>
        </w:rPr>
        <w:t xml:space="preserve">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«РусГидро»-«Зейская ГЭС».</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bCs/>
          <w:sz w:val="24"/>
          <w:szCs w:val="24"/>
          <w:shd w:fill="auto" w:val="clear"/>
        </w:rPr>
        <w:t>676244, Амурская область, г. Зея, склад филиала ПАО «РусГидро»-«Зейская ГЭС»</w:t>
      </w:r>
      <w:r>
        <w:rPr>
          <w:sz w:val="24"/>
          <w:szCs w:val="24"/>
          <w:shd w:fill="auto" w:val="clear"/>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highlight w:val="none"/>
          <w:shd w:fill="auto" w:val="clear"/>
        </w:rPr>
      </w:pPr>
      <w:r>
        <w:rPr>
          <w:bCs/>
          <w:sz w:val="24"/>
          <w:szCs w:val="24"/>
          <w:shd w:fill="auto" w:val="clear"/>
        </w:rPr>
        <w:t>Срок поставки Товара: «</w:t>
      </w:r>
      <w:r>
        <w:rPr>
          <w:bCs/>
          <w:sz w:val="24"/>
          <w:szCs w:val="24"/>
          <w:shd w:fill="auto" w:val="clear"/>
        </w:rPr>
        <w:t>2</w:t>
      </w:r>
      <w:r>
        <w:rPr>
          <w:bCs/>
          <w:sz w:val="24"/>
          <w:szCs w:val="24"/>
          <w:shd w:fill="auto" w:val="clear"/>
        </w:rPr>
        <w:t xml:space="preserve">5» </w:t>
      </w:r>
      <w:r>
        <w:rPr>
          <w:bCs/>
          <w:sz w:val="24"/>
          <w:szCs w:val="24"/>
          <w:shd w:fill="auto" w:val="clear"/>
        </w:rPr>
        <w:t>дека</w:t>
      </w:r>
      <w:r>
        <w:rPr>
          <w:bCs/>
          <w:sz w:val="24"/>
          <w:szCs w:val="24"/>
          <w:shd w:fill="auto" w:val="clear"/>
        </w:rPr>
        <w:t>бря 2026 г.</w:t>
      </w:r>
    </w:p>
    <w:p>
      <w:pPr>
        <w:pStyle w:val="Normal"/>
        <w:shd w:val="clear" w:color="auto" w:fill="FFFFFF"/>
        <w:tabs>
          <w:tab w:val="clear" w:pos="709"/>
          <w:tab w:val="left" w:pos="540" w:leader="none"/>
        </w:tabs>
        <w:ind w:hanging="0" w:left="1134"/>
        <w:jc w:val="both"/>
        <w:rPr>
          <w:sz w:val="24"/>
          <w:szCs w:val="24"/>
          <w:highlight w:val="none"/>
          <w:shd w:fill="auto" w:val="clear"/>
        </w:rPr>
      </w:pPr>
      <w:r>
        <w:rPr>
          <w:sz w:val="24"/>
          <w:szCs w:val="24"/>
          <w:shd w:fill="auto" w:val="clear"/>
        </w:rPr>
      </w:r>
    </w:p>
    <w:p>
      <w:pPr>
        <w:pStyle w:val="Normal"/>
        <w:numPr>
          <w:ilvl w:val="0"/>
          <w:numId w:val="2"/>
        </w:numPr>
        <w:shd w:val="clear" w:color="auto" w:fill="FFFFFF"/>
        <w:tabs>
          <w:tab w:val="clear" w:pos="709"/>
          <w:tab w:val="left" w:pos="284" w:leader="none"/>
        </w:tabs>
        <w:ind w:hanging="0" w:left="0"/>
        <w:jc w:val="center"/>
        <w:rPr>
          <w:highlight w:val="none"/>
          <w:shd w:fill="auto" w:val="clear"/>
        </w:rPr>
      </w:pPr>
      <w:r>
        <w:rPr>
          <w:b/>
          <w:bCs/>
          <w:sz w:val="24"/>
          <w:szCs w:val="24"/>
          <w:shd w:fill="auto" w:val="clear"/>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shd w:fill="auto" w:val="clear"/>
        </w:rPr>
        <w:t xml:space="preserve">Цена Договора в соответствии со Спецификацией (Приложение № 1 к Договору) </w:t>
      </w:r>
      <w:r>
        <w:rPr>
          <w:bCs/>
          <w:sz w:val="24"/>
          <w:szCs w:val="24"/>
          <w:shd w:fill="auto" w:val="clear"/>
        </w:rPr>
        <w:t xml:space="preserve">является  твердой и составляет </w:t>
      </w:r>
      <w:r>
        <w:rPr>
          <w:sz w:val="24"/>
          <w:szCs w:val="24"/>
          <w:shd w:fill="auto" w:val="clear"/>
        </w:rPr>
        <w:t>_______</w:t>
      </w:r>
      <w:r>
        <w:rPr>
          <w:bCs/>
          <w:sz w:val="24"/>
          <w:szCs w:val="24"/>
          <w:shd w:fill="auto" w:val="clear"/>
        </w:rPr>
        <w:t xml:space="preserve"> (</w:t>
      </w:r>
      <w:r>
        <w:rPr>
          <w:sz w:val="24"/>
          <w:szCs w:val="24"/>
          <w:shd w:fill="auto" w:val="clear"/>
        </w:rPr>
        <w:t>__________________</w:t>
      </w:r>
      <w:r>
        <w:rPr>
          <w:bCs/>
          <w:sz w:val="24"/>
          <w:szCs w:val="24"/>
          <w:shd w:fill="auto" w:val="clear"/>
        </w:rPr>
        <w:t xml:space="preserve">) рублей </w:t>
      </w:r>
      <w:r>
        <w:rPr>
          <w:sz w:val="24"/>
          <w:szCs w:val="24"/>
          <w:shd w:fill="auto" w:val="clear"/>
        </w:rPr>
        <w:t>___</w:t>
      </w:r>
      <w:r>
        <w:rPr>
          <w:bCs/>
          <w:sz w:val="24"/>
          <w:szCs w:val="24"/>
          <w:shd w:fill="auto" w:val="clear"/>
        </w:rPr>
        <w:t xml:space="preserve"> </w:t>
      </w:r>
      <w:r>
        <w:rPr>
          <w:bCs/>
          <w:sz w:val="24"/>
          <w:szCs w:val="24"/>
        </w:rPr>
        <w:t>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0"/>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1418" w:leader="none"/>
        </w:tabs>
        <w:ind w:firstLine="709" w:left="0"/>
        <w:jc w:val="both"/>
        <w:rPr>
          <w:sz w:val="24"/>
          <w:szCs w:val="24"/>
        </w:rPr>
      </w:pPr>
      <w:r>
        <w:rPr>
          <w:bCs/>
          <w:color w:val="000000"/>
          <w:sz w:val="24"/>
          <w:szCs w:val="24"/>
        </w:rPr>
        <w:t>Покупатель уплачивает Поставщику аванс в размере 100</w:t>
      </w:r>
      <w:r>
        <w:rPr>
          <w:sz w:val="24"/>
          <w:szCs w:val="24"/>
        </w:rPr>
        <w:t>% (ста процентов)</w:t>
      </w:r>
      <w:r>
        <w:rPr>
          <w:bCs/>
          <w:color w:val="000000"/>
          <w:sz w:val="24"/>
          <w:szCs w:val="24"/>
        </w:rPr>
        <w:t xml:space="preserve"> Цены Договора</w:t>
      </w:r>
      <w:r>
        <w:rPr>
          <w:sz w:val="24"/>
          <w:szCs w:val="24"/>
        </w:rPr>
        <w:t>.</w:t>
      </w:r>
    </w:p>
    <w:p>
      <w:pPr>
        <w:pStyle w:val="ListParagraph"/>
        <w:widowControl/>
        <w:numPr>
          <w:ilvl w:val="2"/>
          <w:numId w:val="2"/>
        </w:numPr>
        <w:shd w:val="clear" w:color="auto" w:fill="FFFFFF"/>
        <w:tabs>
          <w:tab w:val="clear" w:pos="709"/>
          <w:tab w:val="left" w:pos="1418" w:leader="none"/>
        </w:tabs>
        <w:ind w:firstLine="709" w:left="0"/>
        <w:jc w:val="both"/>
        <w:rPr>
          <w:sz w:val="24"/>
          <w:szCs w:val="24"/>
        </w:rPr>
      </w:pPr>
      <w:r>
        <w:rPr>
          <w:bCs/>
          <w:color w:val="000000"/>
          <w:sz w:val="24"/>
          <w:szCs w:val="24"/>
        </w:rPr>
        <w:t>Авансовый платеж, предусмотренный п. 2.4.1. Договора</w:t>
      </w:r>
      <w:r>
        <w:rPr>
          <w:sz w:val="24"/>
          <w:szCs w:val="24"/>
        </w:rPr>
        <w:t>, выплачивается в течение 10 (десяти) рабочих дней с даты вступления Договора в силу, при условии получения Покупателем счета, выставленного Поставщиком, и с учетом п.2.4.3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shd w:fill="auto" w:val="clear"/>
        </w:rPr>
        <w:t>__(____) экз.;</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rPr>
      </w:pPr>
      <w:r>
        <w:rPr>
          <w:sz w:val="24"/>
          <w:szCs w:val="24"/>
          <w:shd w:fill="auto" w:val="clear"/>
        </w:rPr>
        <w:t>упаковочный лист в __(____) э</w:t>
      </w:r>
      <w:r>
        <w:rPr>
          <w:sz w:val="24"/>
          <w:szCs w:val="24"/>
        </w:rPr>
        <w:t>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shd w:fill="auto" w:val="clear"/>
        </w:rPr>
        <w:t>__(____) э</w:t>
      </w:r>
      <w:r>
        <w:rPr>
          <w:sz w:val="24"/>
          <w:szCs w:val="24"/>
        </w:rPr>
        <w:t>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w:t>
      </w:r>
      <w:r>
        <w:rPr>
          <w:sz w:val="24"/>
          <w:szCs w:val="24"/>
          <w:shd w:fill="auto" w:val="clear"/>
        </w:rPr>
        <w:t xml:space="preserve"> (пятнадцати)</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shd w:fill="auto" w:val="clear"/>
        </w:rPr>
        <w:t>15 (пятнадцати)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shd w:fill="auto" w:val="clear"/>
        </w:rPr>
        <w:t>____ (______) месяцев и начинает течь с даты подписания Сторонами Накладной ТОРГ-12/У</w:t>
      </w:r>
      <w:r>
        <w:rPr>
          <w:sz w:val="24"/>
          <w:szCs w:val="24"/>
        </w:rPr>
        <w:t>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2"/>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0"/>
        </w:numPr>
        <w:shd w:val="clear" w:color="auto" w:fill="FFFFFF"/>
        <w:tabs>
          <w:tab w:val="clear" w:pos="709"/>
          <w:tab w:val="left" w:pos="284" w:leader="none"/>
        </w:tabs>
        <w:ind w:hanging="0" w:left="0"/>
        <w:jc w:val="center"/>
        <w:rPr>
          <w:b/>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ind w:firstLine="709" w:left="0"/>
        <w:jc w:val="both"/>
        <w:rPr>
          <w:sz w:val="24"/>
          <w:szCs w:val="24"/>
        </w:rPr>
      </w:pPr>
      <w:r>
        <w:rPr>
          <w:sz w:val="24"/>
          <w:szCs w:val="24"/>
        </w:rPr>
        <w:t>5.5.1.</w:t>
        <w:tab/>
      </w: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ind w:firstLine="709" w:left="0"/>
        <w:jc w:val="both"/>
        <w:rPr>
          <w:sz w:val="24"/>
          <w:szCs w:val="24"/>
        </w:rPr>
      </w:pPr>
      <w:r>
        <w:rPr>
          <w:sz w:val="24"/>
          <w:szCs w:val="24"/>
        </w:rPr>
        <w:t>5.5.2.</w:t>
        <w:tab/>
      </w: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ind w:firstLine="709" w:left="0"/>
        <w:jc w:val="both"/>
        <w:rPr>
          <w:sz w:val="24"/>
          <w:szCs w:val="24"/>
        </w:rPr>
      </w:pPr>
      <w:r>
        <w:rPr>
          <w:rFonts w:eastAsia="Calibri"/>
          <w:bCs/>
          <w:sz w:val="24"/>
          <w:szCs w:val="24"/>
        </w:rPr>
        <w:t>5.6.</w:t>
        <w:tab/>
      </w: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ind w:firstLine="709" w:left="0"/>
        <w:jc w:val="both"/>
        <w:rPr>
          <w:sz w:val="24"/>
          <w:szCs w:val="24"/>
        </w:rPr>
      </w:pPr>
      <w:r>
        <w:rPr>
          <w:bCs/>
          <w:sz w:val="24"/>
          <w:szCs w:val="24"/>
        </w:rPr>
        <w:t>5.</w:t>
      </w:r>
      <w:r>
        <w:rPr>
          <w:bCs/>
          <w:sz w:val="24"/>
          <w:szCs w:val="24"/>
        </w:rPr>
        <w:t>7</w:t>
      </w:r>
      <w:r>
        <w:rPr>
          <w:bCs/>
          <w:sz w:val="24"/>
          <w:szCs w:val="24"/>
        </w:rPr>
        <w:t>.</w:t>
        <w:tab/>
      </w: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shd w:val="clear" w:color="auto" w:fill="FFFFFF"/>
        <w:ind w:firstLine="709" w:left="0"/>
        <w:jc w:val="both"/>
        <w:rPr>
          <w:bCs/>
          <w:sz w:val="24"/>
          <w:szCs w:val="24"/>
        </w:rPr>
      </w:pPr>
      <w:r>
        <w:rPr>
          <w:bCs/>
          <w:sz w:val="24"/>
          <w:szCs w:val="24"/>
        </w:rPr>
        <w:t>5.</w:t>
      </w:r>
      <w:r>
        <w:rPr>
          <w:bCs/>
          <w:sz w:val="24"/>
          <w:szCs w:val="24"/>
        </w:rPr>
        <w:t>8</w:t>
      </w:r>
      <w:r>
        <w:rPr>
          <w:bCs/>
          <w:sz w:val="24"/>
          <w:szCs w:val="24"/>
        </w:rPr>
        <w:t>.</w:t>
        <w:tab/>
      </w: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shd w:val="clear" w:color="auto" w:fill="FFFFFF"/>
        <w:ind w:firstLine="709" w:left="0"/>
        <w:jc w:val="both"/>
        <w:rPr>
          <w:bCs/>
          <w:sz w:val="24"/>
          <w:szCs w:val="24"/>
        </w:rPr>
      </w:pPr>
      <w:r>
        <w:rPr>
          <w:bCs/>
          <w:sz w:val="24"/>
          <w:szCs w:val="24"/>
        </w:rPr>
        <w:t>5.</w:t>
      </w:r>
      <w:r>
        <w:rPr>
          <w:bCs/>
          <w:sz w:val="24"/>
          <w:szCs w:val="24"/>
        </w:rPr>
        <w:t>9</w:t>
      </w:r>
      <w:r>
        <w:rPr>
          <w:bCs/>
          <w:sz w:val="24"/>
          <w:szCs w:val="24"/>
        </w:rPr>
        <w:t>.</w:t>
        <w:tab/>
      </w:r>
      <w:r>
        <w:rPr>
          <w:bCs/>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widowControl/>
        <w:shd w:val="clear" w:color="auto" w:fill="FFFFFF"/>
        <w:ind w:firstLine="709" w:left="0"/>
        <w:jc w:val="both"/>
        <w:rPr>
          <w:bCs/>
          <w:sz w:val="24"/>
          <w:szCs w:val="24"/>
        </w:rPr>
      </w:pPr>
      <w:r>
        <w:rPr>
          <w:bCs/>
          <w:sz w:val="24"/>
          <w:szCs w:val="24"/>
        </w:rPr>
        <w:t>5.1</w:t>
      </w:r>
      <w:r>
        <w:rPr>
          <w:bCs/>
          <w:sz w:val="24"/>
          <w:szCs w:val="24"/>
        </w:rPr>
        <w:t>0</w:t>
      </w:r>
      <w:r>
        <w:rPr>
          <w:bCs/>
          <w:sz w:val="24"/>
          <w:szCs w:val="24"/>
        </w:rPr>
        <w:t>.</w:t>
        <w:tab/>
      </w: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shd w:val="clear" w:color="auto" w:fill="FFFFFF"/>
        <w:ind w:firstLine="709" w:left="0"/>
        <w:jc w:val="both"/>
        <w:rPr>
          <w:bCs/>
          <w:sz w:val="24"/>
          <w:szCs w:val="24"/>
        </w:rPr>
      </w:pPr>
      <w:r>
        <w:rPr>
          <w:bCs/>
          <w:sz w:val="24"/>
          <w:szCs w:val="24"/>
        </w:rPr>
        <w:t>5.1</w:t>
      </w:r>
      <w:r>
        <w:rPr>
          <w:bCs/>
          <w:sz w:val="24"/>
          <w:szCs w:val="24"/>
        </w:rPr>
        <w:t>1</w:t>
      </w:r>
      <w:r>
        <w:rPr>
          <w:bCs/>
          <w:sz w:val="24"/>
          <w:szCs w:val="24"/>
        </w:rPr>
        <w:t>.</w:t>
        <w:tab/>
      </w: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shd w:val="clear" w:color="auto" w:fill="FFFFFF"/>
        <w:ind w:firstLine="709" w:left="0"/>
        <w:jc w:val="both"/>
        <w:rPr>
          <w:bCs/>
          <w:sz w:val="24"/>
          <w:szCs w:val="24"/>
        </w:rPr>
      </w:pPr>
      <w:r>
        <w:rPr>
          <w:bCs/>
          <w:sz w:val="24"/>
          <w:szCs w:val="24"/>
        </w:rPr>
        <w:t>5.1</w:t>
      </w:r>
      <w:r>
        <w:rPr>
          <w:bCs/>
          <w:sz w:val="24"/>
          <w:szCs w:val="24"/>
        </w:rPr>
        <w:t>2</w:t>
      </w:r>
      <w:r>
        <w:rPr>
          <w:bCs/>
          <w:sz w:val="24"/>
          <w:szCs w:val="24"/>
        </w:rPr>
        <w:t>.</w:t>
        <w:tab/>
      </w: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shd w:val="clear" w:color="auto" w:fill="FFFFFF"/>
        <w:ind w:firstLine="709" w:left="0"/>
        <w:jc w:val="both"/>
        <w:rPr>
          <w:bCs/>
          <w:sz w:val="24"/>
          <w:szCs w:val="24"/>
        </w:rPr>
      </w:pPr>
      <w:r>
        <w:rPr>
          <w:bCs/>
          <w:sz w:val="24"/>
          <w:szCs w:val="24"/>
        </w:rPr>
        <w:t>5.13.</w:t>
        <w:tab/>
      </w: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3"/>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shd w:fill="auto" w:val="clear"/>
        </w:rPr>
        <w:t xml:space="preserve">Амурской области </w:t>
      </w:r>
      <w:r>
        <w:rPr>
          <w:bCs/>
          <w:sz w:val="24"/>
          <w:szCs w:val="24"/>
        </w:rPr>
        <w:t xml:space="preserve">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shd w:fill="auto" w:val="clear"/>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shd w:fill="auto" w:val="clear"/>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shd w:fill="auto" w:val="clear"/>
        </w:rPr>
        <w:t xml:space="preserve">В соответствии с пунктом 2 статьи 425 ГК РФ, условия Договора применяются к отношениям Сторон, возникшим </w:t>
        <w:br/>
        <w:t>с __________.</w:t>
      </w:r>
    </w:p>
    <w:p>
      <w:pPr>
        <w:pStyle w:val="Normal"/>
        <w:widowControl/>
        <w:numPr>
          <w:ilvl w:val="1"/>
          <w:numId w:val="2"/>
        </w:numPr>
        <w:tabs>
          <w:tab w:val="clear" w:pos="709"/>
          <w:tab w:val="left" w:pos="142" w:leader="none"/>
          <w:tab w:val="left" w:pos="1418" w:leader="none"/>
        </w:tabs>
        <w:snapToGrid w:val="false"/>
        <w:ind w:firstLine="709" w:left="0"/>
        <w:jc w:val="both"/>
        <w:rPr>
          <w:highlight w:val="none"/>
          <w:shd w:fill="auto" w:val="clear"/>
        </w:rPr>
      </w:pPr>
      <w:r>
        <w:rPr>
          <w:sz w:val="24"/>
          <w:szCs w:val="24"/>
          <w:shd w:fill="auto" w:val="clear"/>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highlight w:val="none"/>
          <w:shd w:fill="auto" w:val="clear"/>
        </w:rPr>
      </w:pPr>
      <w:r>
        <w:rPr>
          <w:sz w:val="24"/>
          <w:szCs w:val="24"/>
          <w:shd w:fill="auto"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shd w:fill="auto" w:val="clear"/>
          <w:lang w:eastAsia="en-US"/>
        </w:rPr>
        <w:footnoteReference w:id="4"/>
      </w:r>
      <w:r>
        <w:rPr>
          <w:sz w:val="24"/>
          <w:szCs w:val="24"/>
          <w:shd w:fill="auto" w:val="clear"/>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auto" w:val="clear"/>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shd w:fill="auto" w:val="clear"/>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shd w:fill="auto" w:val="clear"/>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shd w:fill="auto" w:val="clear"/>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5"/>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6"/>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bookmarkEnd w:id="10"/>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r>
      <w:bookmarkStart w:id="11" w:name="sub_1"/>
      <w:bookmarkStart w:id="12" w:name="sub_1"/>
      <w:bookmarkEnd w:id="12"/>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5"/>
        <w:gridCol w:w="153"/>
        <w:gridCol w:w="4633"/>
        <w:gridCol w:w="329"/>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b/>
                <w:sz w:val="24"/>
                <w:szCs w:val="24"/>
                <w:shd w:fill="auto" w:val="clear"/>
              </w:rPr>
              <w:t>Публичное акционерное общество</w:t>
            </w:r>
          </w:p>
          <w:p>
            <w:pPr>
              <w:pStyle w:val="Normal"/>
              <w:widowControl w:val="false"/>
              <w:rPr>
                <w:highlight w:val="none"/>
                <w:shd w:fill="auto" w:val="clear"/>
              </w:rPr>
            </w:pPr>
            <w:r>
              <w:rPr>
                <w:b/>
                <w:sz w:val="24"/>
                <w:szCs w:val="24"/>
                <w:shd w:fill="auto" w:val="clear"/>
              </w:rPr>
              <w:t>«Федеральная гидрогенерирующая компания - РусГидро» (ПАО «РусГидро»)</w:t>
            </w:r>
          </w:p>
          <w:p>
            <w:pPr>
              <w:pStyle w:val="Normal"/>
              <w:widowControl w:val="false"/>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sz w:val="24"/>
                <w:szCs w:val="24"/>
                <w:shd w:fill="auto" w:val="clear"/>
              </w:rPr>
              <w:t>Юридический/Почтовый адрес: 660049, Красноярский край, г.о. город Красноярск,</w:t>
            </w:r>
          </w:p>
          <w:p>
            <w:pPr>
              <w:pStyle w:val="Normal"/>
              <w:widowControl w:val="false"/>
              <w:spacing w:lineRule="auto" w:line="240"/>
              <w:ind w:hanging="0"/>
              <w:jc w:val="left"/>
              <w:rPr>
                <w:highlight w:val="none"/>
                <w:shd w:fill="auto" w:val="clear"/>
              </w:rPr>
            </w:pPr>
            <w:r>
              <w:rPr>
                <w:sz w:val="24"/>
                <w:szCs w:val="24"/>
                <w:shd w:fill="auto" w:val="clear"/>
              </w:rPr>
              <w:t xml:space="preserve">г. Красноярск, ул. Перенсона, зд.2, помещ.1 </w:t>
            </w:r>
          </w:p>
          <w:p>
            <w:pPr>
              <w:pStyle w:val="Normal"/>
              <w:widowControl w:val="false"/>
              <w:rPr>
                <w:highlight w:val="none"/>
                <w:shd w:fill="auto" w:val="clear"/>
              </w:rPr>
            </w:pPr>
            <w:r>
              <w:rPr>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 xml:space="preserve">ОГРН 1042401810494, </w:t>
            </w:r>
          </w:p>
          <w:p>
            <w:pPr>
              <w:pStyle w:val="Normal"/>
              <w:widowControl w:val="false"/>
              <w:rPr>
                <w:highlight w:val="none"/>
                <w:shd w:fill="auto" w:val="clear"/>
              </w:rPr>
            </w:pPr>
            <w:r>
              <w:rPr>
                <w:sz w:val="24"/>
                <w:szCs w:val="24"/>
                <w:shd w:fill="auto" w:val="clear"/>
              </w:rPr>
              <w:t>ИНН 2460066195 / КПП 997650001</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расчетного счета)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банка, в котором</w:t>
            </w:r>
          </w:p>
          <w:p>
            <w:pPr>
              <w:pStyle w:val="Normal"/>
              <w:widowControl w:val="false"/>
              <w:rPr>
                <w:highlight w:val="none"/>
                <w:shd w:fill="auto" w:val="clear"/>
              </w:rPr>
            </w:pPr>
            <w:r>
              <w:rPr>
                <w:sz w:val="24"/>
                <w:szCs w:val="24"/>
                <w:shd w:fill="auto" w:val="clear"/>
              </w:rPr>
              <w:t>открыт расчетный счет)</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корреспондентского счета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(БИК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телефона)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факса)</w:t>
            </w:r>
          </w:p>
          <w:p>
            <w:pPr>
              <w:pStyle w:val="Normal"/>
              <w:widowControl w:val="false"/>
              <w:rPr>
                <w:sz w:val="24"/>
                <w:szCs w:val="24"/>
                <w:highlight w:val="none"/>
                <w:shd w:fill="auto" w:val="clear"/>
              </w:rPr>
            </w:pPr>
            <w:r>
              <w:rPr>
                <w:sz w:val="24"/>
                <w:szCs w:val="24"/>
                <w:shd w:fill="auto" w:val="clear"/>
              </w:rPr>
            </w:r>
          </w:p>
        </w:tc>
        <w:tc>
          <w:tcPr>
            <w:tcW w:w="4962" w:type="dxa"/>
            <w:gridSpan w:val="2"/>
            <w:tcBorders/>
            <w:shd w:color="auto" w:fill="BFBFBF" w:val="clear"/>
          </w:tcPr>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юридического лица)</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Юридический адрес:</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Почтовый адрес:</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ОГРН ___________________________</w:t>
            </w:r>
          </w:p>
          <w:p>
            <w:pPr>
              <w:pStyle w:val="Normal"/>
              <w:widowControl w:val="false"/>
              <w:rPr>
                <w:highlight w:val="none"/>
                <w:shd w:fill="auto" w:val="clear"/>
              </w:rPr>
            </w:pPr>
            <w:r>
              <w:rPr>
                <w:sz w:val="24"/>
                <w:szCs w:val="24"/>
                <w:shd w:fill="auto" w:val="clear"/>
              </w:rPr>
              <w:t>ИНН ____________ / КПП___________</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расчетного счета)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банка, в котором</w:t>
            </w:r>
          </w:p>
          <w:p>
            <w:pPr>
              <w:pStyle w:val="Normal"/>
              <w:widowControl w:val="false"/>
              <w:rPr>
                <w:highlight w:val="none"/>
                <w:shd w:fill="auto" w:val="clear"/>
              </w:rPr>
            </w:pPr>
            <w:r>
              <w:rPr>
                <w:sz w:val="24"/>
                <w:szCs w:val="24"/>
                <w:shd w:fill="auto" w:val="clear"/>
              </w:rPr>
              <w:t>открыт расчетный счет)</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корреспондентского счета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(БИК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телефона)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факса)</w:t>
            </w:r>
          </w:p>
          <w:p>
            <w:pPr>
              <w:pStyle w:val="Normal"/>
              <w:widowControl w:val="false"/>
              <w:rPr>
                <w:sz w:val="24"/>
                <w:szCs w:val="24"/>
                <w:highlight w:val="none"/>
                <w:shd w:fill="auto" w:val="clear"/>
              </w:rPr>
            </w:pPr>
            <w:r>
              <w:rPr>
                <w:sz w:val="24"/>
                <w:szCs w:val="24"/>
                <w:shd w:fill="auto" w:val="clear"/>
              </w:rPr>
            </w:r>
          </w:p>
        </w:tc>
      </w:tr>
      <w:tr>
        <w:trPr/>
        <w:tc>
          <w:tcPr>
            <w:tcW w:w="4775" w:type="dxa"/>
            <w:tcBorders/>
          </w:tcPr>
          <w:p>
            <w:pPr>
              <w:pStyle w:val="Normal"/>
              <w:widowControl w:val="false"/>
              <w:rPr>
                <w:highlight w:val="none"/>
                <w:shd w:fill="auto" w:val="clear"/>
              </w:rPr>
            </w:pPr>
            <w:r>
              <w:rPr>
                <w:sz w:val="24"/>
                <w:szCs w:val="24"/>
                <w:shd w:fill="auto" w:val="clear"/>
              </w:rPr>
              <w:t xml:space="preserve">_______________ / _______________ </w:t>
            </w:r>
          </w:p>
          <w:p>
            <w:pPr>
              <w:pStyle w:val="Normal"/>
              <w:widowControl w:val="false"/>
              <w:rPr>
                <w:sz w:val="24"/>
                <w:szCs w:val="24"/>
                <w:highlight w:val="none"/>
                <w:shd w:fill="auto" w:val="clear"/>
              </w:rPr>
            </w:pPr>
            <w:r>
              <w:rPr>
                <w:sz w:val="24"/>
                <w:szCs w:val="24"/>
                <w:shd w:fill="auto" w:val="clear"/>
              </w:rPr>
            </w:r>
          </w:p>
        </w:tc>
        <w:tc>
          <w:tcPr>
            <w:tcW w:w="4786" w:type="dxa"/>
            <w:gridSpan w:val="2"/>
            <w:tcBorders/>
          </w:tcPr>
          <w:p>
            <w:pPr>
              <w:pStyle w:val="Normal"/>
              <w:widowControl w:val="false"/>
              <w:rPr>
                <w:highlight w:val="none"/>
                <w:shd w:fill="auto" w:val="clear"/>
              </w:rPr>
            </w:pPr>
            <w:r>
              <w:rPr>
                <w:sz w:val="24"/>
                <w:szCs w:val="24"/>
                <w:shd w:fill="auto" w:val="clear"/>
              </w:rPr>
              <w:t xml:space="preserve">_______________ / _______________ </w:t>
            </w:r>
          </w:p>
        </w:tc>
        <w:tc>
          <w:tcPr>
            <w:tcW w:w="329" w:type="dxa"/>
            <w:tcBorders/>
          </w:tcPr>
          <w:p>
            <w:pPr>
              <w:pStyle w:val="Normal"/>
              <w:widowControl w:val="false"/>
              <w:rPr>
                <w:highlight w:val="none"/>
                <w:shd w:fill="auto" w:val="clear"/>
              </w:rPr>
            </w:pPr>
            <w:r>
              <w:rPr>
                <w:shd w:fill="auto" w:val="clea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5"/>
        <w:gridCol w:w="158"/>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7"/>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highlight w:val="none"/>
                <w:shd w:fill="auto" w:val="clear"/>
              </w:rPr>
            </w:pPr>
            <w:r>
              <w:rPr>
                <w:bCs/>
                <w:shd w:fill="auto" w:val="clear"/>
              </w:rPr>
              <w:t>Порядковый номер(а) реестровой(ых) записи(ей)</w:t>
            </w:r>
            <w:r>
              <w:rPr>
                <w:rStyle w:val="FootnoteReference"/>
                <w:bCs/>
                <w:shd w:fill="auto" w:val="clear"/>
              </w:rPr>
              <w:footnoteReference w:id="8"/>
            </w:r>
          </w:p>
          <w:p>
            <w:pPr>
              <w:pStyle w:val="Normal"/>
              <w:widowControl w:val="false"/>
              <w:jc w:val="center"/>
              <w:rPr>
                <w:bCs/>
                <w:highlight w:val="none"/>
                <w:shd w:fill="auto" w:val="clear"/>
              </w:rPr>
            </w:pPr>
            <w:r>
              <w:rPr>
                <w:bCs/>
                <w:shd w:fill="auto" w:val="clear"/>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0"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t>Итого стоимость всего Товара (с учетом доставки), руб. с НДС*:</w:t>
            </w:r>
          </w:p>
        </w:tc>
        <w:tc>
          <w:tcPr>
            <w:tcW w:w="3267"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highlight w:val="none"/>
          <w:shd w:fill="auto" w:val="clear"/>
        </w:rPr>
      </w:pPr>
      <w:r>
        <w:rPr>
          <w:i/>
          <w:sz w:val="22"/>
          <w:szCs w:val="22"/>
          <w:shd w:fill="auto"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highlight w:val="none"/>
          <w:shd w:fill="auto" w:val="clear"/>
        </w:rPr>
      </w:pPr>
      <w:r>
        <w:rPr>
          <w:i/>
          <w:sz w:val="22"/>
          <w:szCs w:val="22"/>
          <w:shd w:fill="auto" w:val="clear"/>
        </w:rPr>
        <w:t xml:space="preserve">2. По требованию Покупателя Поставщик обязан представить запрашиваемую информацию / документы, расчеты, обосновывающие стоимость доставки. </w:t>
      </w:r>
    </w:p>
    <w:p>
      <w:pPr>
        <w:pStyle w:val="Normal"/>
        <w:rPr>
          <w:i/>
          <w:i/>
          <w:sz w:val="22"/>
          <w:szCs w:val="22"/>
          <w:highlight w:val="none"/>
          <w:shd w:fill="auto" w:val="clear"/>
        </w:rPr>
      </w:pPr>
      <w:r>
        <w:rPr>
          <w:i/>
          <w:sz w:val="22"/>
          <w:szCs w:val="22"/>
          <w:shd w:fill="auto" w:val="clear"/>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19</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3">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4">
    <w:p>
      <w:pPr>
        <w:pStyle w:val="FootnoteText"/>
        <w:jc w:val="both"/>
        <w:rPr/>
      </w:pPr>
      <w:r>
        <w:rPr>
          <w:rStyle w:val="Style14"/>
        </w:rPr>
        <w:footnoteRef/>
      </w:r>
      <w:r>
        <w:rPr/>
        <w:t xml:space="preserve"> </w:t>
      </w:r>
      <w:r>
        <w:rPr>
          <w:shd w:fill="auto" w:val="clear"/>
        </w:rPr>
        <w:t>Применяется в случае наличия между Сторонами заключенного соглашения о переходе на электронный</w:t>
      </w:r>
      <w:r>
        <w:rPr>
          <w:highlight w:val="lightGray"/>
        </w:rPr>
        <w:t xml:space="preserve"> </w:t>
      </w:r>
      <w:r>
        <w:rPr>
          <w:shd w:fill="auto" w:val="clear"/>
        </w:rPr>
        <w:t>юридически значимый документооборот (Соглашения об ЭДО).</w:t>
      </w:r>
    </w:p>
  </w:footnote>
  <w:footnote w:id="5">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6">
    <w:p>
      <w:pPr>
        <w:pStyle w:val="FootnoteText"/>
        <w:jc w:val="both"/>
        <w:rPr/>
      </w:pPr>
      <w:r>
        <w:rPr>
          <w:rStyle w:val="Style14"/>
        </w:rPr>
        <w:footnoteRef/>
      </w:r>
      <w:r>
        <w:rPr/>
        <w:t xml:space="preserve"> </w:t>
      </w:r>
      <w:r>
        <w:rPr>
          <w:shd w:fill="auto" w:val="clear"/>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8">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3" w:name="_GoBack_Копия_1_Копия_1_Копия_1_Копия_1_"/>
      <w:bookmarkEnd w:id="13"/>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482</TotalTime>
  <Application>AlterOffice/2026.2.0.0$Linux_X86_64 LibreOffice_project/bc4ef1adf80b36c7a6365f8ed6cbf29021361edd</Application>
  <AppVersion>15.0000</AppVersion>
  <Pages>19</Pages>
  <Words>7155</Words>
  <Characters>51714</Characters>
  <CharactersWithSpaces>58668</CharactersWithSpaces>
  <Paragraphs>315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gluschenkosg@corp.gidroogk.com</cp:lastModifiedBy>
  <cp:lastPrinted>2018-05-22T09:46:00Z</cp:lastPrinted>
  <dcterms:modified xsi:type="dcterms:W3CDTF">2026-10-13T11:09:36Z</dcterms:modified>
  <cp:revision>58</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