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ОКПД2 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13.94.12 </w:t>
      </w:r>
      <w:r>
        <w:rPr>
          <w:rFonts w:eastAsia="Calibri"/>
          <w:b/>
          <w:bCs/>
          <w:sz w:val="28"/>
          <w:szCs w:val="28"/>
        </w:rPr>
        <w:t>Поставка 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сетей защитных заградительных и шнуров от воздействия беспилотных летательных аппаратов </w:t>
      </w:r>
      <w:r>
        <w:rPr>
          <w:rFonts w:eastAsia="Calibri"/>
          <w:b/>
          <w:sz w:val="28"/>
          <w:szCs w:val="28"/>
        </w:rPr>
        <w:t>для нужд филиала ПАО «РусГидро»-«Зейская ГЭС»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</w:rPr>
          </w:pPr>
          <w:r>
            <w:fldChar w:fldCharType="begin"/>
          </w:r>
          <w:r>
            <w:rPr>
              <w:webHidden/>
              <w:rStyle w:val="Style11"/>
              <w:sz w:val="20"/>
              <w:szCs w:val="20"/>
              <w:vanish w:val="false"/>
              <w:color w:val="auto"/>
            </w:rPr>
            <w:instrText xml:space="preserve"> TOC \z \o "1-4" \u \h</w:instrText>
          </w:r>
          <w:r>
            <w:rPr>
              <w:webHidden/>
              <w:rStyle w:val="Style11"/>
              <w:sz w:val="20"/>
              <w:szCs w:val="20"/>
              <w:vanish w:val="false"/>
              <w:color w:val="auto"/>
            </w:rPr>
            <w:fldChar w:fldCharType="separate"/>
          </w:r>
          <w:hyperlink w:anchor="_Toc75446566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 xml:space="preserve">1.Общие сведения                            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67">
            <w:r>
              <w:rPr>
                <w:webHidden/>
                <w:rStyle w:val="Style11"/>
                <w:vanish w:val="false"/>
                <w:color w:val="auto"/>
              </w:rPr>
              <w:t>1.1.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 xml:space="preserve">Обозначения и сокращения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68">
            <w:r>
              <w:rPr>
                <w:webHidden/>
                <w:rStyle w:val="Style11"/>
                <w:vanish w:val="false"/>
                <w:color w:val="auto"/>
              </w:rPr>
              <w:t>1.2.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 xml:space="preserve">Наименование закупаемой продукции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69">
            <w:r>
              <w:rPr>
                <w:webHidden/>
                <w:rStyle w:val="Style11"/>
                <w:vanish w:val="false"/>
                <w:color w:val="auto"/>
              </w:rPr>
              <w:t>1.3.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 xml:space="preserve">Цель использования закупаемой продукции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r>
            <w:rPr>
              <w:rFonts w:eastAsia="" w:cs="" w:cstheme="minorBidi" w:eastAsiaTheme="minorEastAsia" w:ascii="Calibri" w:hAnsi="Calibri"/>
            </w:rPr>
          </w:r>
        </w:p>
        <w:p>
          <w:pPr>
            <w:pStyle w:val="TOC1"/>
            <w:rPr/>
          </w:pPr>
          <w:hyperlink w:anchor="_Toc75446573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2.</w:t>
            </w:r>
            <w:r>
              <w:rPr>
                <w:rStyle w:val="Style11"/>
                <w:iCs/>
                <w:color w:val="auto"/>
                <w:sz w:val="20"/>
                <w:szCs w:val="20"/>
              </w:rPr>
              <w:t>Требования к продукции</w:t>
            </w:r>
          </w:hyperlink>
          <w:r>
            <w:rPr>
              <w:iCs/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                                               </w:t>
          </w:r>
          <w:r>
            <w:rPr/>
            <w:t>4</w:t>
          </w:r>
        </w:p>
        <w:p>
          <w:pPr>
            <w:pStyle w:val="Normal"/>
            <w:ind w:firstLine="567"/>
            <w:rPr>
              <w:sz w:val="20"/>
              <w:szCs w:val="20"/>
            </w:rPr>
          </w:pPr>
          <w:r>
            <w:rPr>
              <w:sz w:val="20"/>
              <w:szCs w:val="20"/>
            </w:rPr>
            <w:t>2.1. Требования к объемам и срокам поставки………………………………………………………….…4</w:t>
          </w:r>
        </w:p>
        <w:p>
          <w:pPr>
            <w:pStyle w:val="TOC1"/>
            <w:rPr/>
          </w:pPr>
          <w:r>
            <w:rPr/>
            <w:t xml:space="preserve">  </w:t>
          </w:r>
          <w:hyperlink w:anchor="_Toc75446575">
            <w:r>
              <w:rPr>
                <w:webHidden/>
                <w:rStyle w:val="Style11"/>
                <w:b w:val="false"/>
                <w:vanish w:val="false"/>
                <w:color w:val="auto"/>
                <w:sz w:val="20"/>
                <w:szCs w:val="20"/>
              </w:rPr>
              <w:t>2.1.1.Перечень и объем закупаемой продукции</w:t>
            </w:r>
          </w:hyperlink>
          <w:r>
            <w:rPr>
              <w:b w:val="false"/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             </w:t>
          </w:r>
          <w:hyperlink w:anchor="_Toc7544657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1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75446577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Таблица 1. Перечень и объем закупаемой продукции</w:t>
            </w:r>
          </w:hyperlink>
          <w:r>
            <w:rPr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</w:t>
          </w:r>
          <w:r>
            <w:rPr/>
            <w:t>4</w:t>
          </w:r>
        </w:p>
        <w:p>
          <w:pPr>
            <w:pStyle w:val="Normal"/>
            <w:ind w:firstLine="426"/>
            <w:rPr>
              <w:rFonts w:cs="Calibri Light (Заголовки)"/>
              <w:bCs/>
              <w:color w:val="auto"/>
              <w:sz w:val="20"/>
              <w:szCs w:val="20"/>
              <w:u w:val="none"/>
            </w:rPr>
          </w:pPr>
          <w:r>
            <w:rPr>
              <w:rFonts w:eastAsia="" w:eastAsiaTheme="minorEastAsia"/>
              <w:sz w:val="20"/>
              <w:szCs w:val="20"/>
            </w:rPr>
            <w:t xml:space="preserve">  </w:t>
          </w:r>
          <w:r>
            <w:rPr>
              <w:rFonts w:eastAsia="" w:eastAsiaTheme="minorEastAsia"/>
              <w:sz w:val="20"/>
              <w:szCs w:val="20"/>
            </w:rPr>
            <w:t>2</w:t>
          </w:r>
          <w:r>
            <w:rPr>
              <w:rFonts w:cs="Calibri Light (Заголовки)"/>
              <w:bCs/>
              <w:color w:val="auto"/>
              <w:sz w:val="20"/>
              <w:szCs w:val="20"/>
              <w:u w:val="none"/>
            </w:rPr>
            <w:t>.1.2.Требования по срокам поставки продукции…………………………………………….……………4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81">
            <w:r>
              <w:rPr>
                <w:webHidden/>
                <w:rStyle w:val="Style11"/>
                <w:vanish w:val="false"/>
                <w:color w:val="auto"/>
              </w:rPr>
              <w:t>2.2.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>Требования к качеству продукции</w:t>
            </w:r>
          </w:hyperlink>
          <w:r>
            <w:rPr>
              <w:vanish w:val="false"/>
              <w:color w:val="auto"/>
            </w:rPr>
            <w:t xml:space="preserve">                                                                                                      </w:t>
          </w:r>
          <w:r>
            <w:rPr/>
            <w:t>4</w:t>
          </w:r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82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Таблица 2. Требования к продукции</w:t>
            </w:r>
          </w:hyperlink>
          <w:r>
            <w:rPr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                              </w:t>
          </w:r>
          <w:r>
            <w:rPr/>
            <w:t>4</w:t>
          </w:r>
        </w:p>
        <w:p>
          <w:pPr>
            <w:pStyle w:val="TOC1"/>
            <w:rPr/>
          </w:pPr>
          <w:hyperlink w:anchor="_Toc75446583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3.Требования к документации по ценообразованию на этапе закупки</w:t>
            </w:r>
          </w:hyperlink>
          <w:r>
            <w:rPr>
              <w:vanish w:val="false"/>
              <w:color w:val="auto"/>
              <w:sz w:val="20"/>
              <w:szCs w:val="20"/>
            </w:rPr>
            <w:t xml:space="preserve">                                                 </w:t>
          </w:r>
          <w:r>
            <w:rPr/>
            <w:t>5</w:t>
          </w:r>
        </w:p>
        <w:p>
          <w:pPr>
            <w:pStyle w:val="Normal"/>
            <w:rPr/>
          </w:pPr>
          <w:r>
            <w:rPr/>
          </w:r>
        </w:p>
        <w:p>
          <w:pPr>
            <w:pStyle w:val="Normal"/>
            <w:rPr>
              <w:rFonts w:eastAsia="" w:eastAsiaTheme="minorEastAsia"/>
              <w:b/>
              <w:sz w:val="20"/>
              <w:szCs w:val="20"/>
            </w:rPr>
          </w:pPr>
          <w:r>
            <w:rPr>
              <w:rFonts w:eastAsia="" w:eastAsiaTheme="minorEastAsia"/>
            </w:rPr>
            <w:t xml:space="preserve">       </w:t>
          </w:r>
          <w:r>
            <w:rPr>
              <w:rFonts w:eastAsia="" w:eastAsiaTheme="minorEastAsia"/>
              <w:b/>
              <w:sz w:val="20"/>
              <w:szCs w:val="20"/>
            </w:rPr>
            <w:t>Приложение №1 к Техническим требованиям……………………………………………..……………..6</w:t>
          </w:r>
          <w:r>
            <w:rPr>
              <w:sz w:val="20"/>
              <w:b/>
              <w:szCs w:val="20"/>
              <w:rFonts w:eastAsia=""/>
            </w:rPr>
            <w:fldChar w:fldCharType="end"/>
          </w:r>
        </w:p>
      </w:sdtContent>
    </w:sdt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keepLines/>
        <w:numPr>
          <w:ilvl w:val="0"/>
          <w:numId w:val="2"/>
        </w:numPr>
        <w:tabs>
          <w:tab w:val="clear" w:pos="708"/>
          <w:tab w:val="left" w:pos="284" w:leader="none"/>
        </w:tabs>
        <w:ind w:hanging="0" w:left="0"/>
        <w:jc w:val="center"/>
        <w:rPr>
          <w:caps/>
          <w:lang w:val="ru-RU"/>
        </w:rPr>
      </w:pPr>
      <w:r>
        <w:rPr>
          <w:lang w:val="ru-RU"/>
        </w:rPr>
        <w:t>Общие сведения</w:t>
      </w:r>
    </w:p>
    <w:p>
      <w:pPr>
        <w:pStyle w:val="Heading4"/>
        <w:numPr>
          <w:ilvl w:val="1"/>
          <w:numId w:val="2"/>
        </w:numPr>
        <w:rPr/>
      </w:pPr>
      <w:r>
        <w:rPr/>
        <w:t>Обозначения и сокращения</w:t>
      </w:r>
    </w:p>
    <w:p>
      <w:pPr>
        <w:pStyle w:val="Normal"/>
        <w:spacing w:before="120" w:after="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spacing w:before="120" w:after="60"/>
        <w:contextualSpacing/>
        <w:rPr>
          <w:sz w:val="24"/>
          <w:szCs w:val="24"/>
        </w:rPr>
      </w:pPr>
      <w:r>
        <w:rPr>
          <w:sz w:val="24"/>
          <w:szCs w:val="24"/>
        </w:rPr>
        <w:t>Филиал – филиал ПАО «РусГидро» - «Зейская ГЭС»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2"/>
        </w:numPr>
        <w:ind w:hanging="431" w:left="431"/>
        <w:rPr/>
      </w:pPr>
      <w:r>
        <w:rPr/>
        <w:t>Наименование закупаемой продукции</w:t>
      </w:r>
    </w:p>
    <w:p>
      <w:pPr>
        <w:pStyle w:val="Normal"/>
        <w:widowControl/>
        <w:suppressAutoHyphens w:val="true"/>
        <w:bidi w:val="0"/>
        <w:spacing w:before="0" w:after="0"/>
        <w:ind w:firstLine="454" w:left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Поставка 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сетей защитных заградительных и шнуров от воздействия  беспилотных летательных аппаратов</w:t>
      </w:r>
    </w:p>
    <w:p>
      <w:pPr>
        <w:pStyle w:val="Heading4"/>
        <w:numPr>
          <w:ilvl w:val="1"/>
          <w:numId w:val="2"/>
        </w:numPr>
        <w:ind w:hanging="431" w:left="431"/>
        <w:rPr/>
      </w:pPr>
      <w:r>
        <w:rPr/>
        <w:t>Цель использования закупаемой продукции</w:t>
      </w:r>
    </w:p>
    <w:p>
      <w:pPr>
        <w:pStyle w:val="Normal"/>
        <w:ind w:firstLine="431"/>
        <w:jc w:val="both"/>
        <w:rPr>
          <w:sz w:val="24"/>
          <w:szCs w:val="24"/>
        </w:rPr>
      </w:pPr>
      <w:r>
        <w:rPr>
          <w:sz w:val="24"/>
          <w:szCs w:val="24"/>
        </w:rPr>
        <w:t>Повышения безопасности объектов Филиала от возможного воздействия, причиненного беспилотными летательными аппаратами.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8"/>
          <w:tab w:val="left" w:pos="284" w:leader="none"/>
        </w:tabs>
        <w:ind w:hanging="0" w:left="0"/>
        <w:jc w:val="center"/>
        <w:rPr>
          <w:caps/>
        </w:rPr>
      </w:pPr>
      <w:r>
        <w:rPr>
          <w:lang w:val="ru-RU"/>
        </w:rPr>
        <w:t xml:space="preserve">2. </w:t>
      </w:r>
      <w:r>
        <w:rPr/>
        <w:t>Требования к продукции</w:t>
      </w:r>
    </w:p>
    <w:p>
      <w:pPr>
        <w:pStyle w:val="Normal"/>
        <w:spacing w:before="120" w:after="60"/>
        <w:ind w:hanging="567" w:left="567"/>
        <w:rPr>
          <w:b/>
          <w:sz w:val="24"/>
          <w:szCs w:val="24"/>
        </w:rPr>
      </w:pPr>
      <w:r>
        <w:rPr>
          <w:b/>
          <w:sz w:val="24"/>
          <w:szCs w:val="24"/>
        </w:rPr>
        <w:t>2.1. Требования к объемам и срокам поставки</w:t>
      </w:r>
    </w:p>
    <w:p>
      <w:pPr>
        <w:pStyle w:val="Normal"/>
        <w:spacing w:before="120" w:after="60"/>
        <w:ind w:hanging="567" w:left="851"/>
        <w:rPr>
          <w:b/>
          <w:sz w:val="24"/>
          <w:szCs w:val="24"/>
        </w:rPr>
      </w:pPr>
      <w:r>
        <w:rPr>
          <w:b/>
          <w:sz w:val="24"/>
          <w:szCs w:val="24"/>
        </w:rPr>
        <w:t>2.1.1. Перечень и объем закупаемой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«Перечень и объем закупаемой продукции»</w:t>
      </w:r>
    </w:p>
    <w:tbl>
      <w:tblPr>
        <w:tblW w:w="921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549"/>
        <w:gridCol w:w="1984"/>
        <w:gridCol w:w="1559"/>
        <w:gridCol w:w="1560"/>
      </w:tblGrid>
      <w:tr>
        <w:trPr>
          <w:trHeight w:val="5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5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5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Наименование продукции, тип, марка, единица измерения, количество в соответствии с Приложением №1 к настоящим техническим требованиям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2.1.2. «Требования по срокам поставки продукции»</w:t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sz w:val="24"/>
          <w:szCs w:val="24"/>
        </w:rPr>
      </w:pPr>
      <w:r>
        <w:rPr>
          <w:sz w:val="24"/>
          <w:szCs w:val="24"/>
        </w:rPr>
        <w:t>Начало срока поставки – с даты подписания договора</w:t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sz w:val="24"/>
          <w:szCs w:val="24"/>
        </w:rPr>
      </w:pPr>
      <w:r>
        <w:rPr>
          <w:sz w:val="24"/>
          <w:szCs w:val="24"/>
        </w:rPr>
        <w:t>Окончание срока поставки 25.12.2026</w:t>
      </w:r>
    </w:p>
    <w:p>
      <w:pPr>
        <w:pStyle w:val="Normal"/>
        <w:ind w:hanging="567" w:left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2.2. Требования к качеству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Таблица 2. «Требования к продукции»</w:t>
      </w:r>
    </w:p>
    <w:p>
      <w:pPr>
        <w:pStyle w:val="Normal"/>
        <w:spacing w:before="120" w:after="6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12"/>
        <w:tblW w:w="98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8"/>
        <w:gridCol w:w="1274"/>
        <w:gridCol w:w="1022"/>
        <w:gridCol w:w="1418"/>
        <w:gridCol w:w="1250"/>
        <w:gridCol w:w="25"/>
        <w:gridCol w:w="2242"/>
        <w:gridCol w:w="33"/>
        <w:gridCol w:w="1667"/>
        <w:gridCol w:w="33"/>
        <w:gridCol w:w="2"/>
      </w:tblGrid>
      <w:tr>
        <w:trPr/>
        <w:tc>
          <w:tcPr>
            <w:tcW w:w="8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 xml:space="preserve">№ </w:t>
            </w:r>
            <w:r>
              <w:rPr>
                <w:bCs/>
                <w:kern w:val="0"/>
                <w:sz w:val="22"/>
                <w:szCs w:val="22"/>
                <w:lang w:val="ru-RU" w:bidi="ar-SA"/>
              </w:rPr>
              <w:t>п/п</w:t>
            </w:r>
          </w:p>
        </w:tc>
        <w:tc>
          <w:tcPr>
            <w:tcW w:w="229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Наименование параметра</w:t>
            </w:r>
          </w:p>
        </w:tc>
        <w:tc>
          <w:tcPr>
            <w:tcW w:w="1418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Тип, марка</w:t>
            </w:r>
          </w:p>
        </w:tc>
        <w:tc>
          <w:tcPr>
            <w:tcW w:w="127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Требование заказчика</w:t>
            </w:r>
          </w:p>
        </w:tc>
        <w:tc>
          <w:tcPr>
            <w:tcW w:w="3977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9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 / указание характеристик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 xml:space="preserve">Предложение участника по характеристикам и параметрам </w:t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22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2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1.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627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1.1.</w:t>
            </w:r>
          </w:p>
        </w:tc>
        <w:tc>
          <w:tcPr>
            <w:tcW w:w="49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 xml:space="preserve">Наименования параметра, тип, марка в соответствии с Приложением №1 к настоящим техническим требованиям </w:t>
            </w:r>
          </w:p>
        </w:tc>
        <w:tc>
          <w:tcPr>
            <w:tcW w:w="2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указание характеристик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2.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2.1.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Место поставки</w:t>
            </w:r>
          </w:p>
        </w:tc>
        <w:tc>
          <w:tcPr>
            <w:tcW w:w="36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До склада филиала ПАО «РусГидро» - «Зейская ГЭС», находящегося по адресу: 676244, Амурская область, г. Зея, ул.Магистральная, соор.1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2.2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Условия доставки, упаковки, транспортировки</w:t>
            </w:r>
          </w:p>
        </w:tc>
        <w:tc>
          <w:tcPr>
            <w:tcW w:w="36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Товар должен отгружаться участником в таре и упаковке, обеспечивающих его полную сохранность от всякого рода повреждений и порчи с учетом возможных перегрузок, и длительного хранения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36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r>
          </w:p>
        </w:tc>
        <w:tc>
          <w:tcPr>
            <w:tcW w:w="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3.</w:t>
            </w:r>
          </w:p>
        </w:tc>
        <w:tc>
          <w:tcPr>
            <w:tcW w:w="893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106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893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 в соответствии с Приложением №1 к н</w:t>
            </w:r>
            <w:r>
              <w:rPr>
                <w:kern w:val="0"/>
                <w:sz w:val="22"/>
                <w:szCs w:val="22"/>
                <w:lang w:val="ru-RU" w:bidi="ar-SA"/>
              </w:rPr>
              <w:t>астоящим техническим требованиям. Документация предоставляется на этапе исполнения договора.</w:t>
            </w:r>
          </w:p>
        </w:tc>
        <w:tc>
          <w:tcPr>
            <w:tcW w:w="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4.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Иные условия</w:t>
            </w:r>
          </w:p>
        </w:tc>
        <w:tc>
          <w:tcPr>
            <w:tcW w:w="2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4.1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быть новым, не бывшим в употреблении, 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правами третьих лиц не обременен.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27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4.2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Качество, комплектность, количество и ассортимент поставляемого Товара должны соответствовать требованиям Заказчика, Договора.</w:t>
            </w:r>
          </w:p>
        </w:tc>
        <w:tc>
          <w:tcPr>
            <w:tcW w:w="227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4.3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отгружаться Поставщиком в таре и упаковке, обеспечивающих его полную сохранность от всякого рода повреждений и порчи с учетом возможных перегрузок и длительного хранения.</w:t>
            </w:r>
          </w:p>
        </w:tc>
        <w:tc>
          <w:tcPr>
            <w:tcW w:w="227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Normal"/>
        <w:spacing w:before="120" w:after="60"/>
        <w:jc w:val="center"/>
        <w:rPr>
          <w:b/>
        </w:rPr>
      </w:pPr>
      <w:r>
        <w:rPr>
          <w:b/>
        </w:rPr>
      </w:r>
    </w:p>
    <w:p>
      <w:pPr>
        <w:pStyle w:val="Normal"/>
        <w:spacing w:before="120" w:after="60"/>
        <w:jc w:val="center"/>
        <w:rPr>
          <w:b/>
        </w:rPr>
      </w:pPr>
      <w:r>
        <w:rPr>
          <w:b/>
        </w:rPr>
        <w:t>3. Требования к документации по ценообразованию на этапе закупки</w:t>
      </w:r>
    </w:p>
    <w:p>
      <w:pPr>
        <w:pStyle w:val="Normal"/>
        <w:numPr>
          <w:ilvl w:val="1"/>
          <w:numId w:val="4"/>
        </w:numPr>
        <w:spacing w:before="120" w:after="60"/>
        <w:ind w:hanging="567" w:left="567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нему инструкции по заполнению), приведенной в Документации о закупке.</w:t>
      </w:r>
    </w:p>
    <w:p>
      <w:pPr>
        <w:pStyle w:val="Normal"/>
        <w:numPr>
          <w:ilvl w:val="1"/>
          <w:numId w:val="4"/>
        </w:numPr>
        <w:spacing w:before="120" w:after="60"/>
        <w:ind w:hanging="567" w:left="567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Дополнительные документы по ценообразованию в состав заявки не включаются.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32835754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21f4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221f49"/>
    <w:pPr>
      <w:numPr>
        <w:ilvl w:val="0"/>
      </w:numPr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3"/>
    <w:autoRedefine/>
    <w:qFormat/>
    <w:rsid w:val="00221f49"/>
    <w:pPr>
      <w:keepNext w:val="true"/>
      <w:numPr>
        <w:ilvl w:val="2"/>
        <w:numId w:val="2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221f49"/>
    <w:pPr>
      <w:numPr>
        <w:ilvl w:val="1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rsid w:val="00221f49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221f4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7" w:customStyle="1">
    <w:name w:val="Нижний колонтитул Знак"/>
    <w:basedOn w:val="DefaultParagraphFont"/>
    <w:uiPriority w:val="99"/>
    <w:qFormat/>
    <w:rsid w:val="00221f4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" w:customStyle="1">
    <w:name w:val="Заголовок 1 Знак"/>
    <w:basedOn w:val="DefaultParagraphFont"/>
    <w:qFormat/>
    <w:rsid w:val="00221f49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221f49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221f49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6957a0"/>
    <w:rPr>
      <w:rFonts w:ascii="Segoe UI" w:hAnsi="Segoe UI" w:eastAsia="Times New Roman" w:cs="Segoe UI"/>
      <w:sz w:val="18"/>
      <w:szCs w:val="18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24196"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uiPriority w:val="99"/>
    <w:semiHidden/>
    <w:qFormat/>
    <w:rsid w:val="0002419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024196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1">
    <w:name w:val="Ссылка указателя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OC1">
    <w:name w:val="TOC 1"/>
    <w:basedOn w:val="Normal"/>
    <w:next w:val="Normal"/>
    <w:autoRedefine/>
    <w:uiPriority w:val="39"/>
    <w:rsid w:val="002f7061"/>
    <w:pPr>
      <w:tabs>
        <w:tab w:val="clear" w:pos="708"/>
        <w:tab w:val="left" w:pos="560" w:leader="none"/>
        <w:tab w:val="right" w:pos="9911" w:leader="dot"/>
      </w:tabs>
      <w:spacing w:before="120" w:after="0"/>
      <w:ind w:firstLine="426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25f48"/>
    <w:pPr>
      <w:tabs>
        <w:tab w:val="clear" w:pos="708"/>
        <w:tab w:val="left" w:pos="1120" w:leader="none"/>
        <w:tab w:val="right" w:pos="9911" w:leader="dot"/>
      </w:tabs>
      <w:ind w:hanging="0" w:left="280"/>
    </w:pPr>
    <w:rPr>
      <w:rFonts w:cs="Calibr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f25f48"/>
    <w:pPr>
      <w:tabs>
        <w:tab w:val="clear" w:pos="708"/>
        <w:tab w:val="left" w:pos="1120" w:leader="none"/>
        <w:tab w:val="right" w:pos="9911" w:leader="dot"/>
      </w:tabs>
      <w:ind w:hanging="0" w:left="560"/>
    </w:pPr>
    <w:rPr>
      <w:rFonts w:cs="Calibri" w:cstheme="minorHAnsi"/>
      <w:iCs/>
      <w:sz w:val="20"/>
      <w:szCs w:val="20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iPriority w:val="99"/>
    <w:unhideWhenUsed/>
    <w:rsid w:val="00221f4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7"/>
    <w:uiPriority w:val="99"/>
    <w:unhideWhenUsed/>
    <w:rsid w:val="00221f4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5" w:customStyle="1">
    <w:name w:val="Раздел положения"/>
    <w:basedOn w:val="Normal"/>
    <w:autoRedefine/>
    <w:qFormat/>
    <w:rsid w:val="00221f49"/>
    <w:pPr>
      <w:numPr>
        <w:ilvl w:val="0"/>
        <w:numId w:val="3"/>
      </w:numPr>
      <w:spacing w:before="80" w:after="80"/>
      <w:jc w:val="center"/>
    </w:pPr>
    <w:rPr>
      <w:b/>
      <w:sz w:val="32"/>
      <w:szCs w:val="32"/>
    </w:rPr>
  </w:style>
  <w:style w:type="paragraph" w:styleId="Style16" w:customStyle="1">
    <w:name w:val="Подраздел раздела положения"/>
    <w:basedOn w:val="Normal"/>
    <w:autoRedefine/>
    <w:qFormat/>
    <w:rsid w:val="00221f49"/>
    <w:pPr>
      <w:numPr>
        <w:ilvl w:val="1"/>
        <w:numId w:val="3"/>
      </w:numPr>
      <w:spacing w:before="80" w:after="80"/>
      <w:jc w:val="both"/>
    </w:pPr>
    <w:rPr/>
  </w:style>
  <w:style w:type="paragraph" w:styleId="Style17" w:customStyle="1">
    <w:name w:val="Таблица шапка"/>
    <w:basedOn w:val="Normal"/>
    <w:qFormat/>
    <w:rsid w:val="001d4fb3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6957a0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9"/>
    <w:uiPriority w:val="99"/>
    <w:semiHidden/>
    <w:unhideWhenUsed/>
    <w:qFormat/>
    <w:rsid w:val="00024196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uiPriority w:val="99"/>
    <w:semiHidden/>
    <w:unhideWhenUsed/>
    <w:qFormat/>
    <w:rsid w:val="00024196"/>
    <w:pPr/>
    <w:rPr>
      <w:b/>
      <w:bCs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3"/>
    <w:uiPriority w:val="39"/>
    <w:rsid w:val="00ba7ac9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b">
    <w:name w:val="Table Grid"/>
    <w:basedOn w:val="a3"/>
    <w:uiPriority w:val="39"/>
    <w:rsid w:val="00ba7a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92118-1AC3-43DE-BD4B-9D3F4353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AlterOffice/2026.2.0.0$Linux_X86_64 LibreOffice_project/bc4ef1adf80b36c7a6365f8ed6cbf29021361edd</Application>
  <AppVersion>15.0000</AppVersion>
  <Pages>6</Pages>
  <Words>530</Words>
  <Characters>3605</Characters>
  <CharactersWithSpaces>5026</CharactersWithSpaces>
  <Paragraphs>100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2023-12-06T02:21:00Z</dcterms:created>
  <dc:creator>Смирнов Константин Русланович</dc:creator>
  <dc:description/>
  <dc:language>ru-RU</dc:language>
  <cp:lastModifiedBy>gluschenkosg@corp.gidroogk.com</cp:lastModifiedBy>
  <cp:lastPrinted>2023-01-12T00:12:00Z</cp:lastPrinted>
  <dcterms:modified xsi:type="dcterms:W3CDTF">2026-10-14T10:36:29Z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