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"/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10"/>
        <w:gridCol w:w="4910"/>
      </w:tblGrid>
      <w:tr>
        <w:trPr/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bCs/>
              </w:rPr>
            </w:pPr>
            <w:r>
              <w:rPr>
                <w:bCs/>
              </w:rPr>
            </w:r>
          </w:p>
        </w:tc>
      </w:tr>
    </w:tbl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Cs w:val="26"/>
        </w:rPr>
      </w:pPr>
      <w:r>
        <w:rPr>
          <w:rFonts w:eastAsia="Calibri"/>
          <w:b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Normal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  <w:t>ОКПД2: 29.20.21.110 Поставка контейнера общего назначения (универсального) в Приморский край, г. Владивосток для нужд Владивостокского строительного участка Дальневосточного филиала АО «ТК РусГидро»</w:t>
      </w:r>
    </w:p>
    <w:p>
      <w:pPr>
        <w:pStyle w:val="Normal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_RefHeading___Toc2114_2713773899">
            <w:r>
              <w:rPr>
                <w:webHidden/>
                <w:rStyle w:val="Style14"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9"/>
              <w:tab w:val="right" w:pos="9921" w:leader="dot"/>
            </w:tabs>
            <w:rPr/>
          </w:pPr>
          <w:hyperlink w:anchor="__RefHeading___Toc2116_2713773899">
            <w:r>
              <w:rPr>
                <w:webHidden/>
                <w:rStyle w:val="Style14"/>
                <w:vanish w:val="false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9"/>
              <w:tab w:val="right" w:pos="9921" w:leader="dot"/>
            </w:tabs>
            <w:rPr/>
          </w:pPr>
          <w:hyperlink w:anchor="__RefHeading___Toc2118_2713773899">
            <w:r>
              <w:rPr>
                <w:webHidden/>
                <w:rStyle w:val="Style14"/>
                <w:vanish w:val="false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709"/>
              <w:tab w:val="right" w:pos="9921" w:leader="dot"/>
            </w:tabs>
            <w:rPr/>
          </w:pPr>
          <w:hyperlink w:anchor="__RefHeading___Toc2120_2713773899">
            <w:r>
              <w:rPr>
                <w:webHidden/>
                <w:rStyle w:val="Style14"/>
                <w:vanish w:val="false"/>
              </w:rPr>
              <w:t>1.3. Цель использования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hyperlink w:anchor="__RefHeading___Toc2124_2713773899">
            <w:r>
              <w:rPr>
                <w:webHidden/>
                <w:rStyle w:val="Style14"/>
                <w:vanish w:val="false"/>
              </w:rPr>
              <w:t>2. Требования к продукции</w:t>
              <w:tab/>
              <w:t>3</w:t>
            </w:r>
          </w:hyperlink>
        </w:p>
        <w:p>
          <w:pPr>
            <w:pStyle w:val="TOC4"/>
            <w:tabs>
              <w:tab w:val="clear" w:pos="709"/>
              <w:tab w:val="right" w:pos="9921" w:leader="dot"/>
            </w:tabs>
            <w:rPr/>
          </w:pPr>
          <w:hyperlink w:anchor="__RefHeading___Toc2126_2713773899">
            <w:r>
              <w:rPr>
                <w:webHidden/>
                <w:rStyle w:val="Style14"/>
                <w:vanish w:val="false"/>
              </w:rPr>
              <w:t>2.1. Требования к объемам и срокам поставки</w:t>
              <w:tab/>
              <w:t>3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128_2713773899">
            <w:r>
              <w:rPr>
                <w:webHidden/>
                <w:rStyle w:val="Style14"/>
                <w:vanish w:val="false"/>
              </w:rPr>
              <w:t>2.1.1. Перечень и объем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hyperlink w:anchor="__RefHeading___Toc2130_2713773899">
            <w:r>
              <w:rPr>
                <w:webHidden/>
                <w:rStyle w:val="Style14"/>
                <w:vanish w:val="false"/>
              </w:rPr>
              <w:t>Таблица 1.1 Перечень и объем закупаемой продукции</w:t>
              <w:tab/>
              <w:t>3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132_2713773899">
            <w:r>
              <w:rPr>
                <w:webHidden/>
                <w:rStyle w:val="Style14"/>
                <w:vanish w:val="false"/>
              </w:rPr>
              <w:t>2.1.2. Требования к срокам поставки продукции и оказания сопутствующих услуг</w:t>
              <w:tab/>
              <w:t>3</w:t>
            </w:r>
          </w:hyperlink>
        </w:p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hyperlink w:anchor="__RefHeading___Toc2134_2713773899">
            <w:r>
              <w:rPr>
                <w:webHidden/>
                <w:rStyle w:val="Style14"/>
                <w:vanish w:val="false"/>
              </w:rPr>
              <w:t>Таблица 2.1 Требования по срокам поставки продукции</w:t>
              <w:tab/>
              <w:t>3</w:t>
            </w:r>
          </w:hyperlink>
        </w:p>
        <w:p>
          <w:pPr>
            <w:pStyle w:val="TOC4"/>
            <w:tabs>
              <w:tab w:val="clear" w:pos="709"/>
              <w:tab w:val="right" w:pos="9921" w:leader="dot"/>
            </w:tabs>
            <w:rPr/>
          </w:pPr>
          <w:hyperlink w:anchor="__RefHeading___Toc2136_2713773899">
            <w:r>
              <w:rPr>
                <w:webHidden/>
                <w:rStyle w:val="Style14"/>
                <w:vanish w:val="false"/>
              </w:rPr>
              <w:t>2.2. Требования к качеству продукции</w:t>
              <w:tab/>
              <w:t>4</w:t>
            </w:r>
          </w:hyperlink>
        </w:p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hyperlink w:anchor="__RefHeading___Toc2138_2713773899">
            <w:r>
              <w:rPr>
                <w:webHidden/>
                <w:rStyle w:val="Style14"/>
                <w:vanish w:val="false"/>
              </w:rPr>
              <w:t xml:space="preserve"> </w:t>
            </w:r>
            <w:r>
              <w:rPr>
                <w:rStyle w:val="Style14"/>
              </w:rPr>
              <w:t>Таблица 3. Требования к продукции</w:t>
              <w:tab/>
              <w:t>4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ListParagraph"/>
        <w:ind w:hanging="0" w:left="108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</w:p>
    <w:p>
      <w:pPr>
        <w:pStyle w:val="TOC1"/>
        <w:tabs>
          <w:tab w:val="clear" w:pos="709"/>
          <w:tab w:val="right" w:pos="9911" w:leader="dot"/>
        </w:tabs>
        <w:rPr>
          <w:rFonts w:ascii="Calibri" w:hAnsi="Calibri" w:eastAsia="新細明體" w:cs="Arial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新細明體" w:cs="Arial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Heading2"/>
        <w:numPr>
          <w:ilvl w:val="0"/>
          <w:numId w:val="0"/>
        </w:numPr>
        <w:ind w:hanging="0" w:left="0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spacing w:before="0" w:after="0"/>
        <w:ind w:hanging="0" w:left="0"/>
        <w:jc w:val="center"/>
        <w:rPr>
          <w:sz w:val="24"/>
          <w:szCs w:val="24"/>
        </w:rPr>
      </w:pPr>
      <w:bookmarkStart w:id="0" w:name="__RefHeading___Toc2114_2713773899"/>
      <w:bookmarkStart w:id="1" w:name="_Toc75446566"/>
      <w:bookmarkStart w:id="2" w:name="_Toc51339692"/>
      <w:bookmarkEnd w:id="0"/>
      <w:r>
        <w:rPr>
          <w:sz w:val="24"/>
          <w:szCs w:val="24"/>
        </w:rPr>
        <w:t>Общие сведения</w:t>
      </w:r>
      <w:bookmarkEnd w:id="1"/>
      <w:bookmarkEnd w:id="2"/>
    </w:p>
    <w:p>
      <w:pPr>
        <w:pStyle w:val="Heading4"/>
        <w:numPr>
          <w:ilvl w:val="1"/>
          <w:numId w:val="3"/>
        </w:numPr>
        <w:spacing w:before="120" w:after="60"/>
        <w:ind w:hanging="0" w:left="567"/>
        <w:rPr>
          <w:sz w:val="24"/>
          <w:szCs w:val="24"/>
        </w:rPr>
      </w:pPr>
      <w:bookmarkStart w:id="3" w:name="__RefHeading___Toc2116_2713773899"/>
      <w:bookmarkStart w:id="4" w:name="_Toc75446567"/>
      <w:bookmarkStart w:id="5" w:name="_Toc46743505"/>
      <w:bookmarkEnd w:id="3"/>
      <w:r>
        <w:rPr>
          <w:sz w:val="24"/>
          <w:szCs w:val="24"/>
        </w:rPr>
        <w:t>Обозначения и сокращения</w:t>
      </w:r>
      <w:bookmarkEnd w:id="4"/>
      <w:bookmarkEnd w:id="5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tabs>
                <w:tab w:val="clear" w:pos="709"/>
                <w:tab w:val="left" w:pos="426" w:leader="none"/>
              </w:tabs>
              <w:jc w:val="center"/>
              <w:rPr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>ТМЦ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jc w:val="center"/>
              <w:rPr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>Товарно-материальные ценности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УПД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Универсальный передаточный документ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tabs>
          <w:tab w:val="clear" w:pos="709"/>
          <w:tab w:val="left" w:pos="851" w:leader="none"/>
          <w:tab w:val="left" w:pos="1134" w:leader="none"/>
        </w:tabs>
        <w:spacing w:before="0" w:after="0"/>
        <w:ind w:firstLine="135" w:left="567"/>
        <w:rPr>
          <w:sz w:val="24"/>
          <w:szCs w:val="24"/>
        </w:rPr>
      </w:pPr>
      <w:bookmarkStart w:id="6" w:name="__RefHeading___Toc2118_2713773899"/>
      <w:bookmarkStart w:id="7" w:name="_Toc75446568"/>
      <w:bookmarkStart w:id="8" w:name="_Toc46743506"/>
      <w:bookmarkEnd w:id="6"/>
      <w:r>
        <w:rPr>
          <w:sz w:val="24"/>
          <w:szCs w:val="24"/>
        </w:rPr>
        <w:t>Наименование закупаемой продукции</w:t>
      </w:r>
      <w:bookmarkEnd w:id="7"/>
      <w:bookmarkEnd w:id="8"/>
    </w:p>
    <w:p>
      <w:pPr>
        <w:pStyle w:val="Normal"/>
        <w:widowControl w:val="false"/>
        <w:tabs>
          <w:tab w:val="clear" w:pos="709"/>
          <w:tab w:val="left" w:pos="426" w:leader="none"/>
        </w:tabs>
        <w:ind w:firstLine="709"/>
        <w:jc w:val="both"/>
        <w:rPr/>
      </w:pPr>
      <w:r>
        <w:rPr>
          <w:rStyle w:val="Style8"/>
          <w:rFonts w:eastAsia="Calibri" w:cs="Times New Roman"/>
          <w:b w:val="false"/>
          <w:bCs/>
          <w:i w:val="false"/>
          <w:iCs w:val="false"/>
          <w:color w:val="000000"/>
          <w:kern w:val="0"/>
          <w:sz w:val="24"/>
          <w:szCs w:val="24"/>
          <w:shd w:fill="auto" w:val="clear"/>
          <w:lang w:val="ru-RU" w:eastAsia="x-none" w:bidi="ar-SA"/>
        </w:rPr>
        <w:t>ОКПД2: 29.20.21.110 Поставка контейнера общего назначения (универсального) в Приморский край, г. Владивосток для нужд Владивостокского строительного участка Дальневосточного филиала АО «ТК РусГидро»</w:t>
      </w:r>
      <w:r>
        <w:rPr>
          <w:rStyle w:val="Style8"/>
          <w:rFonts w:eastAsia="Calibri"/>
          <w:b w:val="false"/>
          <w:bCs/>
          <w:i w:val="false"/>
          <w:iCs w:val="false"/>
          <w:sz w:val="24"/>
          <w:szCs w:val="24"/>
          <w:shd w:fill="auto" w:val="clear"/>
          <w:lang w:val="ru-RU" w:eastAsia="ru-RU"/>
        </w:rPr>
        <w:t>.</w:t>
      </w:r>
    </w:p>
    <w:p>
      <w:pPr>
        <w:pStyle w:val="Heading4"/>
        <w:numPr>
          <w:ilvl w:val="1"/>
          <w:numId w:val="3"/>
        </w:numPr>
        <w:tabs>
          <w:tab w:val="clear" w:pos="709"/>
          <w:tab w:val="left" w:pos="1134" w:leader="none"/>
        </w:tabs>
        <w:ind w:firstLine="135" w:left="567"/>
        <w:rPr>
          <w:sz w:val="24"/>
          <w:szCs w:val="24"/>
        </w:rPr>
      </w:pPr>
      <w:bookmarkStart w:id="9" w:name="__RefHeading___Toc2120_2713773899"/>
      <w:bookmarkStart w:id="10" w:name="_Toc75446569"/>
      <w:bookmarkStart w:id="11" w:name="_Toc46743507"/>
      <w:bookmarkEnd w:id="9"/>
      <w:r>
        <w:rPr>
          <w:sz w:val="24"/>
          <w:szCs w:val="24"/>
        </w:rPr>
        <w:t xml:space="preserve">Цель </w:t>
      </w:r>
      <w:bookmarkEnd w:id="11"/>
      <w:r>
        <w:rPr>
          <w:sz w:val="24"/>
          <w:szCs w:val="24"/>
        </w:rPr>
        <w:t>использования закупаемой продукции</w:t>
      </w:r>
      <w:bookmarkEnd w:id="10"/>
    </w:p>
    <w:p>
      <w:pPr>
        <w:pStyle w:val="Normal"/>
        <w:widowControl/>
        <w:tabs>
          <w:tab w:val="clear" w:pos="709"/>
          <w:tab w:val="left" w:pos="1134" w:leader="none"/>
        </w:tabs>
        <w:suppressAutoHyphens w:val="true"/>
        <w:bidi w:val="0"/>
        <w:spacing w:before="0" w:after="0"/>
        <w:ind w:firstLine="737" w:left="0" w:right="0"/>
        <w:jc w:val="both"/>
        <w:rPr>
          <w:sz w:val="24"/>
          <w:szCs w:val="24"/>
        </w:rPr>
      </w:pPr>
      <w:r>
        <w:rPr>
          <w:rStyle w:val="Style8"/>
          <w:rFonts w:eastAsia="Calibri" w:cs="Times New Roman"/>
          <w:b w:val="false"/>
          <w:bCs/>
          <w:i w:val="false"/>
          <w:iCs w:val="false"/>
          <w:color w:val="000000"/>
          <w:kern w:val="0"/>
          <w:sz w:val="24"/>
          <w:szCs w:val="24"/>
          <w:shd w:fill="auto" w:val="clear"/>
          <w:lang w:val="ru-RU" w:eastAsia="x-none" w:bidi="ar-SA"/>
        </w:rPr>
        <w:t>Контейнер общего назначения (универсальный) закупается для хранения и сохранности ТМЦ Партизанского строительного участка Дальневосточного филиала АО «ТК РусГидро»</w:t>
      </w:r>
      <w:r>
        <w:rPr/>
        <w:t>.</w:t>
      </w:r>
      <w:bookmarkStart w:id="12" w:name="_Toc75446573"/>
      <w:bookmarkStart w:id="13" w:name="_Toc51339693"/>
    </w:p>
    <w:p>
      <w:pPr>
        <w:pStyle w:val="Heading1"/>
        <w:numPr>
          <w:ilvl w:val="0"/>
          <w:numId w:val="3"/>
        </w:numPr>
        <w:ind w:hanging="0" w:left="0"/>
        <w:jc w:val="center"/>
        <w:rPr>
          <w:sz w:val="24"/>
          <w:szCs w:val="24"/>
        </w:rPr>
      </w:pPr>
      <w:bookmarkStart w:id="14" w:name="__RefHeading___Toc2124_2713773899"/>
      <w:bookmarkEnd w:id="14"/>
      <w:r>
        <w:rPr>
          <w:sz w:val="24"/>
          <w:szCs w:val="24"/>
        </w:rPr>
        <w:t>Требования к продукции</w:t>
      </w:r>
      <w:bookmarkEnd w:id="12"/>
      <w:bookmarkEnd w:id="13"/>
    </w:p>
    <w:p>
      <w:pPr>
        <w:pStyle w:val="Heading4"/>
        <w:numPr>
          <w:ilvl w:val="1"/>
          <w:numId w:val="3"/>
        </w:numPr>
        <w:tabs>
          <w:tab w:val="clear" w:pos="709"/>
          <w:tab w:val="left" w:pos="1134" w:leader="none"/>
        </w:tabs>
        <w:spacing w:before="0" w:after="0"/>
        <w:ind w:firstLine="135" w:left="567"/>
        <w:rPr>
          <w:sz w:val="24"/>
          <w:szCs w:val="24"/>
        </w:rPr>
      </w:pPr>
      <w:bookmarkStart w:id="15" w:name="__RefHeading___Toc2126_2713773899"/>
      <w:bookmarkStart w:id="16" w:name="_Toc75446574"/>
      <w:bookmarkEnd w:id="15"/>
      <w:r>
        <w:rPr>
          <w:sz w:val="24"/>
          <w:szCs w:val="24"/>
        </w:rPr>
        <w:t xml:space="preserve">Требования к объемам и срокам </w:t>
      </w:r>
      <w:r>
        <w:rPr>
          <w:sz w:val="24"/>
          <w:szCs w:val="24"/>
          <w:lang w:val="ru-RU"/>
        </w:rPr>
        <w:t>поставки</w:t>
      </w:r>
      <w:bookmarkEnd w:id="16"/>
    </w:p>
    <w:p>
      <w:pPr>
        <w:pStyle w:val="Heading3"/>
        <w:numPr>
          <w:ilvl w:val="2"/>
          <w:numId w:val="3"/>
        </w:numPr>
        <w:tabs>
          <w:tab w:val="clear" w:pos="709"/>
          <w:tab w:val="left" w:pos="1134" w:leader="none"/>
        </w:tabs>
        <w:spacing w:before="0" w:after="0"/>
        <w:ind w:hanging="0" w:left="567"/>
        <w:rPr>
          <w:sz w:val="24"/>
          <w:szCs w:val="24"/>
        </w:rPr>
      </w:pPr>
      <w:bookmarkStart w:id="17" w:name="__RefHeading___Toc2128_2713773899"/>
      <w:bookmarkStart w:id="18" w:name="_Toc75446575"/>
      <w:bookmarkEnd w:id="17"/>
      <w:r>
        <w:rPr>
          <w:sz w:val="24"/>
          <w:szCs w:val="24"/>
        </w:rPr>
        <w:t>Перечень и объем закупаемой продукции</w:t>
      </w:r>
      <w:bookmarkEnd w:id="18"/>
    </w:p>
    <w:p>
      <w:pPr>
        <w:pStyle w:val="Heading1"/>
        <w:numPr>
          <w:ilvl w:val="0"/>
          <w:numId w:val="0"/>
        </w:numPr>
        <w:ind w:hanging="0" w:left="567"/>
        <w:rPr>
          <w:sz w:val="24"/>
          <w:szCs w:val="24"/>
        </w:rPr>
      </w:pPr>
      <w:bookmarkStart w:id="19" w:name="__RefHeading___Toc2130_2713773899"/>
      <w:bookmarkStart w:id="20" w:name="_Toc75446576"/>
      <w:bookmarkStart w:id="21" w:name="_Toc51339695"/>
      <w:bookmarkEnd w:id="19"/>
      <w:r>
        <w:rPr>
          <w:sz w:val="24"/>
          <w:szCs w:val="24"/>
        </w:rPr>
        <w:t xml:space="preserve">Таблица 1.1 Перечень </w:t>
      </w:r>
      <w:bookmarkEnd w:id="21"/>
      <w:r>
        <w:rPr>
          <w:sz w:val="24"/>
          <w:szCs w:val="24"/>
        </w:rPr>
        <w:t>и объем закупаемой продукции</w:t>
      </w:r>
      <w:bookmarkEnd w:id="20"/>
    </w:p>
    <w:tbl>
      <w:tblPr>
        <w:tblW w:w="963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08"/>
        <w:gridCol w:w="6099"/>
        <w:gridCol w:w="1272"/>
        <w:gridCol w:w="1558"/>
      </w:tblGrid>
      <w:tr>
        <w:trPr>
          <w:trHeight w:val="85" w:hRule="atLeast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</w:tr>
      <w:tr>
        <w:trPr>
          <w:trHeight w:val="45" w:hRule="atLeast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>
        <w:trPr>
          <w:trHeight w:val="402" w:hRule="atLeast"/>
        </w:trPr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09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Контейнер общего назначения (универсальный)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pacing w:before="0" w:after="0"/>
              <w:jc w:val="center"/>
              <w:rPr>
                <w:rFonts w:ascii="Times New Roman" w:hAnsi="Times New Roman" w:eastAsia="Calibri" w:cs="Arial"/>
                <w:i w:val="false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426" w:leader="none"/>
        </w:tabs>
        <w:rPr>
          <w:bCs/>
          <w:sz w:val="24"/>
          <w:szCs w:val="24"/>
          <w:shd w:fill="FFFF99" w:val="clear"/>
        </w:rPr>
      </w:pPr>
      <w:r>
        <w:rPr>
          <w:bCs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spacing w:before="0" w:after="0"/>
        <w:ind w:firstLine="567" w:left="0"/>
        <w:rPr>
          <w:sz w:val="24"/>
          <w:szCs w:val="24"/>
        </w:rPr>
      </w:pPr>
      <w:bookmarkStart w:id="22" w:name="__RefHeading___Toc2132_2713773899"/>
      <w:bookmarkStart w:id="23" w:name="_Toc75446578"/>
      <w:bookmarkStart w:id="24" w:name="_Toc51339696"/>
      <w:bookmarkEnd w:id="22"/>
      <w:r>
        <w:rPr>
          <w:sz w:val="24"/>
          <w:szCs w:val="24"/>
        </w:rPr>
        <w:t xml:space="preserve">Требования </w:t>
      </w:r>
      <w:bookmarkEnd w:id="24"/>
      <w:r>
        <w:rPr>
          <w:sz w:val="24"/>
          <w:szCs w:val="24"/>
        </w:rPr>
        <w:t>к срокам поставки продукции и оказания сопутствующих услуг</w:t>
      </w:r>
      <w:bookmarkEnd w:id="23"/>
    </w:p>
    <w:p>
      <w:pPr>
        <w:pStyle w:val="Heading1"/>
        <w:numPr>
          <w:ilvl w:val="0"/>
          <w:numId w:val="0"/>
        </w:numPr>
        <w:ind w:hanging="0" w:left="567"/>
        <w:rPr>
          <w:sz w:val="24"/>
          <w:szCs w:val="24"/>
        </w:rPr>
      </w:pPr>
      <w:bookmarkStart w:id="25" w:name="__RefHeading___Toc2134_2713773899"/>
      <w:bookmarkStart w:id="26" w:name="_Toc75446579"/>
      <w:bookmarkStart w:id="27" w:name="_Toc51339697"/>
      <w:bookmarkStart w:id="28" w:name="_Toc50125127"/>
      <w:bookmarkStart w:id="29" w:name="_Toc50125126_Копия_1"/>
      <w:bookmarkEnd w:id="25"/>
      <w:bookmarkEnd w:id="2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30" w:name="_Hlk50465284"/>
      <w:r>
        <w:rPr>
          <w:sz w:val="24"/>
          <w:szCs w:val="24"/>
        </w:rPr>
        <w:t xml:space="preserve">Требования по срокам </w:t>
      </w:r>
      <w:bookmarkEnd w:id="27"/>
      <w:bookmarkEnd w:id="28"/>
      <w:bookmarkEnd w:id="30"/>
      <w:r>
        <w:rPr>
          <w:sz w:val="24"/>
          <w:szCs w:val="24"/>
          <w:lang w:val="ru-RU"/>
        </w:rPr>
        <w:t>поставки продукции</w:t>
      </w:r>
      <w:bookmarkEnd w:id="26"/>
      <w:r>
        <w:rPr>
          <w:sz w:val="24"/>
          <w:szCs w:val="24"/>
          <w:lang w:val="ru-RU"/>
        </w:rPr>
        <w:t xml:space="preserve"> </w:t>
      </w:r>
    </w:p>
    <w:tbl>
      <w:tblPr>
        <w:tblW w:w="100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4"/>
        <w:gridCol w:w="2961"/>
        <w:gridCol w:w="3276"/>
        <w:gridCol w:w="3118"/>
      </w:tblGrid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236" w:hRule="atLeast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/>
            </w:pPr>
            <w:bookmarkStart w:id="31" w:name="_Toc46743510"/>
            <w:r>
              <w:rPr>
                <w:b/>
                <w:sz w:val="24"/>
                <w:szCs w:val="24"/>
              </w:rPr>
              <w:t>4</w:t>
            </w:r>
            <w:bookmarkEnd w:id="31"/>
          </w:p>
        </w:tc>
      </w:tr>
      <w:tr>
        <w:trPr>
          <w:trHeight w:val="417" w:hRule="atLeast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ОКПД2: 29.20.21.110 Поставка контейнера общего назначения (универсального) в Приморский край, г. Владивосток для нужд Владивостокского строительного участка Дальневосточного филиала АО «ТК РусГидро»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spacing w:lineRule="auto" w:line="276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момента (даты) оплаты авансового платежа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spacing w:lineRule="auto" w:line="276"/>
              <w:jc w:val="center"/>
              <w:rPr/>
            </w:pPr>
            <w:r>
              <w:rPr>
                <w:bCs/>
                <w:sz w:val="24"/>
                <w:szCs w:val="24"/>
              </w:rPr>
              <w:t>В течение 3 (трёх) календарных дней с момента оплаты авансового платежа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tabs>
          <w:tab w:val="clear" w:pos="709"/>
          <w:tab w:val="left" w:pos="851" w:leader="none"/>
        </w:tabs>
        <w:ind w:hanging="6" w:left="567"/>
        <w:rPr>
          <w:sz w:val="24"/>
          <w:szCs w:val="24"/>
        </w:rPr>
      </w:pPr>
      <w:bookmarkStart w:id="32" w:name="__RefHeading___Toc2136_2713773899"/>
      <w:bookmarkStart w:id="33" w:name="_Toc51339698"/>
      <w:bookmarkStart w:id="34" w:name="_Toc75446581"/>
      <w:bookmarkStart w:id="35" w:name="_Toc46743511"/>
      <w:bookmarkStart w:id="36" w:name="_Toc54785622_Копия_1"/>
      <w:bookmarkEnd w:id="32"/>
      <w:bookmarkEnd w:id="36"/>
      <w:r>
        <w:rPr>
          <w:sz w:val="24"/>
          <w:szCs w:val="24"/>
        </w:rPr>
        <w:t xml:space="preserve">Требования к </w:t>
      </w:r>
      <w:bookmarkEnd w:id="35"/>
      <w:r>
        <w:rPr>
          <w:sz w:val="24"/>
          <w:szCs w:val="24"/>
        </w:rPr>
        <w:t>качеству продукции</w:t>
      </w:r>
      <w:bookmarkEnd w:id="34"/>
    </w:p>
    <w:p>
      <w:pPr>
        <w:pStyle w:val="Heading1"/>
        <w:numPr>
          <w:ilvl w:val="0"/>
          <w:numId w:val="0"/>
        </w:numPr>
        <w:tabs>
          <w:tab w:val="clear" w:pos="709"/>
          <w:tab w:val="left" w:pos="851" w:leader="none"/>
        </w:tabs>
        <w:ind w:firstLine="284" w:left="0"/>
        <w:rPr>
          <w:sz w:val="24"/>
          <w:szCs w:val="24"/>
        </w:rPr>
      </w:pPr>
      <w:bookmarkStart w:id="37" w:name="__RefHeading___Toc2138_2713773899"/>
      <w:bookmarkEnd w:id="37"/>
      <w:r>
        <w:rPr>
          <w:sz w:val="24"/>
          <w:szCs w:val="24"/>
        </w:rPr>
        <w:t xml:space="preserve"> </w:t>
      </w:r>
      <w:bookmarkStart w:id="38" w:name="_Toc75446582"/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8"/>
      <w:r>
        <w:rPr>
          <w:sz w:val="24"/>
          <w:szCs w:val="24"/>
        </w:rPr>
        <w:t xml:space="preserve"> </w:t>
      </w:r>
      <w:bookmarkEnd w:id="33"/>
    </w:p>
    <w:p>
      <w:pPr>
        <w:pStyle w:val="Normal"/>
        <w:widowControl w:val="false"/>
        <w:tabs>
          <w:tab w:val="clear" w:pos="709"/>
          <w:tab w:val="left" w:pos="426" w:leader="none"/>
        </w:tabs>
        <w:ind w:firstLine="709"/>
        <w:jc w:val="both"/>
        <w:rPr/>
      </w:pPr>
      <w:r>
        <w:rPr>
          <w:rFonts w:eastAsia="Calibri"/>
          <w:lang w:eastAsia="x-none"/>
        </w:rPr>
        <w:t xml:space="preserve"> </w:t>
      </w:r>
      <w:r>
        <w:rPr>
          <w:rFonts w:eastAsia="Calibri"/>
          <w:lang w:eastAsia="x-none"/>
        </w:rPr>
        <w:t>ОКПД2: 29.20.21.110 Поставка контейнера общего назначения (универсального) в Приморский край, г. Владивосток для нужд Владивостокского строительного участка Дальневосточного филиала АО «ТК РусГидро»</w:t>
      </w:r>
      <w:r>
        <w:rPr>
          <w:rStyle w:val="Style8"/>
          <w:rFonts w:eastAsia="Calibri"/>
          <w:b w:val="false"/>
          <w:bCs/>
          <w:i w:val="false"/>
          <w:iCs w:val="false"/>
          <w:shd w:fill="auto" w:val="clear"/>
          <w:lang w:eastAsia="x-none"/>
        </w:rPr>
        <w:t>.</w:t>
      </w:r>
    </w:p>
    <w:tbl>
      <w:tblPr>
        <w:tblStyle w:val="1c"/>
        <w:tblW w:w="1502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63"/>
        <w:gridCol w:w="2049"/>
        <w:gridCol w:w="2411"/>
        <w:gridCol w:w="849"/>
        <w:gridCol w:w="1710"/>
        <w:gridCol w:w="1694"/>
        <w:gridCol w:w="2095"/>
        <w:gridCol w:w="1406"/>
        <w:gridCol w:w="1744"/>
      </w:tblGrid>
      <w:tr>
        <w:trPr>
          <w:trHeight w:val="311" w:hRule="atLeast"/>
        </w:trPr>
        <w:tc>
          <w:tcPr>
            <w:tcW w:w="106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п/п</w:t>
            </w:r>
          </w:p>
        </w:tc>
        <w:tc>
          <w:tcPr>
            <w:tcW w:w="204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Наименование параметра</w:t>
            </w:r>
          </w:p>
        </w:tc>
        <w:tc>
          <w:tcPr>
            <w:tcW w:w="3260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заказчика</w:t>
            </w:r>
          </w:p>
        </w:tc>
        <w:tc>
          <w:tcPr>
            <w:tcW w:w="34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5245" w:type="dxa"/>
            <w:gridSpan w:val="3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Предложения участника по характеристикам и параметрам</w:t>
            </w:r>
          </w:p>
        </w:tc>
      </w:tr>
      <w:tr>
        <w:trPr>
          <w:trHeight w:val="70" w:hRule="atLeast"/>
        </w:trPr>
        <w:tc>
          <w:tcPr>
            <w:tcW w:w="106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4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b/>
                <w:i w:val="false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260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i w:val="false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b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bCs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Согласие с требованием/ указание характеристик</w:t>
            </w:r>
          </w:p>
        </w:tc>
        <w:tc>
          <w:tcPr>
            <w:tcW w:w="16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bCs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5245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70" w:hRule="atLeast"/>
        </w:trPr>
        <w:tc>
          <w:tcPr>
            <w:tcW w:w="10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1.</w:t>
            </w:r>
          </w:p>
        </w:tc>
        <w:tc>
          <w:tcPr>
            <w:tcW w:w="53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7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0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4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7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70" w:hRule="atLeast"/>
        </w:trPr>
        <w:tc>
          <w:tcPr>
            <w:tcW w:w="10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1.1</w:t>
            </w:r>
          </w:p>
        </w:tc>
        <w:tc>
          <w:tcPr>
            <w:tcW w:w="2049" w:type="dxa"/>
            <w:tcBorders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24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Технические характеристики (параметры эквивалентности)</w:t>
            </w:r>
          </w:p>
        </w:tc>
        <w:tc>
          <w:tcPr>
            <w:tcW w:w="849" w:type="dxa"/>
            <w:tcBorders>
              <w:bottom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Количество</w:t>
            </w:r>
          </w:p>
        </w:tc>
        <w:tc>
          <w:tcPr>
            <w:tcW w:w="17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0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Технические характеристики (параметры эквивалентности)</w:t>
            </w:r>
          </w:p>
        </w:tc>
        <w:tc>
          <w:tcPr>
            <w:tcW w:w="1406" w:type="dxa"/>
            <w:tcBorders>
              <w:bottom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Количество</w:t>
            </w:r>
          </w:p>
        </w:tc>
        <w:tc>
          <w:tcPr>
            <w:tcW w:w="17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Производитель, страна происхождения</w:t>
            </w:r>
          </w:p>
        </w:tc>
      </w:tr>
      <w:tr>
        <w:trPr>
          <w:trHeight w:val="70" w:hRule="atLeast"/>
        </w:trPr>
        <w:tc>
          <w:tcPr>
            <w:tcW w:w="10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1.1.1</w:t>
            </w:r>
          </w:p>
        </w:tc>
        <w:tc>
          <w:tcPr>
            <w:tcW w:w="2049" w:type="dxa"/>
            <w:tcBorders>
              <w:top w:val="nil"/>
              <w:left w:val="nil"/>
            </w:tcBorders>
            <w:shd w:color="000000" w:fill="FFFFFF" w:val="clear"/>
            <w:vAlign w:val="center"/>
          </w:tcPr>
          <w:p>
            <w:pPr>
              <w:pStyle w:val="Style34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Calibri" w:hAnsi="Calibri"/>
                <w:color w:val="000000"/>
                <w:kern w:val="0"/>
                <w:sz w:val="22"/>
                <w:szCs w:val="22"/>
                <w:lang w:val="ru-RU" w:eastAsia="en-US" w:bidi="ar-SA"/>
              </w:rPr>
              <w:t>Контейнер общего назначения (универсальный)</w:t>
            </w:r>
          </w:p>
        </w:tc>
        <w:tc>
          <w:tcPr>
            <w:tcW w:w="241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Внешние размеры: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Длина в мм. – не менее 6058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Ширина в мм. – не менее 2438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Высота в мм. – не менее 2591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Внутренние размеры: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Длина в мм. –не менее 5898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Ширина в мм. – не менее 2350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Высота в мм. – не менее 2381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Размеры проемов: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Ширина в мм. – не менее 2336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Высота в мм. – не менее 2291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Прочие характеристики: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Максимальная грузоподъемность в кг. – не менее 24000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Масса тары в кг. –  не более 2370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Полезная нагрузка в кг. – не более 21630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Объем в м.куб. –  не менее 33</w:t>
            </w:r>
          </w:p>
        </w:tc>
        <w:tc>
          <w:tcPr>
            <w:tcW w:w="84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17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6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95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</w:rPr>
              <w:t xml:space="preserve"> </w:t>
            </w:r>
          </w:p>
        </w:tc>
        <w:tc>
          <w:tcPr>
            <w:tcW w:w="14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64" w:hRule="atLeast"/>
        </w:trPr>
        <w:tc>
          <w:tcPr>
            <w:tcW w:w="10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2.</w:t>
            </w:r>
          </w:p>
        </w:tc>
        <w:tc>
          <w:tcPr>
            <w:tcW w:w="53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безопасности</w:t>
            </w:r>
          </w:p>
        </w:tc>
        <w:tc>
          <w:tcPr>
            <w:tcW w:w="17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391" w:hRule="atLeast"/>
        </w:trPr>
        <w:tc>
          <w:tcPr>
            <w:tcW w:w="10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2.1</w:t>
            </w:r>
          </w:p>
        </w:tc>
        <w:tc>
          <w:tcPr>
            <w:tcW w:w="2049" w:type="dxa"/>
            <w:tcBorders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Безопасность продукции</w:t>
            </w:r>
          </w:p>
        </w:tc>
        <w:tc>
          <w:tcPr>
            <w:tcW w:w="32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 xml:space="preserve">В соответствии с п. 6.6 ГОСТ Р 58760-2024 здания </w:t>
            </w: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мобильные</w:t>
            </w: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 xml:space="preserve"> (инвентарные). Общие технические условия.</w:t>
            </w:r>
          </w:p>
        </w:tc>
        <w:tc>
          <w:tcPr>
            <w:tcW w:w="17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6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24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88" w:hRule="atLeast"/>
        </w:trPr>
        <w:tc>
          <w:tcPr>
            <w:tcW w:w="10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3.</w:t>
            </w:r>
          </w:p>
        </w:tc>
        <w:tc>
          <w:tcPr>
            <w:tcW w:w="53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доставке, маркировке, упаковке, транспортировке,  перемещению, условиям хранения, приемке и испытаниям</w:t>
            </w:r>
          </w:p>
        </w:tc>
        <w:tc>
          <w:tcPr>
            <w:tcW w:w="17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1780" w:hRule="atLeast"/>
        </w:trPr>
        <w:tc>
          <w:tcPr>
            <w:tcW w:w="10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3.1</w:t>
            </w:r>
          </w:p>
        </w:tc>
        <w:tc>
          <w:tcPr>
            <w:tcW w:w="2049" w:type="dxa"/>
            <w:tcBorders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Место поставки</w:t>
            </w:r>
          </w:p>
        </w:tc>
        <w:tc>
          <w:tcPr>
            <w:tcW w:w="32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 xml:space="preserve">Доставка и разгрузка силами Поставщика: Приморский край, г. </w:t>
            </w: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Владивосток, ул. Фадеева, 47/3</w:t>
            </w: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.</w:t>
            </w:r>
          </w:p>
        </w:tc>
        <w:tc>
          <w:tcPr>
            <w:tcW w:w="17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233" w:hRule="atLeast"/>
        </w:trPr>
        <w:tc>
          <w:tcPr>
            <w:tcW w:w="10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 xml:space="preserve">4. </w:t>
            </w:r>
          </w:p>
        </w:tc>
        <w:tc>
          <w:tcPr>
            <w:tcW w:w="53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комплектации и состоянию товара</w:t>
            </w:r>
          </w:p>
        </w:tc>
        <w:tc>
          <w:tcPr>
            <w:tcW w:w="17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391" w:hRule="atLeast"/>
        </w:trPr>
        <w:tc>
          <w:tcPr>
            <w:tcW w:w="10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4.1</w:t>
            </w:r>
          </w:p>
        </w:tc>
        <w:tc>
          <w:tcPr>
            <w:tcW w:w="2049" w:type="dxa"/>
            <w:tcBorders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Требования к эксплуатации</w:t>
            </w:r>
          </w:p>
        </w:tc>
        <w:tc>
          <w:tcPr>
            <w:tcW w:w="32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Контейнер общего назначения (универсальный)  не должен иметь существенных дефектов и неисправностей, при наличии которых невозможна эксплуатация и транспортировка. Контейнер общего назначения (универсальный)  и все его механизмы должны быть в полностью исправном состоянии.</w:t>
            </w:r>
          </w:p>
        </w:tc>
        <w:tc>
          <w:tcPr>
            <w:tcW w:w="17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6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24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72" w:hRule="atLeast"/>
        </w:trPr>
        <w:tc>
          <w:tcPr>
            <w:tcW w:w="10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5.</w:t>
            </w:r>
          </w:p>
        </w:tc>
        <w:tc>
          <w:tcPr>
            <w:tcW w:w="53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7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688" w:hRule="atLeast"/>
        </w:trPr>
        <w:tc>
          <w:tcPr>
            <w:tcW w:w="10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5.1</w:t>
            </w:r>
          </w:p>
        </w:tc>
        <w:tc>
          <w:tcPr>
            <w:tcW w:w="2049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Срок гарантии</w:t>
            </w:r>
          </w:p>
        </w:tc>
        <w:tc>
          <w:tcPr>
            <w:tcW w:w="32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Поставляемый Товар должен быть пригодным для использования по своему назначению. Поставщик гарантирует, что Товар принадлежит ему на законном основании, в споре, залоге или под арестом не состоит, и не обременен правами третьих лиц.</w:t>
            </w:r>
          </w:p>
        </w:tc>
        <w:tc>
          <w:tcPr>
            <w:tcW w:w="17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6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24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62" w:hRule="atLeast"/>
        </w:trPr>
        <w:tc>
          <w:tcPr>
            <w:tcW w:w="10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 xml:space="preserve">6. </w:t>
            </w:r>
          </w:p>
        </w:tc>
        <w:tc>
          <w:tcPr>
            <w:tcW w:w="53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7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688" w:hRule="atLeast"/>
        </w:trPr>
        <w:tc>
          <w:tcPr>
            <w:tcW w:w="10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6.1</w:t>
            </w:r>
          </w:p>
        </w:tc>
        <w:tc>
          <w:tcPr>
            <w:tcW w:w="2049" w:type="dxa"/>
            <w:tcBorders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Документы, передаваемые вместе с продукцией</w:t>
            </w:r>
          </w:p>
        </w:tc>
        <w:tc>
          <w:tcPr>
            <w:tcW w:w="32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Поставщик передает Заказчику товарную накладную (ТОРГ-12)/УПД, счет-фактуру, копии документов, подтверждающие качество поставляемой продукции.</w:t>
            </w:r>
          </w:p>
        </w:tc>
        <w:tc>
          <w:tcPr>
            <w:tcW w:w="17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6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24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ListParagraph"/>
        <w:numPr>
          <w:ilvl w:val="0"/>
          <w:numId w:val="6"/>
        </w:numPr>
        <w:jc w:val="center"/>
        <w:rPr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Требования к документации по ценообразованию на этапе закупки</w:t>
      </w:r>
    </w:p>
    <w:p>
      <w:pPr>
        <w:pStyle w:val="Normal"/>
        <w:spacing w:before="0" w:after="0"/>
        <w:ind w:hanging="0" w:left="1080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ListParagraph"/>
        <w:widowControl/>
        <w:numPr>
          <w:ilvl w:val="1"/>
          <w:numId w:val="6"/>
        </w:numPr>
        <w:bidi w:val="0"/>
        <w:spacing w:before="0" w:after="0"/>
        <w:ind w:firstLine="397" w:left="0" w:right="0"/>
        <w:contextualSpacing/>
        <w:jc w:val="both"/>
        <w:rPr>
          <w:sz w:val="24"/>
          <w:szCs w:val="24"/>
        </w:rPr>
      </w:pPr>
      <w:r>
        <w:rPr>
          <w:iCs/>
          <w:color w:val="000000" w:themeColor="text1"/>
          <w:sz w:val="24"/>
          <w:szCs w:val="24"/>
          <w:lang w:eastAsia="x-none"/>
        </w:rPr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ListParagraph"/>
        <w:numPr>
          <w:ilvl w:val="1"/>
          <w:numId w:val="6"/>
        </w:numPr>
        <w:ind w:firstLine="426" w:left="0"/>
        <w:jc w:val="both"/>
        <w:rPr>
          <w:sz w:val="24"/>
          <w:szCs w:val="24"/>
        </w:rPr>
      </w:pPr>
      <w:r>
        <w:rPr>
          <w:sz w:val="24"/>
          <w:szCs w:val="24"/>
        </w:rPr>
        <w:t>Дополнительные документы по ценообразованию в состав заявки не включаются.</w:t>
      </w:r>
    </w:p>
    <w:p>
      <w:pPr>
        <w:pStyle w:val="ListParagraph"/>
        <w:tabs>
          <w:tab w:val="clear" w:pos="709"/>
          <w:tab w:val="left" w:pos="851" w:leader="none"/>
        </w:tabs>
        <w:ind w:hanging="0" w:left="410"/>
        <w:jc w:val="both"/>
        <w:rPr>
          <w:iCs/>
          <w:color w:val="000000" w:themeColor="text1"/>
          <w:lang w:eastAsia="x-none"/>
        </w:rPr>
      </w:pPr>
      <w:r>
        <w:rPr>
          <w:iCs/>
          <w:color w:val="000000" w:themeColor="text1"/>
          <w:lang w:eastAsia="x-none"/>
        </w:rPr>
      </w:r>
    </w:p>
    <w:p>
      <w:pPr>
        <w:pStyle w:val="Normal"/>
        <w:tabs>
          <w:tab w:val="clear" w:pos="709"/>
          <w:tab w:val="left" w:pos="851" w:leader="none"/>
        </w:tabs>
        <w:spacing w:before="0" w:after="120"/>
        <w:ind w:hanging="0" w:left="410"/>
        <w:jc w:val="both"/>
        <w:rPr>
          <w:iCs/>
          <w:color w:val="000000" w:themeColor="text1"/>
          <w:sz w:val="24"/>
          <w:szCs w:val="24"/>
          <w:lang w:eastAsia="x-none"/>
        </w:rPr>
      </w:pPr>
      <w:r>
        <w:rPr>
          <w:iCs/>
          <w:color w:val="000000" w:themeColor="text1"/>
          <w:sz w:val="24"/>
          <w:szCs w:val="24"/>
          <w:lang w:eastAsia="x-none"/>
        </w:rPr>
      </w:r>
    </w:p>
    <w:p>
      <w:pPr>
        <w:pStyle w:val="Normal"/>
        <w:ind w:firstLine="851"/>
        <w:rPr>
          <w:color w:val="1F4E79"/>
          <w:sz w:val="24"/>
          <w:szCs w:val="24"/>
        </w:rPr>
      </w:pPr>
      <w:r>
        <w:rPr>
          <w:color w:val="1F4E79"/>
          <w:sz w:val="24"/>
          <w:szCs w:val="24"/>
        </w:rPr>
      </w:r>
    </w:p>
    <w:p>
      <w:pPr>
        <w:pStyle w:val="Normal"/>
        <w:ind w:firstLine="851"/>
        <w:rPr>
          <w:color w:val="1F497D"/>
          <w:sz w:val="24"/>
          <w:szCs w:val="24"/>
          <w:lang w:eastAsia="en-US"/>
        </w:rPr>
      </w:pPr>
      <w:r>
        <w:rPr>
          <w:color w:val="1F497D"/>
          <w:sz w:val="24"/>
          <w:szCs w:val="24"/>
          <w:lang w:eastAsia="en-US"/>
        </w:rPr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ab/>
        <w:tab/>
        <w:tab/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33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16" w:hanging="4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ind w:hanging="0" w:left="5038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481159"/>
    <w:pPr>
      <w:keepNext w:val="true"/>
      <w:numPr>
        <w:ilvl w:val="2"/>
        <w:numId w:val="3"/>
      </w:numPr>
      <w:spacing w:before="120" w:after="0"/>
      <w:ind w:hanging="0" w:left="567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481159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lineRule="auto" w:line="360"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e26b68"/>
    <w:pPr>
      <w:tabs>
        <w:tab w:val="clear" w:pos="709"/>
        <w:tab w:val="left" w:pos="1120" w:leader="none"/>
        <w:tab w:val="right" w:pos="9911" w:leader="dot"/>
      </w:tabs>
      <w:ind w:firstLine="287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9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FORMATTEXT" w:customStyle="1">
    <w:name w:val=".FORMATTEXT"/>
    <w:uiPriority w:val="99"/>
    <w:qFormat/>
    <w:rsid w:val="00604f23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09CE6-E0D3-4B72-A1F3-0D6CF6059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Application>AlterOffice/2026.2.0.0$Linux_X86_64 LibreOffice_project/bc4ef1adf80b36c7a6365f8ed6cbf29021361edd</Application>
  <AppVersion>15.0000</AppVersion>
  <Pages>7</Pages>
  <Words>725</Words>
  <Characters>4759</Characters>
  <CharactersWithSpaces>5340</CharactersWithSpaces>
  <Paragraphs>163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2024-03-14T00:42:00Z</dcterms:created>
  <dc:creator>Быстров Олег Геннадьевич</dc:creator>
  <dc:description/>
  <dc:language>ru-RU</dc:language>
  <cp:lastModifiedBy>sultanovmm@corp.gidroogk.com</cp:lastModifiedBy>
  <cp:lastPrinted>2023-04-21T04:33:00Z</cp:lastPrinted>
  <dcterms:modified xsi:type="dcterms:W3CDTF">2026-10-14T16:52:03Z</dcterms:modified>
  <cp:revision>50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