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tabs>
          <w:tab w:val="clear" w:pos="708"/>
          <w:tab w:val="left" w:pos="6926" w:leader="none"/>
        </w:tabs>
        <w:jc w:val="right"/>
        <w:rPr>
          <w:bCs/>
        </w:rPr>
      </w:pPr>
      <w:r>
        <w:rPr>
          <w:bCs/>
        </w:rPr>
      </w:r>
    </w:p>
    <w:p>
      <w:pPr>
        <w:pStyle w:val="Normal"/>
        <w:tabs>
          <w:tab w:val="clear" w:pos="708"/>
          <w:tab w:val="left" w:pos="6926" w:leader="none"/>
        </w:tabs>
        <w:jc w:val="right"/>
        <w:rPr>
          <w:bCs/>
        </w:rPr>
      </w:pPr>
      <w:r>
        <w:rPr>
          <w:bCs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  <w:t>ОКПД2 28.62.61.120: Поставка заднего моста для ТС марки REDSTAR T28/28 для нужд Хабаровского строительного участка Дальневосточного филиала АО «ТК РусГидро».</w:t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i/>
          <w:i/>
          <w:sz w:val="26"/>
          <w:szCs w:val="26"/>
        </w:rPr>
      </w:pPr>
      <w:r>
        <w:rPr>
          <w:b/>
          <w:i/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2278_3913469904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280_3913469904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282_3913469904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284_3913469904">
            <w:r>
              <w:rPr>
                <w:webHidden/>
                <w:rStyle w:val="Style14"/>
                <w:vanish w:val="false"/>
              </w:rPr>
              <w:t>ОКПД2 29.32.30.230: Поставка заднего моста для ТС марки REDSTAR T28/28 для нужд Хабаровского строительного участка Дальневосточного филиала АО «ТК РусГидро».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286_3913469904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288_3913469904">
            <w:r>
              <w:rPr>
                <w:webHidden/>
                <w:rStyle w:val="Style14"/>
                <w:vanish w:val="false"/>
              </w:rPr>
              <w:t>Поставка заднего моста для ремонта экскаватора-погрузчика марки REDSTAR T28/28 для нужд Хабаровского строительного участка Дальневосточного филиала АО «ТК РусГидро».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290_3913469904">
            <w:r>
              <w:rPr>
                <w:webHidden/>
                <w:rStyle w:val="Style14"/>
                <w:vanish w:val="false"/>
              </w:rPr>
              <w:t>2.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292_3913469904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294_3913469904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296_3913469904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298_3913469904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300_3913469904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302_3913469904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304_3913469904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4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2306_3913469904">
            <w:r>
              <w:rPr>
                <w:webHidden/>
                <w:rStyle w:val="Style14"/>
                <w:iCs/>
                <w:vanish w:val="false"/>
              </w:rPr>
              <w:t xml:space="preserve"> </w:t>
            </w:r>
            <w:r>
              <w:rPr>
                <w:rStyle w:val="Style14"/>
                <w:iCs/>
              </w:rPr>
              <w:t>WZL100DR или эквивалент</w:t>
            </w:r>
            <w:r>
              <w:rPr>
                <w:rStyle w:val="Style14"/>
              </w:rPr>
              <w:tab/>
              <w:t>4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ListParagraph"/>
        <w:ind w:hanging="0" w:left="10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before="0" w:after="0"/>
        <w:ind w:hanging="0" w:left="0"/>
        <w:jc w:val="center"/>
        <w:rPr>
          <w:sz w:val="26"/>
          <w:szCs w:val="26"/>
        </w:rPr>
      </w:pPr>
      <w:bookmarkStart w:id="0" w:name="__RefHeading___Toc2278_3913469904"/>
      <w:bookmarkStart w:id="1" w:name="_Toc51339692"/>
      <w:bookmarkStart w:id="2" w:name="_Toc75446566"/>
      <w:bookmarkEnd w:id="0"/>
      <w:r>
        <w:rPr>
          <w:sz w:val="26"/>
          <w:szCs w:val="26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spacing w:before="120" w:after="60"/>
        <w:ind w:hanging="0" w:left="567"/>
        <w:rPr/>
      </w:pPr>
      <w:bookmarkStart w:id="3" w:name="__RefHeading___Toc2280_3913469904"/>
      <w:bookmarkStart w:id="4" w:name="_Toc46743505"/>
      <w:bookmarkStart w:id="5" w:name="_Toc75446567"/>
      <w:bookmarkEnd w:id="3"/>
      <w:r>
        <w:rPr/>
        <w:t>Обозначения и сокращения</w:t>
      </w:r>
      <w:bookmarkEnd w:id="4"/>
      <w:bookmarkEnd w:id="5"/>
    </w:p>
    <w:tbl>
      <w:tblPr>
        <w:tblStyle w:val="af"/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5"/>
        <w:gridCol w:w="8795"/>
      </w:tblGrid>
      <w:tr>
        <w:trPr/>
        <w:tc>
          <w:tcPr>
            <w:tcW w:w="1115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</w:t>
            </w:r>
          </w:p>
        </w:tc>
        <w:tc>
          <w:tcPr>
            <w:tcW w:w="8795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Транспортное средство</w:t>
            </w:r>
          </w:p>
        </w:tc>
      </w:tr>
    </w:tbl>
    <w:p>
      <w:pPr>
        <w:pStyle w:val="Heading4"/>
        <w:numPr>
          <w:ilvl w:val="1"/>
          <w:numId w:val="3"/>
        </w:numPr>
        <w:tabs>
          <w:tab w:val="clear" w:pos="708"/>
          <w:tab w:val="left" w:pos="851" w:leader="none"/>
          <w:tab w:val="left" w:pos="1134" w:leader="none"/>
        </w:tabs>
        <w:spacing w:before="0" w:after="0"/>
        <w:ind w:hanging="0" w:left="567"/>
        <w:rPr/>
      </w:pPr>
      <w:bookmarkStart w:id="6" w:name="__RefHeading___Toc2282_3913469904"/>
      <w:bookmarkStart w:id="7" w:name="_Toc46743506"/>
      <w:bookmarkStart w:id="8" w:name="_Toc75446568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Heading4"/>
        <w:numPr>
          <w:ilvl w:val="0"/>
          <w:numId w:val="0"/>
        </w:numPr>
        <w:ind w:firstLine="567" w:left="0"/>
        <w:jc w:val="both"/>
        <w:rPr>
          <w:b w:val="false"/>
          <w:bCs w:val="false"/>
          <w:lang w:val="ru-RU"/>
        </w:rPr>
      </w:pPr>
      <w:bookmarkStart w:id="9" w:name="__RefHeading___Toc2284_3913469904"/>
      <w:bookmarkEnd w:id="9"/>
      <w:r>
        <w:rPr>
          <w:b w:val="false"/>
          <w:bCs w:val="false"/>
          <w:lang w:val="ru-RU"/>
        </w:rPr>
        <w:t>ОКПД2 28.62.61.120: Поставка заднего моста для ТС марки REDSTAR T28/28 для нужд Хабаровского строительного участка Дальневосточного филиала АО «ТК РусГидро».</w:t>
      </w:r>
      <w:bookmarkStart w:id="10" w:name="_Toc75446569"/>
      <w:r>
        <w:rPr>
          <w:b w:val="false"/>
          <w:bCs w:val="false"/>
          <w:lang w:val="ru-RU"/>
        </w:rPr>
        <w:t xml:space="preserve"> </w:t>
      </w:r>
    </w:p>
    <w:p>
      <w:pPr>
        <w:pStyle w:val="Heading4"/>
        <w:numPr>
          <w:ilvl w:val="1"/>
          <w:numId w:val="3"/>
        </w:numPr>
        <w:ind w:hanging="0" w:left="567"/>
        <w:rPr/>
      </w:pPr>
      <w:bookmarkStart w:id="11" w:name="__RefHeading___Toc2286_3913469904"/>
      <w:bookmarkStart w:id="12" w:name="_Toc46743507"/>
      <w:bookmarkEnd w:id="11"/>
      <w:r>
        <w:rPr/>
        <w:t xml:space="preserve">Цель </w:t>
      </w:r>
      <w:bookmarkEnd w:id="12"/>
      <w:r>
        <w:rPr/>
        <w:t xml:space="preserve">использования закупаемой продукции </w:t>
      </w:r>
      <w:bookmarkEnd w:id="10"/>
      <w:r>
        <w:rPr/>
        <w:t xml:space="preserve"> </w:t>
      </w:r>
    </w:p>
    <w:p>
      <w:pPr>
        <w:pStyle w:val="Heading4"/>
        <w:numPr>
          <w:ilvl w:val="0"/>
          <w:numId w:val="0"/>
        </w:numPr>
        <w:ind w:firstLine="426" w:left="0"/>
        <w:jc w:val="both"/>
        <w:rPr>
          <w:b w:val="false"/>
          <w:lang w:val="ru-RU" w:eastAsia="ru-RU"/>
        </w:rPr>
      </w:pPr>
      <w:bookmarkStart w:id="13" w:name="__RefHeading___Toc2288_3913469904"/>
      <w:bookmarkEnd w:id="13"/>
      <w:r>
        <w:rPr>
          <w:b w:val="false"/>
          <w:bCs w:val="false"/>
          <w:lang w:val="ru-RU" w:eastAsia="ru-RU"/>
        </w:rPr>
        <w:t xml:space="preserve">Поставка заднего моста </w:t>
      </w:r>
      <w:r>
        <w:rPr>
          <w:b w:val="false"/>
          <w:lang w:val="ru-RU" w:eastAsia="ru-RU"/>
        </w:rPr>
        <w:t xml:space="preserve">для ремонта </w:t>
      </w: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экскаватора-погрузчика марки REDSTAR T28/28</w:t>
      </w:r>
      <w:r>
        <w:rPr>
          <w:b w:val="false"/>
          <w:bCs w:val="false"/>
          <w:lang w:val="ru-RU"/>
        </w:rPr>
        <w:t xml:space="preserve"> для нужд</w:t>
      </w:r>
      <w:r>
        <w:rPr>
          <w:b w:val="false"/>
          <w:lang w:val="ru-RU" w:eastAsia="ru-RU"/>
        </w:rPr>
        <w:t xml:space="preserve"> Хабаровского строительного участка Дальневосточного филиала </w:t>
      </w:r>
      <w:r>
        <w:rPr>
          <w:b w:val="false"/>
          <w:bCs w:val="false"/>
          <w:lang w:val="ru-RU"/>
        </w:rPr>
        <w:t>АО «ТК РусГидро»</w:t>
      </w:r>
      <w:r>
        <w:rPr>
          <w:b w:val="false"/>
          <w:lang w:val="ru-RU" w:eastAsia="ru-RU"/>
        </w:rPr>
        <w:t>.</w:t>
      </w:r>
    </w:p>
    <w:p>
      <w:pPr>
        <w:pStyle w:val="Heading1"/>
        <w:numPr>
          <w:ilvl w:val="0"/>
          <w:numId w:val="3"/>
        </w:numPr>
        <w:ind w:hanging="0" w:left="0"/>
        <w:rPr>
          <w:sz w:val="26"/>
          <w:szCs w:val="26"/>
        </w:rPr>
      </w:pPr>
      <w:bookmarkStart w:id="14" w:name="__RefHeading___Toc2290_3913469904"/>
      <w:bookmarkStart w:id="15" w:name="_Toc51339693"/>
      <w:bookmarkStart w:id="16" w:name="_Toc75446573"/>
      <w:bookmarkStart w:id="17" w:name="_Toc75446572_Копия_1"/>
      <w:bookmarkEnd w:id="14"/>
      <w:bookmarkEnd w:id="17"/>
      <w:r>
        <w:rPr>
          <w:sz w:val="26"/>
          <w:szCs w:val="26"/>
        </w:rPr>
        <w:t>Требования к продукции</w:t>
      </w:r>
      <w:bookmarkEnd w:id="15"/>
      <w:bookmarkEnd w:id="16"/>
    </w:p>
    <w:p>
      <w:pPr>
        <w:pStyle w:val="Heading4"/>
        <w:numPr>
          <w:ilvl w:val="1"/>
          <w:numId w:val="3"/>
        </w:numPr>
        <w:tabs>
          <w:tab w:val="clear" w:pos="708"/>
          <w:tab w:val="left" w:pos="1134" w:leader="none"/>
        </w:tabs>
        <w:spacing w:before="0" w:after="0"/>
        <w:ind w:hanging="0" w:left="567"/>
        <w:rPr/>
      </w:pPr>
      <w:bookmarkStart w:id="18" w:name="__RefHeading___Toc2292_3913469904"/>
      <w:bookmarkStart w:id="19" w:name="_Toc75446574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3"/>
        </w:numPr>
        <w:tabs>
          <w:tab w:val="clear" w:pos="708"/>
          <w:tab w:val="left" w:pos="1134" w:leader="none"/>
        </w:tabs>
        <w:spacing w:before="0" w:after="0"/>
        <w:ind w:hanging="567" w:left="567"/>
        <w:rPr/>
      </w:pPr>
      <w:bookmarkStart w:id="20" w:name="__RefHeading___Toc2294_3913469904"/>
      <w:bookmarkStart w:id="21" w:name="_Toc75446575"/>
      <w:bookmarkEnd w:id="20"/>
      <w:r>
        <w:rPr/>
        <w:t>Перечень и объем закупаемой продукции</w:t>
      </w:r>
      <w:bookmarkEnd w:id="21"/>
    </w:p>
    <w:p>
      <w:pPr>
        <w:pStyle w:val="Heading1"/>
        <w:numPr>
          <w:ilvl w:val="0"/>
          <w:numId w:val="0"/>
        </w:numPr>
        <w:ind w:hanging="0" w:left="567"/>
        <w:rPr>
          <w:sz w:val="24"/>
          <w:szCs w:val="24"/>
        </w:rPr>
      </w:pPr>
      <w:bookmarkStart w:id="22" w:name="__RefHeading___Toc2296_3913469904"/>
      <w:bookmarkStart w:id="23" w:name="_Toc75446576"/>
      <w:bookmarkStart w:id="24" w:name="_Toc51339695"/>
      <w:bookmarkEnd w:id="22"/>
      <w:r>
        <w:rPr>
          <w:sz w:val="24"/>
          <w:szCs w:val="24"/>
        </w:rPr>
        <w:t xml:space="preserve">Таблица 1.1 Перечень </w:t>
      </w:r>
      <w:bookmarkEnd w:id="24"/>
      <w:r>
        <w:rPr>
          <w:sz w:val="24"/>
          <w:szCs w:val="24"/>
        </w:rPr>
        <w:t>и объем закупаемой продукции</w:t>
      </w:r>
      <w:bookmarkEnd w:id="23"/>
    </w:p>
    <w:tbl>
      <w:tblPr>
        <w:tblW w:w="996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16"/>
        <w:gridCol w:w="6258"/>
        <w:gridCol w:w="1436"/>
        <w:gridCol w:w="1549"/>
      </w:tblGrid>
      <w:tr>
        <w:trPr>
          <w:trHeight w:val="83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44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8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hanging="0" w:left="0" w:right="-421"/>
              <w:rPr/>
            </w:pPr>
            <w:r>
              <w:rPr/>
              <w:t>1.</w:t>
            </w: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spacing w:before="0" w:after="120"/>
              <w:ind w:hanging="0" w:left="0" w:right="835"/>
              <w:rPr>
                <w:rFonts w:eastAsia="Times New Roman" w:cs="Arial"/>
                <w:color w:val="auto"/>
                <w:spacing w:val="-5"/>
                <w:sz w:val="14"/>
                <w:szCs w:val="1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pacing w:val="-5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spacing w:val="-5"/>
                <w:kern w:val="0"/>
                <w:sz w:val="22"/>
                <w:szCs w:val="22"/>
                <w:lang w:val="ru-RU" w:eastAsia="ru-RU" w:bidi="ar-SA"/>
              </w:rPr>
              <w:t>Мост в сборе (задний)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sz w:val="26"/>
          <w:szCs w:val="26"/>
          <w:shd w:fill="FFFF99" w:val="clear"/>
        </w:rPr>
      </w:pPr>
      <w:r>
        <w:rPr>
          <w:bCs/>
          <w:sz w:val="26"/>
          <w:szCs w:val="26"/>
          <w:shd w:fill="FFFF99" w:val="clear"/>
        </w:rPr>
      </w:r>
    </w:p>
    <w:p>
      <w:pPr>
        <w:pStyle w:val="Heading3"/>
        <w:numPr>
          <w:ilvl w:val="2"/>
          <w:numId w:val="3"/>
        </w:numPr>
        <w:spacing w:before="0" w:after="0"/>
        <w:ind w:firstLine="567" w:left="0"/>
        <w:jc w:val="center"/>
        <w:rPr/>
      </w:pPr>
      <w:bookmarkStart w:id="25" w:name="__RefHeading___Toc2298_3913469904"/>
      <w:bookmarkStart w:id="26" w:name="_Toc75446578"/>
      <w:bookmarkStart w:id="27" w:name="_Toc51339696"/>
      <w:bookmarkEnd w:id="25"/>
      <w:r>
        <w:rPr/>
        <w:t xml:space="preserve">Требования </w:t>
      </w:r>
      <w:bookmarkEnd w:id="27"/>
      <w:r>
        <w:rPr/>
        <w:t>к срокам поставки продукции и оказания сопутствующих услуг</w:t>
      </w:r>
      <w:bookmarkEnd w:id="26"/>
    </w:p>
    <w:p>
      <w:pPr>
        <w:pStyle w:val="Heading1"/>
        <w:numPr>
          <w:ilvl w:val="0"/>
          <w:numId w:val="0"/>
        </w:numPr>
        <w:ind w:hanging="0" w:left="567"/>
        <w:rPr>
          <w:sz w:val="24"/>
          <w:szCs w:val="24"/>
          <w:lang w:val="ru-RU"/>
        </w:rPr>
      </w:pPr>
      <w:bookmarkStart w:id="28" w:name="__RefHeading___Toc2300_3913469904"/>
      <w:bookmarkStart w:id="29" w:name="_Toc75446579"/>
      <w:bookmarkStart w:id="30" w:name="_Toc50125127"/>
      <w:bookmarkStart w:id="31" w:name="_Toc51339697"/>
      <w:bookmarkStart w:id="32" w:name="_Toc50125126_Копия_1"/>
      <w:bookmarkEnd w:id="28"/>
      <w:bookmarkEnd w:id="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3" w:name="_Hlk50465284"/>
      <w:r>
        <w:rPr>
          <w:sz w:val="24"/>
          <w:szCs w:val="24"/>
        </w:rPr>
        <w:t xml:space="preserve">Требования по срокам </w:t>
      </w:r>
      <w:bookmarkEnd w:id="30"/>
      <w:bookmarkEnd w:id="31"/>
      <w:bookmarkEnd w:id="33"/>
      <w:r>
        <w:rPr>
          <w:sz w:val="24"/>
          <w:szCs w:val="24"/>
          <w:lang w:val="ru-RU"/>
        </w:rPr>
        <w:t>поставки продукции</w:t>
      </w:r>
      <w:bookmarkEnd w:id="29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2"/>
        <w:gridCol w:w="3105"/>
        <w:gridCol w:w="3274"/>
        <w:gridCol w:w="3118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b/>
                <w:szCs w:val="22"/>
              </w:rPr>
            </w:pPr>
            <w:bookmarkStart w:id="34" w:name="_Toc46743510"/>
            <w:r>
              <w:rPr>
                <w:b/>
                <w:szCs w:val="22"/>
              </w:rPr>
              <w:t>4</w:t>
            </w:r>
            <w:bookmarkEnd w:id="34"/>
          </w:p>
        </w:tc>
      </w:tr>
      <w:tr>
        <w:trPr>
          <w:trHeight w:val="417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ОКПД2 28.62.61.120: Поставка заднего моста для ТС марки REDSTAR T28/28 для нужд Хабаровского строительного участка Дальневосточного филиала АО «ТК РусГидро».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момента (даты) оплаты авансового платежа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 </w:t>
            </w:r>
            <w:r>
              <w:rPr>
                <w:bCs/>
                <w:sz w:val="22"/>
                <w:szCs w:val="22"/>
                <w:shd w:fill="FFFFFF" w:val="clear"/>
              </w:rPr>
              <w:t xml:space="preserve">течение 10 (десяти) </w:t>
            </w:r>
            <w:r>
              <w:rPr>
                <w:bCs/>
                <w:sz w:val="22"/>
                <w:szCs w:val="22"/>
                <w:shd w:fill="FFFFFF" w:val="clear"/>
              </w:rPr>
              <w:t>календарных</w:t>
            </w:r>
            <w:r>
              <w:rPr>
                <w:sz w:val="22"/>
                <w:szCs w:val="22"/>
              </w:rPr>
              <w:t xml:space="preserve"> дней 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tabs>
          <w:tab w:val="clear" w:pos="708"/>
          <w:tab w:val="left" w:pos="851" w:leader="none"/>
        </w:tabs>
        <w:ind w:hanging="6" w:left="567"/>
        <w:rPr/>
      </w:pPr>
      <w:bookmarkStart w:id="35" w:name="__RefHeading___Toc2302_3913469904"/>
      <w:bookmarkStart w:id="36" w:name="_Toc51339698"/>
      <w:bookmarkStart w:id="37" w:name="_Toc75446581"/>
      <w:bookmarkStart w:id="38" w:name="_Toc46743511"/>
      <w:bookmarkEnd w:id="35"/>
      <w:r>
        <w:rPr/>
        <w:t xml:space="preserve">Требования к </w:t>
      </w:r>
      <w:bookmarkEnd w:id="38"/>
      <w:r>
        <w:rPr/>
        <w:t>качеству продукции</w:t>
      </w:r>
      <w:bookmarkEnd w:id="37"/>
    </w:p>
    <w:p>
      <w:pPr>
        <w:pStyle w:val="Heading1"/>
        <w:numPr>
          <w:ilvl w:val="0"/>
          <w:numId w:val="0"/>
        </w:numPr>
        <w:tabs>
          <w:tab w:val="clear" w:pos="708"/>
          <w:tab w:val="left" w:pos="851" w:leader="none"/>
        </w:tabs>
        <w:ind w:firstLine="284" w:left="0"/>
        <w:rPr>
          <w:sz w:val="24"/>
          <w:szCs w:val="24"/>
        </w:rPr>
      </w:pPr>
      <w:bookmarkStart w:id="39" w:name="__RefHeading___Toc2304_3913469904"/>
      <w:bookmarkEnd w:id="39"/>
      <w:r>
        <w:rPr>
          <w:sz w:val="24"/>
          <w:szCs w:val="24"/>
        </w:rPr>
        <w:t xml:space="preserve"> </w:t>
      </w:r>
      <w:bookmarkStart w:id="40" w:name="_Toc75446582"/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0"/>
      <w:r>
        <w:rPr>
          <w:sz w:val="24"/>
          <w:szCs w:val="24"/>
        </w:rPr>
        <w:t xml:space="preserve"> </w:t>
      </w:r>
      <w:bookmarkEnd w:id="36"/>
    </w:p>
    <w:p>
      <w:pPr>
        <w:pStyle w:val="Normal"/>
        <w:tabs>
          <w:tab w:val="clear" w:pos="708"/>
          <w:tab w:val="left" w:pos="851" w:leader="none"/>
        </w:tabs>
        <w:rPr>
          <w:rStyle w:val="Style8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Наименование: ОКПД2 28.62.61.120: Поставка заднего моста для ТС марки REDSTAR T28/28 для нужд Хабаровского строительного участка Дальневосточного филиала АО «ТК РусГидро».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1c"/>
        <w:tblW w:w="150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5"/>
        <w:gridCol w:w="2127"/>
        <w:gridCol w:w="2126"/>
        <w:gridCol w:w="1275"/>
        <w:gridCol w:w="1700"/>
        <w:gridCol w:w="9"/>
        <w:gridCol w:w="1693"/>
        <w:gridCol w:w="2147"/>
        <w:gridCol w:w="9"/>
        <w:gridCol w:w="1409"/>
        <w:gridCol w:w="1679"/>
      </w:tblGrid>
      <w:tr>
        <w:trPr>
          <w:trHeight w:val="311" w:hRule="atLeast"/>
        </w:trPr>
        <w:tc>
          <w:tcPr>
            <w:tcW w:w="84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12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40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заказчика</w:t>
            </w:r>
          </w:p>
        </w:tc>
        <w:tc>
          <w:tcPr>
            <w:tcW w:w="340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5244" w:type="dxa"/>
            <w:gridSpan w:val="4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0" w:hRule="atLeast"/>
        </w:trPr>
        <w:tc>
          <w:tcPr>
            <w:tcW w:w="84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212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</w:r>
          </w:p>
        </w:tc>
        <w:tc>
          <w:tcPr>
            <w:tcW w:w="340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5244" w:type="dxa"/>
            <w:gridSpan w:val="4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70" w:hRule="atLeast"/>
        </w:trPr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55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2127" w:type="dxa"/>
            <w:tcBorders>
              <w:bottom w:val="nil"/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Каталожный номер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275" w:type="dxa"/>
            <w:tcBorders>
              <w:bottom w:val="nil"/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Каталожный номер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418" w:type="dxa"/>
            <w:gridSpan w:val="2"/>
            <w:tcBorders>
              <w:bottom w:val="nil"/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Производитель, страна происхождения</w:t>
            </w:r>
          </w:p>
        </w:tc>
      </w:tr>
      <w:tr>
        <w:trPr>
          <w:trHeight w:val="70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1.1.1</w:t>
            </w:r>
          </w:p>
        </w:tc>
        <w:tc>
          <w:tcPr>
            <w:tcW w:w="2127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ind w:hanging="0" w:left="0" w:right="835"/>
              <w:rPr>
                <w:rFonts w:ascii="Times New Roman" w:hAnsi="Times New Roman"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  <w:t xml:space="preserve">Мост  в сборе (задний) </w:t>
            </w:r>
            <w:r>
              <w:rPr>
                <w:rFonts w:eastAsia="Times New Roman" w:cs="Times New Roman"/>
                <w:b w:val="false"/>
                <w:bCs w:val="false"/>
                <w:iCs/>
                <w:color w:val="auto"/>
                <w:spacing w:val="-5"/>
                <w:kern w:val="0"/>
                <w:sz w:val="24"/>
                <w:szCs w:val="24"/>
                <w:lang w:val="ru-RU" w:eastAsia="ru-RU" w:bidi="ar-SA"/>
              </w:rPr>
              <w:t>REDSTAR T28/28</w:t>
            </w:r>
            <w:r>
              <w:rPr>
                <w:rFonts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ind w:hanging="0" w:left="0" w:right="835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Heading2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120" w:after="0"/>
              <w:ind w:hanging="0" w:left="113" w:right="68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</w:pPr>
            <w:bookmarkStart w:id="41" w:name="__RefHeading___Toc2306_3913469904"/>
            <w:bookmarkEnd w:id="41"/>
            <w:r>
              <w:rPr>
                <w:rFonts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  <w:t>WZL100DR или эквивалент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ind w:hanging="0" w:left="0" w:right="835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ind w:hanging="0" w:left="0" w:right="835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Arial" w:ascii="Calibri" w:hAnsi="Calibri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1"/>
                <w:szCs w:val="21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21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14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1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249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</w:t>
            </w:r>
          </w:p>
        </w:tc>
        <w:tc>
          <w:tcPr>
            <w:tcW w:w="552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17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4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2.1</w:t>
            </w:r>
          </w:p>
        </w:tc>
        <w:tc>
          <w:tcPr>
            <w:tcW w:w="552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Качество и безопасность товара должны соответствовать техническому регламенту Таможенного союза ТР ТС 018/2011 "О безопасности колесных транспортных средств".</w:t>
            </w:r>
          </w:p>
        </w:tc>
        <w:tc>
          <w:tcPr>
            <w:tcW w:w="17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4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688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552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7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4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3.1</w:t>
            </w:r>
          </w:p>
        </w:tc>
        <w:tc>
          <w:tcPr>
            <w:tcW w:w="2127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340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  <w:shd w:fill="FFFFFF" w:val="clear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Хабаровский край , г Хабаровск (терминал транспортной компании)</w:t>
            </w:r>
          </w:p>
        </w:tc>
        <w:tc>
          <w:tcPr>
            <w:tcW w:w="17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4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47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упаковке</w:t>
            </w:r>
          </w:p>
        </w:tc>
        <w:tc>
          <w:tcPr>
            <w:tcW w:w="340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Маркировка и (или) упаковка продукции должна обеспечивать Заказчику возможность идентифицировать продукцию.</w:t>
            </w:r>
          </w:p>
        </w:tc>
        <w:tc>
          <w:tcPr>
            <w:tcW w:w="17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4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233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4. </w:t>
            </w:r>
          </w:p>
        </w:tc>
        <w:tc>
          <w:tcPr>
            <w:tcW w:w="552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эксплуатации, обеспечению и утилизации</w:t>
            </w:r>
          </w:p>
        </w:tc>
        <w:tc>
          <w:tcPr>
            <w:tcW w:w="17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4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4.1</w:t>
            </w:r>
          </w:p>
        </w:tc>
        <w:tc>
          <w:tcPr>
            <w:tcW w:w="5528" w:type="dxa"/>
            <w:gridSpan w:val="3"/>
            <w:tcBorders/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Продукция должна обеспечивать взаимодействие с транспортным средством Заказчика, а именно при установке на </w:t>
            </w:r>
            <w:r>
              <w:rPr>
                <w:rFonts w:eastAsia="Times New Roman" w:cs="Times New Roman"/>
                <w:b w:val="false"/>
                <w:bCs w:val="false"/>
                <w:iCs/>
                <w:color w:val="auto"/>
                <w:spacing w:val="-5"/>
                <w:kern w:val="0"/>
                <w:sz w:val="24"/>
                <w:szCs w:val="24"/>
                <w:lang w:val="ru-RU" w:eastAsia="ru-RU" w:bidi="ar-SA"/>
              </w:rPr>
              <w:t>экскаватор-погрузчик марки REDSTAR T28/28</w:t>
            </w:r>
            <w:r>
              <w:rPr>
                <w:rFonts w:eastAsia="Calibri" w:cs="Times New Roman"/>
                <w:b w:val="false"/>
                <w:bCs w:val="false"/>
                <w:iCs/>
                <w:color w:val="000000" w:themeColor="text1"/>
                <w:spacing w:val="-5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 продукция должна обеспечивать устойчивую, надёжную и безопасную работу агрегатов и узлов автомобиля. Закупаемая продукция может поставляться как новая так и бывшая в употреблении, продукция должна быть совместимой для установки на </w:t>
            </w:r>
            <w:r>
              <w:rPr>
                <w:rFonts w:eastAsia="Times New Roman" w:cs="Times New Roman"/>
                <w:b w:val="false"/>
                <w:bCs w:val="false"/>
                <w:iCs/>
                <w:color w:val="auto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экскаватор-погрузчик марки REDSTAR T28/28 </w:t>
            </w: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 2023 года выпуска.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Продукция должна быть не прошедшей ремонт, в том числе восстановление и замену составных частей, восстановление потребительских свойств.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Год изготовления товара – не ранее 2023.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4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572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</w:t>
            </w:r>
          </w:p>
        </w:tc>
        <w:tc>
          <w:tcPr>
            <w:tcW w:w="552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7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4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2127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Срок гарантии</w:t>
            </w:r>
          </w:p>
        </w:tc>
        <w:tc>
          <w:tcPr>
            <w:tcW w:w="340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Гарантийный срок на Товар равен гарантийному сроку производителя и начинает течь с даты подписания Сторонами Накладной ТОРГ-12/УПД.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Установленный в отношении Товара гарантийный срок распространяется на все составные части и комплектующие Товара.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4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562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6. </w:t>
            </w:r>
          </w:p>
        </w:tc>
        <w:tc>
          <w:tcPr>
            <w:tcW w:w="552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4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6.1</w:t>
            </w:r>
          </w:p>
        </w:tc>
        <w:tc>
          <w:tcPr>
            <w:tcW w:w="2127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40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4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851" w:right="851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ind w:hanging="0" w:left="36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3.Требования к документации по ценообразованию на этапе заключения (исполнения) договора</w:t>
      </w:r>
    </w:p>
    <w:p>
      <w:pPr>
        <w:pStyle w:val="ListParagraph"/>
        <w:ind w:hanging="0" w:left="1080"/>
        <w:jc w:val="both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ListParagraph"/>
        <w:numPr>
          <w:ilvl w:val="1"/>
          <w:numId w:val="10"/>
        </w:numPr>
        <w:tabs>
          <w:tab w:val="clear" w:pos="708"/>
          <w:tab w:val="left" w:pos="851" w:leader="none"/>
        </w:tabs>
        <w:ind w:firstLine="426" w:left="0"/>
        <w:jc w:val="both"/>
        <w:rPr>
          <w:iCs/>
          <w:color w:val="000000" w:themeColor="text1"/>
          <w:lang w:eastAsia="x-none"/>
        </w:rPr>
      </w:pPr>
      <w:r>
        <w:rPr>
          <w:rFonts w:eastAsia="Times New Roman"/>
        </w:rPr>
        <w:t>В цену продукции должны быть включены все затраты, связанные с исполнением обязательств по поставке продукции, в том числе, все налоги, сборы и пошлины, расходы на доставку Продукции до места поставки, погрузку и разгрузку, иные расходы, связанные с исполнением обязательств по Договору</w:t>
      </w:r>
      <w:r>
        <w:rPr>
          <w:iCs/>
          <w:color w:val="000000" w:themeColor="text1"/>
          <w:lang w:eastAsia="x-none"/>
        </w:rPr>
        <w:t>.</w:t>
      </w:r>
    </w:p>
    <w:p>
      <w:pPr>
        <w:pStyle w:val="ListParagraph"/>
        <w:numPr>
          <w:ilvl w:val="1"/>
          <w:numId w:val="11"/>
        </w:numPr>
        <w:tabs>
          <w:tab w:val="clear" w:pos="708"/>
          <w:tab w:val="left" w:pos="851" w:leader="none"/>
        </w:tabs>
        <w:ind w:firstLine="426" w:left="0"/>
        <w:jc w:val="both"/>
        <w:rPr>
          <w:iCs/>
          <w:color w:val="000000" w:themeColor="text1"/>
          <w:lang w:eastAsia="x-none"/>
        </w:rPr>
      </w:pPr>
      <w:r>
        <w:rPr/>
        <w:t>Цена остается фиксированной и не подлежит изменению с момента подведения итогов закупочных процедур и на все время действия договора.</w:t>
      </w:r>
    </w:p>
    <w:p>
      <w:pPr>
        <w:pStyle w:val="Normal"/>
        <w:ind w:firstLine="851" w:left="720"/>
        <w:rPr>
          <w:iCs/>
          <w:color w:val="000000" w:themeColor="text1"/>
          <w:sz w:val="24"/>
          <w:szCs w:val="24"/>
          <w:lang w:eastAsia="x-none"/>
        </w:rPr>
      </w:pPr>
      <w:r>
        <w:rPr>
          <w:iCs/>
          <w:color w:val="000000" w:themeColor="text1"/>
          <w:sz w:val="24"/>
          <w:szCs w:val="24"/>
          <w:lang w:eastAsia="x-none"/>
        </w:rPr>
      </w:r>
    </w:p>
    <w:p>
      <w:pPr>
        <w:pStyle w:val="Normal"/>
        <w:ind w:firstLine="851" w:left="720"/>
        <w:rPr>
          <w:color w:val="1F4E79"/>
        </w:rPr>
      </w:pPr>
      <w:r>
        <w:rPr>
          <w:color w:val="1F4E79"/>
        </w:rPr>
      </w:r>
    </w:p>
    <w:p>
      <w:pPr>
        <w:pStyle w:val="Normal"/>
        <w:ind w:firstLine="851" w:left="720"/>
        <w:rPr>
          <w:color w:val="1F497D"/>
          <w:lang w:eastAsia="en-US"/>
        </w:rPr>
      </w:pPr>
      <w:r>
        <w:rPr>
          <w:color w:val="1F497D"/>
          <w:lang w:eastAsia="en-US"/>
        </w:rPr>
      </w:r>
    </w:p>
    <w:p>
      <w:pPr>
        <w:pStyle w:val="Normal"/>
        <w:tabs>
          <w:tab w:val="clear" w:pos="708"/>
          <w:tab w:val="left" w:pos="8364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contextualSpacing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6"/>
        <w:sz w:val="26"/>
        <w:spacing w:val="0"/>
        <w:i w:val="false"/>
        <w:u w:val="none"/>
        <w:b/>
        <w:kern w:val="0"/>
        <w:effect w:val="none"/>
        <w:szCs w:val="26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7"/>
    <w:lvlOverride w:ilvl="0">
      <w:startOverride w:val="3"/>
    </w:lvlOverride>
    <w:lvlOverride w:ilvl="1">
      <w:startOverride w:val="1"/>
    </w:lvlOverride>
  </w:num>
  <w:num w:numId="11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numPr>
        <w:ilvl w:val="2"/>
        <w:numId w:val="3"/>
      </w:numPr>
      <w:spacing w:before="120" w:after="0"/>
      <w:ind w:hanging="0" w:left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8"/>
        <w:tab w:val="left" w:pos="1120" w:leader="none"/>
        <w:tab w:val="right" w:pos="9911" w:leader="dot"/>
      </w:tabs>
      <w:ind w:firstLine="287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1" w:customStyle="1">
    <w:name w:val="List Bullet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 w:customStyle="1">
    <w:name w:val="[РГ] Текст"/>
    <w:basedOn w:val="Normal"/>
    <w:qFormat/>
    <w:rsid w:val="00ce338e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64A03-2279-4271-BFC3-0D99890B6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Application>AlterOffice/2026.2.0.0$Linux_X86_64 LibreOffice_project/bc4ef1adf80b36c7a6365f8ed6cbf29021361edd</Application>
  <AppVersion>15.0000</AppVersion>
  <Pages>7</Pages>
  <Words>778</Words>
  <Characters>5194</Characters>
  <CharactersWithSpaces>5869</CharactersWithSpaces>
  <Paragraphs>157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2024-11-19T07:12:00Z</dcterms:created>
  <dc:creator>Быстров Олег Геннадьевич</dc:creator>
  <dc:description/>
  <dc:language>ru-RU</dc:language>
  <cp:lastModifiedBy>sultanovmm@corp.gidroogk.com</cp:lastModifiedBy>
  <cp:lastPrinted>2023-05-31T01:37:00Z</cp:lastPrinted>
  <dcterms:modified xsi:type="dcterms:W3CDTF">2026-10-14T18:12:11Z</dcterms:modified>
  <cp:revision>32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