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bCs/>
          <w:i/>
          <w:i/>
          <w:iCs/>
          <w:sz w:val="22"/>
          <w:szCs w:val="22"/>
        </w:rPr>
      </w:pPr>
      <w:r>
        <w:rPr>
          <w:rFonts w:eastAsia="Calibri"/>
          <w:b/>
          <w:bCs/>
          <w:i/>
          <w:iCs/>
          <w:sz w:val="22"/>
          <w:szCs w:val="22"/>
        </w:rPr>
      </w:r>
    </w:p>
    <w:p>
      <w:pPr>
        <w:pStyle w:val="Normal"/>
        <w:bidi w:val="0"/>
        <w:jc w:val="center"/>
        <w:rPr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trike w:val="false"/>
          <w:dstrike w:val="false"/>
          <w:outline w:val="false"/>
          <w:shadow w:val="false"/>
          <w:sz w:val="22"/>
          <w:szCs w:val="22"/>
          <w:u w:val="none"/>
          <w:em w:val="none"/>
        </w:rPr>
        <w:t>ОКПД2 27.33.13.120 Поставка линейно-сцепной арматуры для неизолированного провода в рамках ремонтной и инвестиционной программ филиалов АО "ДРСК": "Амурские электрические сети", "Приморские электрические сети", "Хабаровские электрические сети", «Электрические сети ЕАО» и "Южно-Якутские электрические сети"</w:t>
      </w:r>
    </w:p>
    <w:p>
      <w:pPr>
        <w:pStyle w:val="Normal"/>
        <w:jc w:val="center"/>
        <w:rPr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/>
      </w:pPr>
      <w:r>
        <w:rPr>
          <w:b/>
          <w:bCs/>
          <w:i/>
          <w:iCs/>
          <w:sz w:val="22"/>
          <w:szCs w:val="22"/>
        </w:rPr>
        <w:t xml:space="preserve">Лот </w:t>
      </w:r>
    </w:p>
    <w:p>
      <w:pPr>
        <w:pStyle w:val="Normal"/>
        <w:jc w:val="center"/>
        <w:rPr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left="357" w:hanging="357"/>
        <w:jc w:val="center"/>
        <w:rPr>
          <w:sz w:val="22"/>
          <w:szCs w:val="22"/>
          <w:lang w:val="ru-RU"/>
        </w:rPr>
      </w:pPr>
      <w:bookmarkStart w:id="0" w:name="_Toc75446566"/>
      <w:bookmarkStart w:id="1" w:name="_Toc51339692"/>
      <w:r>
        <w:rPr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bookmarkStart w:id="2" w:name="_Toc46743506"/>
      <w:bookmarkStart w:id="3" w:name="_Toc75446568"/>
      <w:r>
        <w:rPr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i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Линейно – сцепная арматура и инструмент для неизолированного провода </w:t>
      </w:r>
    </w:p>
    <w:p>
      <w:pPr>
        <w:pStyle w:val="Heading1"/>
        <w:keepLines/>
        <w:numPr>
          <w:ilvl w:val="0"/>
          <w:numId w:val="3"/>
        </w:numPr>
        <w:spacing w:before="120" w:after="0"/>
        <w:ind w:left="357" w:hanging="357"/>
        <w:jc w:val="center"/>
        <w:rPr>
          <w:iCs/>
          <w:caps/>
          <w:sz w:val="22"/>
          <w:szCs w:val="22"/>
          <w:lang w:val="ru-RU"/>
        </w:rPr>
      </w:pPr>
      <w:bookmarkStart w:id="4" w:name="_Toc75446573"/>
      <w:bookmarkStart w:id="5" w:name="_Toc51339693"/>
      <w:bookmarkStart w:id="6" w:name="_Toc46743510"/>
      <w:bookmarkStart w:id="7" w:name="_Toc50125126"/>
      <w:bookmarkEnd w:id="6"/>
      <w:bookmarkEnd w:id="7"/>
      <w:r>
        <w:rPr>
          <w:iCs/>
          <w:sz w:val="22"/>
          <w:szCs w:val="22"/>
        </w:rPr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bookmarkStart w:id="8" w:name="_Toc75446574"/>
      <w:r>
        <w:rPr>
          <w:sz w:val="22"/>
          <w:szCs w:val="22"/>
        </w:rPr>
        <w:t>Требования к техническим и функциональным характеристикам, к конструкции изделия, материалам</w:t>
      </w:r>
      <w:r>
        <w:rPr>
          <w:sz w:val="22"/>
          <w:szCs w:val="22"/>
          <w:lang w:val="ru-RU"/>
        </w:rPr>
        <w:t>,</w:t>
      </w:r>
      <w:r>
        <w:rPr>
          <w:sz w:val="22"/>
          <w:szCs w:val="22"/>
        </w:rPr>
        <w:t xml:space="preserve"> объемам и срокам </w:t>
      </w:r>
      <w:r>
        <w:rPr>
          <w:sz w:val="22"/>
          <w:szCs w:val="22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120" w:after="0"/>
        <w:rPr>
          <w:sz w:val="22"/>
          <w:szCs w:val="22"/>
        </w:rPr>
      </w:pPr>
      <w:r>
        <w:rPr>
          <w:sz w:val="22"/>
          <w:szCs w:val="22"/>
          <w:lang w:val="ru-RU"/>
        </w:rPr>
        <w:t>Перечень и объем закупаемой продукции</w:t>
      </w:r>
    </w:p>
    <w:p>
      <w:pPr>
        <w:pStyle w:val="Heading1"/>
        <w:keepLines/>
        <w:tabs>
          <w:tab w:val="clear" w:pos="0"/>
        </w:tabs>
        <w:spacing w:before="240" w:after="0"/>
        <w:ind w:left="0" w:hanging="0"/>
        <w:rPr>
          <w:sz w:val="22"/>
          <w:szCs w:val="22"/>
        </w:rPr>
      </w:pPr>
      <w:bookmarkStart w:id="9" w:name="_Toc75446576"/>
      <w:bookmarkStart w:id="10" w:name="_Toc51339695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2.1.1.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Перечень </w:t>
      </w:r>
      <w:bookmarkEnd w:id="10"/>
      <w:r>
        <w:rPr>
          <w:sz w:val="22"/>
          <w:szCs w:val="22"/>
          <w:lang w:val="ru-RU"/>
        </w:rPr>
        <w:t>и объем закупаемой продукции</w:t>
      </w:r>
      <w:bookmarkEnd w:id="9"/>
    </w:p>
    <w:tbl>
      <w:tblPr>
        <w:tblW w:w="335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39"/>
        <w:gridCol w:w="6874"/>
        <w:gridCol w:w="1406"/>
        <w:gridCol w:w="1401"/>
      </w:tblGrid>
      <w:tr>
        <w:trPr>
          <w:trHeight w:val="460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№ </w:t>
            </w:r>
            <w:r>
              <w:rPr>
                <w:b/>
                <w:i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68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i/>
                <w:color w:val="000000"/>
                <w:sz w:val="20"/>
                <w:szCs w:val="20"/>
                <w:lang w:val="en-US"/>
              </w:rPr>
              <w:t>Наименование продукции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Ед. измер.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Кол-во.</w:t>
            </w:r>
          </w:p>
        </w:tc>
      </w:tr>
      <w:tr>
        <w:trPr>
          <w:trHeight w:val="134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105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1.1 Филиал АО «ДРСК» «Амурские электрические сети»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ВС-70/95.2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1 254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ПВС 35/50-20-02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ПВС 70/95-10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ПВС 70/95-10-2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Гаситель вибрации ГВУ-0.6-0.8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Гаситель вибрации ГВУ-1.2-1.6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А1А-120-2Т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А2А-120-2Т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А2А-50-2Т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прессуемый А2А-70-2Т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прессуемый А4А-120-2Т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прессуемый А4А-95-2Т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штыревой АШМ-12-1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штыревой АШМ-16-1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штыревой АШМ-20-1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болтовой НБ-2-6А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клиновой коушный НКК-1-1Б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спиральный НС-15.2-02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трехболтовой НБ-2-6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ответвительный прессуемый ОА-120-1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поддерживающий глухой ПГН-3-5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поддерживающий глухой ПГН-5-3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поддерживающий глухой ПГН-1-5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поддерживающий глухой ПГН-5-6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ремонтный спиральный РС-15.2-21-АС-ТРИАС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СОАС-120-3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петлевой ПС-2-1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ПА-1-1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ПА-2-2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ПС-2-1А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спиральный СС-15.2-11-АС-ТРИАС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ШС-11.4-11-АС-ТРИАС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ШС-13.5-11-АС-ТРИАС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ШС-15.2-11-АС-ТРИАС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ШС-9.6-14-АС-ТРИАС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спиральный ШС-8.4-11-АС-ТРИАС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2ПР-7-1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ПР-7-6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ПРТ-7-1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ПТМ-7-2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ПТР-7-1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регулируемое ПРР-7-1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Серьга сцепная CPC-7-16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Серьга сцепная СР-7-16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Скоба металлическая двухлапковая СК-7-1А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крепления КГП-7-1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крепления КГП-7-3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двухлапчатое У2К-7-16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однолапчатое У1-7-16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751</w:t>
            </w:r>
          </w:p>
        </w:tc>
      </w:tr>
      <w:tr>
        <w:trPr>
          <w:trHeight w:val="340" w:hRule="atLeast"/>
        </w:trPr>
        <w:tc>
          <w:tcPr>
            <w:tcW w:w="105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1.2. Филиал АО «ДРСК» «Приморские электрические сети»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ВС-35/50.2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ВС-70/95.2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ПВС 70/95-10-2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Гаситель вибрации ГВУ-0.6-0.8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А2А-120-2Т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А2А-150-2Т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А2А-50-2Т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А2А-95-2Т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А2М-50-2 медный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прессуемый А2А-70-2Т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болтовой НБ-1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болтовой НБ-2-6А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болтовой НБ-3-6Б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клиновой коушный НКК-1-1Б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трехболтовой НБ-2-6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ответвительный ШСО-13.5/13.5П-14-АС-ТРИАС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поддерживающий глухой ПГН-3-5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поддерживающий глухой ПГН-5-3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СОАС 50-3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СОАС 70-3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СОАС 95-3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СОАС-120-3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СОАС-185-3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СОМ-70-1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петлевой ПС-2-1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ПА-1-1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ПА-2-2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ПА-3-2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ПА-3-2А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ПА-4-1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ПС-1-1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ПС-2-1А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спиральный СС-15.2-11-АС-ТРИАС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ШС-13.5-11-АС-ТРИАС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ШС-15.2-11-АС-ТРИАС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ШС-18.8-11-АС-ТРИАС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ПРР-12-1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ПРТ-7-1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Патрон термитный ПАС-240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Серьга соединительная СР-12-16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Серьга сцепная CPC-7-16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Серьга сцепная СР-7-16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Скоба металлическая двухлапковая СК-7-1А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Скоба СКД-10-1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Скоба соединительная СК-16-1А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Скоба соединительная СКТ-7-1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крепления КГП-7-1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однолапчатое У1-12-16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однолапчатое У1-7-16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однолапчатое У1К-7-16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40" w:hRule="atLeast"/>
        </w:trPr>
        <w:tc>
          <w:tcPr>
            <w:tcW w:w="105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1.3.1. Филиал АО «ДРСК» «Хабаровские электрические сети» г. Хабаровск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ВС-70/95.2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1 062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А2А-50-2Т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болтовой НБ-2-6А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болтовой НБ-3-6Б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трехболтовой НБ-2-6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петлевой ПС-2-1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ПА-3-2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ПС-2-1А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спиральный СС-16.8-14-АС-ТРИАС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Серьга сцепная CPC-7-16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Серьга сцепная СР-7-16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Скоба металлическая двухлапковая СК-7-1А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однолапчатое У1-7-16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>
        <w:trPr>
          <w:trHeight w:val="340" w:hRule="atLeast"/>
        </w:trPr>
        <w:tc>
          <w:tcPr>
            <w:tcW w:w="105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1.3.2. Филиал АО «ДРСК» «Хабаровские электрические сети» г. Комсомольск-на-Амуре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ПВС 35/50-10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ПВС 35/50-10-2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ПВС 70/95-10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ПВС 70/95-10-2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трехболтовой НБ-2-6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ответвительный ШСО-13.5/13.5П-14-АС-ТРИАС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ремонтный спиральный РС-15.2/15.4-11-АС-ТРИАС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ремонтный спиральный РС-16.8-11-АС-ТРИАС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ШС-18,8/15,2-14-АС-ТРИАС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петлевой ПС-2-1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ПА-2-2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ШС-11.4-11-АС-ТРИАС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ШС-13.5-11-АС-ТРИАС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ШС-14.0-14-АЖ-ТРИАС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ШС-15.2-11-АС-ТРИАС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ШС-18.8/13.5-11-АС-ТРИАС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спиральный ответвительный ШСО-15.2/15.2П-11-АС-Триас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спиральный ШС-17.1-11-АС-ТРИАС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ПРТ-7-1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Ограничитель гололедообразования и колебания проводов и тросов ВЛ ОГК-1.7/1.3-11-16/20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Патрон термитный ПАС-120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однолапчатое У1-7-16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>
        <w:trPr>
          <w:trHeight w:val="340" w:hRule="atLeast"/>
        </w:trPr>
        <w:tc>
          <w:tcPr>
            <w:tcW w:w="105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1.4. Филиал АО «ДРСК» «Электрические сети ЕАО»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ВС-70/95.2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Гаситель вибрации ГВ-4534-02М-ТРИАС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Гаситель вибрации ГВ-5544-02М-ТРИАС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А2А-120-2Т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А2А-50-2Т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А2А-70-ЗТ медный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А2А-95-2Т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прессуемый А2А-70-2Т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болтовой НБ-2-6А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клиновой коушный НКК-1-1Б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спиральный НС-16.8/17.1-04-АС-ТРИАС (коуш К120)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трехболтовой НБ-2-6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поддерживающий глухой ПГН-2-6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поддерживающий глухой ПГН-5-3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СОАС 70-3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петлевой ПС-2-1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ПС-1-1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спиральный СС-15.2-11-АС-ТРИАС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ШС-17.1/11.4-14-АС-ТРИАС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ШС-20.4/11.4-14-АСку/АС-ТРИАС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ПР-12-6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ПРР-12-1а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ПРТ-7-1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Протектор защитный ПЗС-20.3/20.7-03-2300-ПГН-5-ТРИАС для высоковольтной линии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Протектор защитный ПЗС-20.3/20.7-13(500)-ТРИАС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Серьга соединительная СР-12-16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Серьга сцепная CPC-7-16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Серьга сцепная СР-7-16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Скоба металлическая двухлапковая СК-7-1А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Скоба соединительная СК-12-1А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крепления КГП-7-2б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крепления КГП-7-3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двухлапчатое У2-12-16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двухлапчатое У2-7-16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двухлапчатое У2К-7-16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однолапчатое У1-7-16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однолапчатое У1К-7-16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105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1.5. Филиал АО «ДРСК» «Южно-Якутские электрические сети»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ВС-70/95.2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Вязка спиральная ПВС 35/50-10-2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Гаситель вибрации ГВ-0.8-9.1-350/10-13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Гаситель вибрации ГВ-3323-02М-ТРИАС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1 246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Гаситель вибрации ГВ-4534-02М-ТРИАС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А1А-50-2Т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А2А-70-ЗТ медный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А2А-95-2Т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прессуемый А2А-70-2Т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аппаратный прессуемый А4А-120-2Т 14-15.8мм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заземляющий прессуемый ЗПС-100-3В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спиральный НС-9.1П-02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спиральный НС-9.6-02-АС-ТРИАС (коуш К-25)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натяжной трехболтовой НБ-2-6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поддерживающий глухой ПГН-3-5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СОАС 50-3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СОАС 70-3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СОАС 95-3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СОАС-120-3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овальный СОАС-35-3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петлевой ПС-2-1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ПА-2-2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ПА-3-2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ПС-1-1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плашечный ПС-2-1А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соединительный шлейфовый спиральный ШС-15,2-14-АС-ТРИАС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ШС-13.5-11-АС-ТРИАС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ШС-15.2/13.5-11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Зажим шлейфовый соединительный ШС-18.8-11-АС-ТРИАС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ПР-7-6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ПТМ-7-2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ПТМ-7-3а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ПТР-16-1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Звено промежуточное регулируемое ПРР-7-1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Протектор ПЗС-15.2/15.4-13(400)-ТРИАС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1 234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Серьга сцепная CPC-7-16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Скоба металлическая двухлапковая СК-7-1А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крепления КГП-7-1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двухлапчатое У2К-7-16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однолапчатое У1-7-16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</w:tr>
      <w:tr>
        <w:trPr>
          <w:trHeight w:val="340" w:hRule="atLeast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6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Ушко однолапчатое У1К-7-16</w:t>
            </w:r>
          </w:p>
        </w:tc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4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0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spacing w:before="120" w:after="0"/>
        <w:rPr>
          <w:sz w:val="22"/>
          <w:szCs w:val="22"/>
          <w:lang w:val="ru-RU"/>
        </w:rPr>
      </w:pPr>
      <w:bookmarkStart w:id="11" w:name="_Toc75446578"/>
      <w:bookmarkStart w:id="12" w:name="_Toc51339696"/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Требования </w:t>
      </w:r>
      <w:bookmarkEnd w:id="12"/>
      <w:r>
        <w:rPr>
          <w:sz w:val="22"/>
          <w:szCs w:val="22"/>
          <w:lang w:val="ru-RU"/>
        </w:rPr>
        <w:t xml:space="preserve">к срокам поставки продукции </w:t>
      </w:r>
      <w:bookmarkEnd w:id="11"/>
    </w:p>
    <w:p>
      <w:pPr>
        <w:pStyle w:val="Heading1"/>
        <w:keepLines/>
        <w:tabs>
          <w:tab w:val="clear" w:pos="0"/>
        </w:tabs>
        <w:spacing w:before="240" w:after="0"/>
        <w:ind w:left="0" w:hanging="0"/>
        <w:rPr>
          <w:sz w:val="22"/>
          <w:szCs w:val="22"/>
          <w:lang w:val="ru-RU"/>
        </w:rPr>
      </w:pPr>
      <w:bookmarkStart w:id="13" w:name="_Toc75446579"/>
      <w:bookmarkStart w:id="14" w:name="_Toc51339697"/>
      <w:bookmarkStart w:id="15" w:name="_Toc50125127"/>
      <w:bookmarkStart w:id="16" w:name="_Toc50125126_Копия_1"/>
      <w:bookmarkEnd w:id="16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1.2</w:t>
      </w:r>
      <w:r>
        <w:rPr>
          <w:sz w:val="22"/>
          <w:szCs w:val="22"/>
        </w:rPr>
        <w:t xml:space="preserve"> </w:t>
      </w:r>
      <w:bookmarkStart w:id="17" w:name="_Hlk50465284"/>
      <w:r>
        <w:rPr>
          <w:sz w:val="22"/>
          <w:szCs w:val="22"/>
        </w:rPr>
        <w:t xml:space="preserve">Требования по срокам </w:t>
      </w:r>
      <w:bookmarkEnd w:id="14"/>
      <w:bookmarkEnd w:id="15"/>
      <w:bookmarkEnd w:id="17"/>
      <w:r>
        <w:rPr>
          <w:sz w:val="22"/>
          <w:szCs w:val="22"/>
          <w:lang w:val="ru-RU"/>
        </w:rPr>
        <w:t>поставки продукции</w:t>
      </w:r>
      <w:bookmarkEnd w:id="13"/>
      <w:r>
        <w:rPr>
          <w:sz w:val="22"/>
          <w:szCs w:val="22"/>
          <w:lang w:val="ru-RU"/>
        </w:rPr>
        <w:t xml:space="preserve"> </w:t>
      </w:r>
    </w:p>
    <w:tbl>
      <w:tblPr>
        <w:tblW w:w="13065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1"/>
        <w:gridCol w:w="2897"/>
        <w:gridCol w:w="4111"/>
        <w:gridCol w:w="5385"/>
      </w:tblGrid>
      <w:tr>
        <w:trPr/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keepNext w:val="false"/>
              <w:widowControl w:val="false"/>
              <w:spacing w:before="40" w:after="0"/>
              <w:jc w:val="center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keepNext w:val="false"/>
              <w:widowControl w:val="false"/>
              <w:spacing w:before="40" w:after="0"/>
              <w:jc w:val="center"/>
              <w:rPr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3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keepNext w:val="false"/>
              <w:widowControl w:val="false"/>
              <w:spacing w:before="40" w:after="0"/>
              <w:jc w:val="center"/>
              <w:rPr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4</w:t>
            </w:r>
          </w:p>
        </w:tc>
      </w:tr>
      <w:tr>
        <w:trPr/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Позиции в соответствии с Таблицей 2.1.1 настоящих Технических требований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>с даты заключения договора поставки, но не ранее 11.01.2027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 течение 90 (девяноста) календарных дней </w:t>
            </w: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>с даты заключения договора поставки.</w:t>
            </w:r>
          </w:p>
        </w:tc>
      </w:tr>
    </w:tbl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bookmarkStart w:id="18" w:name="_Toc75446581"/>
      <w:bookmarkStart w:id="19" w:name="_Toc46743511"/>
      <w:bookmarkStart w:id="20" w:name="_Toc46743510_Копия_1"/>
      <w:bookmarkEnd w:id="20"/>
      <w:r>
        <w:rPr>
          <w:sz w:val="22"/>
          <w:szCs w:val="22"/>
        </w:rPr>
        <w:t xml:space="preserve">Требования к </w:t>
      </w:r>
      <w:bookmarkEnd w:id="19"/>
      <w:r>
        <w:rPr>
          <w:sz w:val="22"/>
          <w:szCs w:val="22"/>
          <w:lang w:val="ru-RU"/>
        </w:rPr>
        <w:t>качеству продукции</w:t>
      </w:r>
      <w:bookmarkEnd w:id="18"/>
    </w:p>
    <w:p>
      <w:pPr>
        <w:pStyle w:val="Heading1"/>
        <w:keepLines/>
        <w:tabs>
          <w:tab w:val="clear" w:pos="0"/>
        </w:tabs>
        <w:spacing w:before="240" w:after="0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21" w:name="_Toc75446582"/>
      <w:r>
        <w:rPr>
          <w:sz w:val="22"/>
          <w:szCs w:val="22"/>
        </w:rPr>
        <w:t>Таблица 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2.</w:t>
      </w:r>
      <w:r>
        <w:rPr>
          <w:sz w:val="22"/>
          <w:szCs w:val="22"/>
        </w:rPr>
        <w:t xml:space="preserve"> Требования к </w:t>
      </w:r>
      <w:r>
        <w:rPr>
          <w:sz w:val="22"/>
          <w:szCs w:val="22"/>
          <w:lang w:val="ru-RU"/>
        </w:rPr>
        <w:t>продукции</w:t>
      </w:r>
      <w:bookmarkEnd w:id="21"/>
      <w:r>
        <w:rPr>
          <w:sz w:val="22"/>
          <w:szCs w:val="22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rStyle w:val="Style8"/>
          <w:sz w:val="22"/>
          <w:szCs w:val="22"/>
          <w:shd w:fill="auto" w:val="clear"/>
        </w:rPr>
      </w:pPr>
      <w:r>
        <w:rPr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/>
          <w:i/>
          <w:sz w:val="22"/>
          <w:szCs w:val="22"/>
          <w:lang w:eastAsia="x-none"/>
        </w:rPr>
        <w:t>«</w:t>
      </w:r>
      <w:r>
        <w:rPr>
          <w:b/>
          <w:i/>
          <w:sz w:val="22"/>
          <w:szCs w:val="22"/>
        </w:rPr>
        <w:t>Линейно – сцепная арматура и инструмент для неизолированного провода»</w:t>
      </w:r>
      <w:r>
        <w:rPr>
          <w:rStyle w:val="Style8"/>
          <w:b w:val="false"/>
          <w:iCs/>
          <w:sz w:val="22"/>
          <w:szCs w:val="22"/>
        </w:rPr>
        <w:t xml:space="preserve"> </w:t>
      </w:r>
    </w:p>
    <w:tbl>
      <w:tblPr>
        <w:tblStyle w:val="affffa"/>
        <w:tblW w:w="15451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8"/>
        <w:gridCol w:w="3543"/>
        <w:gridCol w:w="3968"/>
        <w:gridCol w:w="2268"/>
        <w:gridCol w:w="2693"/>
        <w:gridCol w:w="2410"/>
      </w:tblGrid>
      <w:tr>
        <w:trPr/>
        <w:tc>
          <w:tcPr>
            <w:tcW w:w="5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5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9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9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41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5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9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>
          <w:trHeight w:val="168" w:hRule="atLeast"/>
        </w:trPr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8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продукцию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на продукцию должна распространяться не менее 60 месяцев. Время начала исчисления гарантийного срока – с даты подписания Сторонами накладной ТОРГ-12 или УПД.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410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1488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к доставке</w:t>
            </w:r>
          </w:p>
        </w:tc>
      </w:tr>
      <w:tr>
        <w:trPr>
          <w:trHeight w:val="670" w:hRule="atLeast"/>
        </w:trPr>
        <w:tc>
          <w:tcPr>
            <w:tcW w:w="5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Место поставки для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1.1.  Филиала АО «ДРСК» «Амурские электрические сети»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pacing w:val="-1"/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en-US" w:bidi="ar-SA"/>
              </w:rPr>
              <w:t>675003, РФ, Амурская область,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en-US" w:bidi="ar-SA"/>
              </w:rPr>
              <w:t>г. Благовещенск, ул. Театральная, 179</w:t>
            </w:r>
          </w:p>
        </w:tc>
        <w:tc>
          <w:tcPr>
            <w:tcW w:w="22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Sylfaen"/>
                <w:sz w:val="22"/>
                <w:szCs w:val="22"/>
              </w:rPr>
            </w:pPr>
            <w:r>
              <w:rPr>
                <w:rFonts w:eastAsia="Sylfaen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Sylfaen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Sylfaen"/>
                <w:sz w:val="22"/>
                <w:szCs w:val="22"/>
              </w:rPr>
            </w:pPr>
            <w:r>
              <w:rPr>
                <w:rFonts w:eastAsia="Sylfaen"/>
                <w:sz w:val="22"/>
                <w:szCs w:val="22"/>
              </w:rPr>
            </w:r>
          </w:p>
        </w:tc>
        <w:tc>
          <w:tcPr>
            <w:tcW w:w="241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46" w:hRule="atLeast"/>
        </w:trPr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1.2.  Филиала АО «ДРСК» «Приморские электрические сети»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692524, РФ, Приморский край,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г. Уссурийск, ул. Резервная, 22А</w:t>
            </w:r>
          </w:p>
        </w:tc>
        <w:tc>
          <w:tcPr>
            <w:tcW w:w="22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41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46" w:hRule="atLeast"/>
        </w:trPr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1.3.1. Филиал АО «ДРСК» «Хабаровские электрические сети» г. Хабаровск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680009, РФ, г. Хабаровск,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ул. Промышленная 13</w:t>
            </w:r>
          </w:p>
        </w:tc>
        <w:tc>
          <w:tcPr>
            <w:tcW w:w="22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41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46" w:hRule="atLeast"/>
        </w:trPr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1.3.2. Филиал АО «ДРСК» «Хабаровские электрические сети» г. Комсомольск-на-Амуре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681000, РФ, Хабаровский край,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г. Комсомольск-на-Амуре, Аллея Труда, 16А</w:t>
            </w:r>
          </w:p>
        </w:tc>
        <w:tc>
          <w:tcPr>
            <w:tcW w:w="22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41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46" w:hRule="atLeast"/>
        </w:trPr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kern w:val="0"/>
                <w:sz w:val="22"/>
                <w:szCs w:val="22"/>
                <w:lang w:val="ru-RU" w:eastAsia="ru-RU" w:bidi="ar-SA"/>
              </w:rPr>
              <w:t>1.4. Филиал АО «ДРСК» «Электрические сети ЕАО»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pacing w:val="-1"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spacing w:val="-1"/>
                <w:kern w:val="0"/>
                <w:sz w:val="22"/>
                <w:szCs w:val="22"/>
                <w:lang w:val="ru-RU" w:eastAsia="ru-RU" w:bidi="ar-SA"/>
              </w:rPr>
              <w:t>679011, Еврейская Автономная обл.,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spacing w:val="-1"/>
                <w:kern w:val="0"/>
                <w:sz w:val="22"/>
                <w:szCs w:val="22"/>
                <w:lang w:val="ru-RU" w:eastAsia="ru-RU" w:bidi="ar-SA"/>
              </w:rPr>
              <w:t>г. Биробиджан, ул. Черноморская, 6</w:t>
            </w:r>
          </w:p>
        </w:tc>
        <w:tc>
          <w:tcPr>
            <w:tcW w:w="22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41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46" w:hRule="atLeast"/>
        </w:trPr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kern w:val="0"/>
                <w:sz w:val="22"/>
                <w:szCs w:val="22"/>
                <w:lang w:val="ru-RU" w:eastAsia="ru-RU" w:bidi="ar-SA"/>
              </w:rPr>
              <w:t>1.5. Филиал АО «ДРСК» «Южно-Якутские электрические сети»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color w:val="000000"/>
                <w:spacing w:val="-1"/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bCs/>
                <w:color w:val="000000"/>
                <w:spacing w:val="-1"/>
                <w:kern w:val="0"/>
                <w:sz w:val="22"/>
                <w:szCs w:val="22"/>
                <w:lang w:val="ru-RU" w:eastAsia="en-US" w:bidi="ar-SA"/>
              </w:rPr>
              <w:t>678901, Республика Саха (Якутия),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color w:val="000000"/>
                <w:spacing w:val="-1"/>
                <w:kern w:val="0"/>
                <w:sz w:val="22"/>
                <w:szCs w:val="22"/>
                <w:lang w:val="ru-RU" w:eastAsia="en-US" w:bidi="ar-SA"/>
              </w:rPr>
              <w:t>г. Алдан, ул. Тарабукина, 60</w:t>
            </w:r>
          </w:p>
        </w:tc>
        <w:tc>
          <w:tcPr>
            <w:tcW w:w="22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41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14882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3.1.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Продукция должна быть новой и ранее неиспользованной,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изготовлена в 2026-2027 гг.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4.</w:t>
            </w:r>
          </w:p>
        </w:tc>
        <w:tc>
          <w:tcPr>
            <w:tcW w:w="14882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Требование к нормативному сроку службы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Срок службы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Нормативный срок службы линейной сцепной арматуры должен быть не менее 40 лет.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color w:val="808080" w:themeColor="background1" w:themeShade="8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5.</w:t>
            </w:r>
          </w:p>
        </w:tc>
        <w:tc>
          <w:tcPr>
            <w:tcW w:w="14882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Технические требования к арматуре</w:t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5.1.</w:t>
            </w:r>
          </w:p>
        </w:tc>
        <w:tc>
          <w:tcPr>
            <w:tcW w:w="35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Требование к линейной арматуре</w:t>
            </w:r>
          </w:p>
        </w:tc>
        <w:tc>
          <w:tcPr>
            <w:tcW w:w="39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eastAsia="Calibri"/>
                <w:b/>
                <w:i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Предлагаемая к поставке линейная арматура должна соответствовать 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ГОСТ Р 51177-2017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color w:val="808080" w:themeColor="background1" w:themeShade="8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4882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ind w:left="0" w:right="145" w:hanging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Применение законодательства о национальном режиме:</w:t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5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ind w:left="0" w:right="145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Происхождение поставляемой продукции</w:t>
            </w:r>
          </w:p>
        </w:tc>
        <w:tc>
          <w:tcPr>
            <w:tcW w:w="39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составе Коммерческого предложения Участник указывает страну и производителя продукции.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Style w:val="Style19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20"/>
                <w:b/>
                <w:sz w:val="22"/>
                <w:szCs w:val="22"/>
                <w:lang w:val="en-US"/>
              </w:rPr>
              <w:t>-//-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6090" w:leader="none"/>
        </w:tabs>
        <w:suppressAutoHyphens w:val="false"/>
        <w:ind w:left="360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6090" w:leader="none"/>
        </w:tabs>
        <w:suppressAutoHyphens w:val="false"/>
        <w:ind w:left="360" w:hanging="0"/>
        <w:jc w:val="both"/>
        <w:rPr>
          <w:b/>
          <w:sz w:val="22"/>
          <w:szCs w:val="22"/>
        </w:rPr>
      </w:pPr>
      <w:r>
        <w:rPr/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before="60" w:after="0"/>
        <w:contextualSpacing/>
        <w:jc w:val="both"/>
        <w:rPr>
          <w:rStyle w:val="Style8"/>
          <w:b w:val="false"/>
          <w:bCs/>
          <w:i w:val="false"/>
          <w:i w:val="false"/>
          <w:iCs/>
          <w:sz w:val="22"/>
          <w:szCs w:val="22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567" w:right="567" w:gutter="0" w:header="680" w:top="1134" w:footer="0" w:bottom="56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71CB8A9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71CB8A9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2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2"/>
        <w:b w:val="false"/>
        <w:szCs w:val="22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revisionView w:insDel="0" w:formatting="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7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uiPriority w:val="99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5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14" w:customStyle="1">
    <w:name w:val="Пункт Знак1"/>
    <w:link w:val="Style32"/>
    <w:qFormat/>
    <w:rsid w:val="000d70e6"/>
    <w:rPr>
      <w:rFonts w:ascii="Arial" w:hAnsi="Arial"/>
      <w:b/>
      <w:i/>
      <w:sz w:val="28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0d70e6"/>
    <w:rPr>
      <w:rFonts w:ascii="Tahoma" w:hAnsi="Tahoma" w:cs="Tahoma"/>
      <w:sz w:val="16"/>
      <w:szCs w:val="16"/>
    </w:rPr>
  </w:style>
  <w:style w:type="character" w:styleId="Style16" w:customStyle="1">
    <w:name w:val="Тема примечания Знак"/>
    <w:basedOn w:val="Style11"/>
    <w:link w:val="Annotationsubject"/>
    <w:uiPriority w:val="99"/>
    <w:semiHidden/>
    <w:qFormat/>
    <w:rsid w:val="000d70e6"/>
    <w:rPr>
      <w:b/>
      <w:bCs/>
    </w:rPr>
  </w:style>
  <w:style w:type="character" w:styleId="Style17" w:customStyle="1">
    <w:name w:val="Символ нумерации"/>
    <w:qFormat/>
    <w:rPr/>
  </w:style>
  <w:style w:type="character" w:styleId="LineNumber">
    <w:name w:val="Line Number"/>
    <w:rPr/>
  </w:style>
  <w:style w:type="character" w:styleId="Style18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Style19">
    <w:name w:val="Знак примечания"/>
    <w:qFormat/>
    <w:rPr>
      <w:sz w:val="16"/>
      <w:szCs w:val="16"/>
    </w:rPr>
  </w:style>
  <w:style w:type="character" w:styleId="Style20">
    <w:name w:val="Основной шрифт абзаца"/>
    <w:qFormat/>
    <w:rPr/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uiPriority w:val="99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23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4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5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7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8" w:customStyle="1">
    <w:name w:val="Раздел регламента"/>
    <w:basedOn w:val="Normal"/>
    <w:qFormat/>
    <w:rsid w:val="00e228fa"/>
    <w:pPr/>
    <w:rPr/>
  </w:style>
  <w:style w:type="paragraph" w:styleId="Style29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15"/>
    <w:uiPriority w:val="99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0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1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1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2" w:customStyle="1">
    <w:name w:val="Пункт"/>
    <w:basedOn w:val="Normal"/>
    <w:link w:val="14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3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4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Подподпункт"/>
    <w:basedOn w:val="Style27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6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7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8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9" w:customStyle="1">
    <w:name w:val="Содержимое врезки"/>
    <w:basedOn w:val="Normal"/>
    <w:qFormat/>
    <w:pPr/>
    <w:rPr/>
  </w:style>
  <w:style w:type="paragraph" w:styleId="Style4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1" w:customStyle="1">
    <w:name w:val="Заголовок таблицы"/>
    <w:basedOn w:val="Style40"/>
    <w:qFormat/>
    <w:pPr>
      <w:jc w:val="center"/>
    </w:pPr>
    <w:rPr>
      <w:b/>
      <w:bCs/>
    </w:rPr>
  </w:style>
  <w:style w:type="paragraph" w:styleId="CENTERTEXT" w:customStyle="1">
    <w:name w:val=".CENTER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EMPTYLINE" w:customStyle="1">
    <w:name w:val=".EMPTY_LIN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TOPLEVELTEXT" w:customStyle="1">
    <w:name w:val=".TOPLEVEL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TABLE" w:customStyle="1">
    <w:name w:val="TABL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HTML" w:customStyle="1">
    <w:name w:val="HTM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BODY" w:customStyle="1">
    <w:name w:val="BODY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0"/>
      <w:szCs w:val="24"/>
      <w:lang w:val="ru-RU" w:eastAsia="hi-IN" w:bidi="ar-SA"/>
    </w:rPr>
  </w:style>
  <w:style w:type="paragraph" w:styleId="UNFORMATTEXT" w:customStyle="1">
    <w:name w:val=".UNFORMATTEX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Lohit Devanagari" w:cs="Liberation Serif"/>
      <w:color w:val="000000"/>
      <w:kern w:val="2"/>
      <w:sz w:val="20"/>
      <w:szCs w:val="24"/>
      <w:lang w:val="ru-RU" w:eastAsia="hi-IN" w:bidi="ar-SA"/>
    </w:rPr>
  </w:style>
  <w:style w:type="paragraph" w:styleId="MIDDLEPICT" w:customStyle="1">
    <w:name w:val=".MIDDLEPIC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HORIZLINE" w:customStyle="1">
    <w:name w:val=".HORIZLIN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DJVU" w:customStyle="1">
    <w:name w:val=".DJVU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PRINTSECTION" w:customStyle="1">
    <w:name w:val="#PRINT_SECTION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COLTOP" w:customStyle="1">
    <w:name w:val="#COL_TOP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COLBOTTOM" w:customStyle="1">
    <w:name w:val="#COL_BOTTOM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TradeMark" w:customStyle="1">
    <w:name w:val=".TradeMark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FORMATTEXT" w:customStyle="1">
    <w:name w:val=".FORMAT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0"/>
      <w:szCs w:val="24"/>
      <w:lang w:val="ru-RU" w:eastAsia="hi-IN" w:bidi="ar-SA"/>
    </w:rPr>
  </w:style>
  <w:style w:type="paragraph" w:styleId="HEADERTEXT" w:customStyle="1">
    <w:name w:val=".HEADER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2B4279"/>
      <w:kern w:val="2"/>
      <w:sz w:val="20"/>
      <w:szCs w:val="24"/>
      <w:lang w:val="ru-RU" w:eastAsia="hi-I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23355510581">
    <w:name w:val="23355510581"/>
    <w:qFormat/>
  </w:style>
  <w:style w:type="numbering" w:styleId="29278575231">
    <w:name w:val="29278575231"/>
    <w:qFormat/>
  </w:style>
  <w:style w:type="numbering" w:styleId="23515376181">
    <w:name w:val="23515376181"/>
    <w:qFormat/>
  </w:style>
  <w:style w:type="numbering" w:styleId="1111204011">
    <w:name w:val="111120401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8BE73-CF6A-4281-AC09-AEAE6D0D5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Application>AlterOffice/3.3.0.4$Linux_X86_64 LibreOffice_project/fa736b558560ebea8f92088bfd7720f4b3918f3f</Application>
  <AppVersion>15.0000</AppVersion>
  <Pages>11</Pages>
  <Words>1952</Words>
  <Characters>11592</Characters>
  <CharactersWithSpaces>12584</CharactersWithSpaces>
  <Paragraphs>968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2024-08-14T01:34:00Z</dcterms:created>
  <dc:creator>Быстров Олег Геннадьевич</dc:creator>
  <dc:description/>
  <dc:language>ru-RU</dc:language>
  <cp:lastModifiedBy>veryutin_va</cp:lastModifiedBy>
  <cp:lastPrinted>2006-07-26T14:04:00Z</cp:lastPrinted>
  <dcterms:modified xsi:type="dcterms:W3CDTF">2026-10-14T17:41:28Z</dcterms:modified>
  <cp:revision>245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