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bidi w:val="0"/>
        <w:spacing w:lineRule="auto" w:line="259" w:before="0" w:after="160"/>
        <w:jc w:val="both"/>
        <w:rPr>
          <w:sz w:val="22"/>
          <w:szCs w:val="22"/>
        </w:rPr>
      </w:pPr>
      <w:r>
        <w:rPr>
          <w:rFonts w:eastAsia="Calibri" w:cs="Tahoma" w:ascii="Times New Roman;serif" w:hAnsi="Times New Roman;serif"/>
          <w:color w:val="auto"/>
          <w:kern w:val="0"/>
          <w:sz w:val="22"/>
          <w:szCs w:val="22"/>
          <w:lang w:val="ru-RU" w:eastAsia="en-US" w:bidi="ar-SA"/>
        </w:rPr>
        <w:t>Для формирования сметной стоимости, просим Вас предоставить коммерческое предложение на следующие позиции:</w:t>
      </w:r>
    </w:p>
    <w:tbl>
      <w:tblPr>
        <w:tblW w:w="9371" w:type="dxa"/>
        <w:jc w:val="left"/>
        <w:tblInd w:w="8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4"/>
        <w:gridCol w:w="5885"/>
        <w:gridCol w:w="1311"/>
        <w:gridCol w:w="1400"/>
      </w:tblGrid>
      <w:tr>
        <w:trPr/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 w:cs="Tahoma" w:ascii="Times New Roman;serif" w:hAnsi="Times New Roman;serif"/>
                <w:color w:val="auto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ahoma" w:ascii="Times New Roman;serif" w:hAnsi="Times New Roman;serif"/>
                <w:color w:val="auto"/>
                <w:kern w:val="0"/>
                <w:sz w:val="22"/>
                <w:szCs w:val="22"/>
                <w:lang w:val="ru-RU" w:eastAsia="en-US" w:bidi="ar-SA"/>
              </w:rPr>
              <w:t>п/п</w:t>
            </w:r>
          </w:p>
        </w:tc>
        <w:tc>
          <w:tcPr>
            <w:tcW w:w="5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Tahoma" w:ascii="Times New Roman" w:hAnsi="Times New Roman"/>
                <w:color w:val="auto"/>
                <w:kern w:val="0"/>
                <w:sz w:val="22"/>
                <w:szCs w:val="22"/>
                <w:lang w:val="ru-RU" w:eastAsia="en-US" w:bidi="ar-SA"/>
              </w:rPr>
              <w:t>Наименование планируемой к закупке продукции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 w:cs="Tahoma" w:ascii="Times New Roman;serif" w:hAnsi="Times New Roman;serif"/>
                <w:color w:val="auto"/>
                <w:kern w:val="0"/>
                <w:sz w:val="22"/>
                <w:szCs w:val="22"/>
                <w:lang w:val="ru-RU" w:eastAsia="en-US" w:bidi="ar-SA"/>
              </w:rPr>
              <w:t>Единица изменения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 w:cs="Tahoma" w:ascii="Times New Roman;serif" w:hAnsi="Times New Roman;serif"/>
                <w:color w:val="auto"/>
                <w:kern w:val="0"/>
                <w:sz w:val="22"/>
                <w:szCs w:val="22"/>
                <w:lang w:val="ru-RU" w:eastAsia="en-US" w:bidi="ar-SA"/>
              </w:rPr>
              <w:t>Требуемое количество</w:t>
            </w:r>
          </w:p>
        </w:tc>
      </w:tr>
      <w:tr>
        <w:trPr/>
        <w:tc>
          <w:tcPr>
            <w:tcW w:w="7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 w:cs="Tahoma" w:ascii="Times New Roman" w:hAnsi="Times New Roman"/>
                <w:color w:val="auto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58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ind w:hanging="0" w:left="0" w:right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Гибкая двустенная труба н.д. 110 мм (арт. 121911)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ind w:hanging="0" w:left="0" w:right="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м</w:t>
            </w:r>
          </w:p>
        </w:tc>
        <w:tc>
          <w:tcPr>
            <w:tcW w:w="1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ind w:hanging="0" w:left="0" w:right="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</w:tr>
      <w:tr>
        <w:trPr/>
        <w:tc>
          <w:tcPr>
            <w:tcW w:w="7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 w:cs="Tahoma" w:ascii="Times New Roman" w:hAnsi="Times New Roman"/>
                <w:color w:val="auto"/>
                <w:kern w:val="0"/>
                <w:sz w:val="22"/>
                <w:szCs w:val="22"/>
                <w:lang w:val="ru-RU" w:eastAsia="en-US" w:bidi="ar-SA"/>
              </w:rPr>
              <w:t>2</w:t>
            </w:r>
          </w:p>
        </w:tc>
        <w:tc>
          <w:tcPr>
            <w:tcW w:w="58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ind w:hanging="0" w:left="0" w:right="0"/>
              <w:jc w:val="left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Наконечник-гильза НШВИ6 для ПуГВ 1х6 (ДКС)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ind w:hanging="0" w:left="0" w:right="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уп</w:t>
            </w:r>
          </w:p>
        </w:tc>
        <w:tc>
          <w:tcPr>
            <w:tcW w:w="1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ind w:hanging="0" w:left="0" w:right="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</w:tr>
      <w:tr>
        <w:trPr/>
        <w:tc>
          <w:tcPr>
            <w:tcW w:w="7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 w:cs="Tahoma" w:ascii="Times New Roman" w:hAnsi="Times New Roman"/>
                <w:color w:val="auto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58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ind w:hanging="0" w:left="0" w:right="0"/>
              <w:jc w:val="left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Ограничитель перенапряжения, 4П, 30кА, ОПС1-В/4 (ИЭК)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ind w:hanging="0" w:left="0" w:right="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шт</w:t>
            </w:r>
          </w:p>
        </w:tc>
        <w:tc>
          <w:tcPr>
            <w:tcW w:w="1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ind w:hanging="0" w:left="0" w:right="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</w:tr>
      <w:tr>
        <w:trPr/>
        <w:tc>
          <w:tcPr>
            <w:tcW w:w="7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 w:cs="Tahoma" w:ascii="Times New Roman" w:hAnsi="Times New Roman"/>
                <w:color w:val="auto"/>
                <w:kern w:val="0"/>
                <w:sz w:val="22"/>
                <w:szCs w:val="22"/>
                <w:lang w:val="ru-RU" w:eastAsia="en-US" w:bidi="ar-SA"/>
              </w:rPr>
              <w:t>4</w:t>
            </w:r>
          </w:p>
        </w:tc>
        <w:tc>
          <w:tcPr>
            <w:tcW w:w="58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ind w:hanging="0" w:left="0" w:right="0"/>
              <w:jc w:val="left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Ответвительная кабельная муфта для кабеля с броней 5х16 и 5х35 5ПТО-1-16/50-1.5/6 (КВТ)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ind w:hanging="0" w:left="0" w:right="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шт</w:t>
            </w:r>
          </w:p>
        </w:tc>
        <w:tc>
          <w:tcPr>
            <w:tcW w:w="1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ind w:hanging="0" w:left="0" w:right="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</w:p>
        </w:tc>
      </w:tr>
      <w:tr>
        <w:trPr/>
        <w:tc>
          <w:tcPr>
            <w:tcW w:w="7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 w:cs="Tahoma" w:ascii="Times New Roman" w:hAnsi="Times New Roman"/>
                <w:color w:val="auto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</w:tc>
        <w:tc>
          <w:tcPr>
            <w:tcW w:w="58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jc w:val="left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Сальник PG-16 (ИЭК)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шт</w:t>
            </w:r>
          </w:p>
        </w:tc>
        <w:tc>
          <w:tcPr>
            <w:tcW w:w="1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5</w:t>
            </w:r>
          </w:p>
        </w:tc>
      </w:tr>
      <w:tr>
        <w:trPr/>
        <w:tc>
          <w:tcPr>
            <w:tcW w:w="7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58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Соединительная кабельная муфта для кабеля 3х4 3ПСТ мини-4/6 нг-LS (КВТ)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шт</w:t>
            </w:r>
          </w:p>
        </w:tc>
        <w:tc>
          <w:tcPr>
            <w:tcW w:w="1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110</w:t>
            </w:r>
          </w:p>
        </w:tc>
      </w:tr>
      <w:tr>
        <w:trPr/>
        <w:tc>
          <w:tcPr>
            <w:tcW w:w="7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58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Соединительная кабельная муфта для кабеля с броней 5х16 5ПСТ(б)-1-16/25 (КВТ)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шт</w:t>
            </w:r>
          </w:p>
        </w:tc>
        <w:tc>
          <w:tcPr>
            <w:tcW w:w="1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13</w:t>
            </w:r>
          </w:p>
        </w:tc>
      </w:tr>
      <w:tr>
        <w:trPr/>
        <w:tc>
          <w:tcPr>
            <w:tcW w:w="7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58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Соединительная кабельная муфта для кабеля с броней 5х35 5ПСТ(б)-1-25/50 (КВТ)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шт</w:t>
            </w:r>
          </w:p>
        </w:tc>
        <w:tc>
          <w:tcPr>
            <w:tcW w:w="1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8</w:t>
            </w:r>
          </w:p>
        </w:tc>
      </w:tr>
      <w:tr>
        <w:trPr/>
        <w:tc>
          <w:tcPr>
            <w:tcW w:w="7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58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Шина "N" нулевая на DIN-рейку в корпусе-4х7 (ГК КЭАЗ)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шт</w:t>
            </w:r>
          </w:p>
        </w:tc>
        <w:tc>
          <w:tcPr>
            <w:tcW w:w="1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</w:tr>
      <w:tr>
        <w:trPr/>
        <w:tc>
          <w:tcPr>
            <w:tcW w:w="7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58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Шина соединительная PIN (штырь)-3Р-63А-(дл.1м)-КЭАЗ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шт</w:t>
            </w:r>
          </w:p>
        </w:tc>
        <w:tc>
          <w:tcPr>
            <w:tcW w:w="1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</w:tr>
      <w:tr>
        <w:trPr/>
        <w:tc>
          <w:tcPr>
            <w:tcW w:w="7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58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Индустриальная гофрированная труба не распростр. горение н.д. 29 мм (арт. РА612935FO)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м</w:t>
            </w:r>
          </w:p>
        </w:tc>
        <w:tc>
          <w:tcPr>
            <w:tcW w:w="1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2100</w:t>
            </w:r>
          </w:p>
        </w:tc>
      </w:tr>
      <w:tr>
        <w:trPr/>
        <w:tc>
          <w:tcPr>
            <w:tcW w:w="7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58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Индустриальная гофрированная труба не распростр. горение н.д. 48 мм (арт. РА614855FO)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м</w:t>
            </w:r>
          </w:p>
        </w:tc>
        <w:tc>
          <w:tcPr>
            <w:tcW w:w="1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0,4</w:t>
            </w:r>
          </w:p>
        </w:tc>
      </w:tr>
      <w:tr>
        <w:trPr/>
        <w:tc>
          <w:tcPr>
            <w:tcW w:w="7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13</w:t>
            </w:r>
          </w:p>
        </w:tc>
        <w:tc>
          <w:tcPr>
            <w:tcW w:w="58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АВДТ с защитой от сверхтоков 2П, 10А, 30мА, хар-ка С OptiDin D63-22C10-A (ГК КЭАЗ)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шт</w:t>
            </w:r>
          </w:p>
        </w:tc>
        <w:tc>
          <w:tcPr>
            <w:tcW w:w="1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</w:tr>
      <w:tr>
        <w:trPr/>
        <w:tc>
          <w:tcPr>
            <w:tcW w:w="7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14</w:t>
            </w:r>
          </w:p>
        </w:tc>
        <w:tc>
          <w:tcPr>
            <w:tcW w:w="58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Выключатель автоматический 1П, 5А, хар-ка С OptiDin BM63-1С5 (ГК КЭАЗ)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шт</w:t>
            </w:r>
          </w:p>
        </w:tc>
        <w:tc>
          <w:tcPr>
            <w:tcW w:w="1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</w:tr>
      <w:tr>
        <w:trPr/>
        <w:tc>
          <w:tcPr>
            <w:tcW w:w="7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58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Выключатель нагрузки 3П, 63А, хар-ка С OptiDin BM63Р-363 (ГК КЭАЗ)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шт</w:t>
            </w:r>
          </w:p>
        </w:tc>
        <w:tc>
          <w:tcPr>
            <w:tcW w:w="1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</w:tr>
      <w:tr>
        <w:trPr/>
        <w:tc>
          <w:tcPr>
            <w:tcW w:w="7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16</w:t>
            </w:r>
          </w:p>
        </w:tc>
        <w:tc>
          <w:tcPr>
            <w:tcW w:w="58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TITAN 3 Корпус металлический ЩРн-24 (410х330х120) IP54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шт</w:t>
            </w:r>
          </w:p>
        </w:tc>
        <w:tc>
          <w:tcPr>
            <w:tcW w:w="1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</w:tr>
      <w:tr>
        <w:trPr/>
        <w:tc>
          <w:tcPr>
            <w:tcW w:w="7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17</w:t>
            </w:r>
          </w:p>
        </w:tc>
        <w:tc>
          <w:tcPr>
            <w:tcW w:w="58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Кабель ТППэпЗБбШп 5х2х0,5 мм2</w:t>
            </w:r>
          </w:p>
        </w:tc>
        <w:tc>
          <w:tcPr>
            <w:tcW w:w="13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м</w:t>
            </w:r>
          </w:p>
        </w:tc>
        <w:tc>
          <w:tcPr>
            <w:tcW w:w="1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1"/>
              <w:spacing w:before="0" w:after="16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</w:t>
            </w:r>
          </w:p>
        </w:tc>
      </w:tr>
    </w:tbl>
    <w:p>
      <w:pPr>
        <w:pStyle w:val="Normal"/>
        <w:spacing w:before="0" w:after="16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spacing w:before="0" w:after="160"/>
        <w:rPr>
          <w:sz w:val="22"/>
          <w:szCs w:val="22"/>
        </w:rPr>
      </w:pPr>
      <w:r>
        <w:rPr>
          <w:rFonts w:eastAsia="Calibri" w:cs="Tahoma" w:ascii="Times New Roman" w:hAnsi="Times New Roman"/>
          <w:color w:val="auto"/>
          <w:kern w:val="0"/>
          <w:sz w:val="22"/>
          <w:szCs w:val="22"/>
          <w:lang w:val="ru-RU" w:eastAsia="en-US" w:bidi="ar-SA"/>
        </w:rPr>
        <w:t>Стоимость доставки указать отдельной строкой.</w:t>
      </w:r>
    </w:p>
    <w:p>
      <w:pPr>
        <w:pStyle w:val="Normal"/>
        <w:spacing w:before="0" w:after="160"/>
        <w:jc w:val="both"/>
        <w:rPr/>
      </w:pPr>
      <w:r>
        <w:rPr>
          <w:rFonts w:ascii="Times New Roman" w:hAnsi="Times New Roman"/>
          <w:sz w:val="22"/>
          <w:szCs w:val="22"/>
        </w:rPr>
        <w:t xml:space="preserve">Коммерческое предложение также можно направить на электронную почту: </w:t>
      </w:r>
      <w:hyperlink r:id="rId2">
        <w:r>
          <w:rPr>
            <w:rStyle w:val="Hyperlink"/>
            <w:rFonts w:ascii="Times New Roman" w:hAnsi="Times New Roman"/>
            <w:b w:val="false"/>
            <w:i w:val="false"/>
            <w:caps w:val="false"/>
            <w:smallCaps w:val="false"/>
            <w:spacing w:val="0"/>
            <w:sz w:val="22"/>
            <w:szCs w:val="22"/>
            <w:u w:val="single"/>
          </w:rPr>
          <w:t>pechkurovaar@rushydro.ru</w:t>
        </w:r>
      </w:hyperlink>
    </w:p>
    <w:p>
      <w:pPr>
        <w:pStyle w:val="Normal"/>
        <w:spacing w:before="0" w:after="160"/>
        <w:jc w:val="both"/>
        <w:rPr>
          <w:rFonts w:ascii="Times New Roman" w:hAnsi="Times New Roman"/>
          <w:b w:val="false"/>
          <w:i w:val="false"/>
          <w:i w:val="false"/>
          <w:caps w:val="false"/>
          <w:smallCaps w:val="false"/>
          <w:spacing w:val="0"/>
          <w:sz w:val="22"/>
          <w:szCs w:val="22"/>
          <w:u w:val="singl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pacing w:val="0"/>
          <w:sz w:val="22"/>
          <w:szCs w:val="22"/>
          <w:u w:val="single"/>
        </w:rPr>
      </w:r>
    </w:p>
    <w:p>
      <w:pPr>
        <w:pStyle w:val="Normal"/>
        <w:spacing w:before="0" w:after="160"/>
        <w:jc w:val="both"/>
        <w:rPr>
          <w:rStyle w:val="Hyperlink"/>
          <w:rFonts w:ascii="Times New Roman" w:hAnsi="Times New Roman"/>
          <w:b w:val="false"/>
          <w:i w:val="false"/>
          <w:i w:val="false"/>
          <w:caps w:val="false"/>
          <w:smallCaps w:val="false"/>
          <w:spacing w:val="0"/>
          <w:sz w:val="23"/>
          <w:szCs w:val="24"/>
          <w:u w:val="singl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spacing w:val="0"/>
          <w:sz w:val="23"/>
          <w:szCs w:val="24"/>
          <w:u w:val="single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altName w:val="serif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8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lineRule="auto" w:line="259" w:before="0" w:after="160"/>
      <w:jc w:val="left"/>
    </w:pPr>
    <w:rPr>
      <w:rFonts w:ascii="Calibri" w:hAnsi="Calibri" w:eastAsia="Calibri" w:cs="Tahoma"/>
      <w:color w:val="auto"/>
      <w:kern w:val="0"/>
      <w:sz w:val="22"/>
      <w:szCs w:val="22"/>
      <w:lang w:val="ru-RU" w:eastAsia="en-US" w:bidi="ar-SA"/>
    </w:rPr>
  </w:style>
  <w:style w:type="character" w:styleId="DefaultParagraphFont">
    <w:name w:val="Default Paragraph Font"/>
    <w:qFormat/>
    <w:rPr/>
  </w:style>
  <w:style w:type="character" w:styleId="Hyperlink">
    <w:name w:val="Hyperlink"/>
    <w:rPr>
      <w:color w:val="000080"/>
      <w:u w:val="single"/>
    </w:rPr>
  </w:style>
  <w:style w:type="character" w:styleId="FollowedHyperlink">
    <w:name w:val="FollowedHyperlink"/>
    <w:rPr>
      <w:color w:val="800000"/>
      <w:u w:val="single"/>
    </w:rPr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/>
  </w:style>
  <w:style w:type="paragraph" w:styleId="Style11">
    <w:name w:val="Содержимое таблицы"/>
    <w:basedOn w:val="Normal"/>
    <w:qFormat/>
    <w:pPr>
      <w:widowControl w:val="false"/>
      <w:suppressLineNumbers/>
    </w:pPr>
    <w:rPr/>
  </w:style>
  <w:style w:type="paragraph" w:styleId="Style12">
    <w:name w:val="Заголовок таблицы"/>
    <w:basedOn w:val="Style11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pechkurovaar@rushydro.ru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Application>AlterOffice/2026.2.0.0$Linux_X86_64 LibreOffice_project/bc4ef1adf80b36c7a6365f8ed6cbf29021361edd</Application>
  <AppVersion>15.0000</AppVersion>
  <Pages>1</Pages>
  <Words>233</Words>
  <Characters>1302</Characters>
  <CharactersWithSpaces>1460</CharactersWithSpaces>
  <Paragraphs>75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2024-10-21T09:57:00Z</dcterms:created>
  <dc:creator>Завьялова Шушанна Абраамовна</dc:creator>
  <dc:description/>
  <dc:language>ru-RU</dc:language>
  <cp:lastModifiedBy>zavylovasha@corp.gidroogk.com</cp:lastModifiedBy>
  <dcterms:modified xsi:type="dcterms:W3CDTF">2026-10-14T15:45:45Z</dcterms:modified>
  <cp:revision>49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