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713" w:type="dxa"/>
        <w:jc w:val="left"/>
        <w:tblInd w:w="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920"/>
        <w:gridCol w:w="5792"/>
      </w:tblGrid>
      <w:tr>
        <w:trPr>
          <w:trHeight w:val="2804" w:hRule="atLeast"/>
        </w:trPr>
        <w:tc>
          <w:tcPr>
            <w:tcW w:w="4920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79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Приложение № 1 к запросу технико-коммерческих предложений</w:t>
            </w:r>
          </w:p>
          <w:p>
            <w:pPr>
              <w:pStyle w:val="Normal"/>
              <w:widowControl w:val="false"/>
              <w:ind w:left="113" w:right="454"/>
              <w:rPr>
                <w:sz w:val="26"/>
                <w:szCs w:val="26"/>
                <w:lang w:eastAsia="x-none"/>
              </w:rPr>
            </w:pPr>
            <w:r>
              <w:rPr>
                <w:sz w:val="26"/>
                <w:szCs w:val="26"/>
                <w:lang w:eastAsia="x-none"/>
              </w:rPr>
            </w:r>
          </w:p>
          <w:p>
            <w:pPr>
              <w:pStyle w:val="Normal"/>
              <w:widowControl w:val="false"/>
              <w:ind w:firstLine="6096"/>
              <w:rPr>
                <w:sz w:val="26"/>
                <w:szCs w:val="26"/>
                <w:lang w:eastAsia="x-none"/>
              </w:rPr>
            </w:pPr>
            <w:r>
              <w:rPr>
                <w:sz w:val="26"/>
                <w:szCs w:val="26"/>
                <w:lang w:eastAsia="x-none"/>
              </w:rPr>
            </w:r>
          </w:p>
          <w:p>
            <w:pPr>
              <w:pStyle w:val="Normal"/>
              <w:widowControl w:val="false"/>
              <w:ind w:left="5839" w:right="5329"/>
              <w:rPr>
                <w:sz w:val="26"/>
                <w:szCs w:val="26"/>
                <w:lang w:eastAsia="x-none"/>
              </w:rPr>
            </w:pPr>
            <w:r>
              <w:rPr>
                <w:sz w:val="26"/>
                <w:szCs w:val="26"/>
                <w:lang w:eastAsia="x-none"/>
              </w:rPr>
            </w:r>
          </w:p>
        </w:tc>
      </w:tr>
    </w:tbl>
    <w:p>
      <w:pPr>
        <w:pStyle w:val="Normal"/>
        <w:keepNext w:val="true"/>
        <w:keepLines/>
        <w:tabs>
          <w:tab w:val="clear" w:pos="708"/>
          <w:tab w:val="left" w:pos="213" w:leader="none"/>
          <w:tab w:val="right" w:pos="10204" w:leader="none"/>
        </w:tabs>
        <w:rPr>
          <w:sz w:val="24"/>
          <w:szCs w:val="24"/>
        </w:rPr>
      </w:pPr>
      <w:r>
        <w:rPr>
          <w:sz w:val="24"/>
          <w:szCs w:val="24"/>
        </w:rPr>
        <w:tab/>
        <w:tab/>
      </w:r>
    </w:p>
    <w:p>
      <w:pPr>
        <w:pStyle w:val="Normal"/>
        <w:keepNext w:val="true"/>
        <w:keepLines/>
        <w:tabs>
          <w:tab w:val="clear" w:pos="708"/>
          <w:tab w:val="left" w:pos="213" w:leader="none"/>
          <w:tab w:val="right" w:pos="1020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tabs>
          <w:tab w:val="clear" w:pos="708"/>
          <w:tab w:val="left" w:pos="213" w:leader="none"/>
          <w:tab w:val="right" w:pos="1020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tabs>
          <w:tab w:val="clear" w:pos="708"/>
          <w:tab w:val="left" w:pos="213" w:leader="none"/>
          <w:tab w:val="right" w:pos="1020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ind w:right="5159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0" w:name="_Toc141696704"/>
      <w:bookmarkStart w:id="1" w:name="_Toc137554584"/>
      <w:bookmarkStart w:id="2" w:name="_Toc139856287"/>
      <w:bookmarkStart w:id="3" w:name="_Toc141696704"/>
      <w:bookmarkStart w:id="4" w:name="_Toc137554584"/>
      <w:bookmarkStart w:id="5" w:name="_Toc139856287"/>
      <w:bookmarkEnd w:id="3"/>
      <w:bookmarkEnd w:id="4"/>
      <w:bookmarkEnd w:id="5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ОКПД 2: 45.20.11 Оказание услуг по техническому обслуживанию и текущему ремонту негарантийных транспортных средств в г. Комсомольск-на-Амуре для нужд Приамурского транспортного участка Владивостокского представительства АО "ТК РусГидро"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Лот №</w:t>
      </w:r>
      <w:r>
        <w:rPr>
          <w:i/>
          <w:i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8109-ТО ПРОД-2027-Влад ТК РусГидро АО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сведения………………………………………………………………………………….3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Обозначения и сокращения………………………………………………………………..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Наименование закупаемой продукции……………………………………………………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Цель оказания услуг………………………………………………………………………..3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8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Существующее положение………………………………………………………………..3</w:t>
              <w:tab/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продукции……………………………………………………………………...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объемам и срокам оказания услуг………………………………………</w:t>
            </w:r>
          </w:hyperlink>
          <w:r>
            <w:rPr>
              <w:sz w:val="24"/>
              <w:szCs w:val="24"/>
            </w:rPr>
            <w:t>..5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r>
            <w:rPr>
              <w:sz w:val="24"/>
              <w:szCs w:val="24"/>
            </w:rPr>
            <w:t xml:space="preserve">        </w:t>
          </w:r>
          <w:hyperlink w:anchor="_Toc54643704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перечню и объему услуг………………………………………………</w:t>
            </w:r>
          </w:hyperlink>
          <w:r>
            <w:rPr>
              <w:sz w:val="24"/>
              <w:szCs w:val="24"/>
            </w:rPr>
            <w:t>...</w:t>
          </w: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r>
            <w:rPr>
              <w:sz w:val="24"/>
              <w:szCs w:val="24"/>
            </w:rPr>
            <w:t xml:space="preserve">        </w:t>
          </w:r>
          <w:hyperlink w:anchor="_Toc54643706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sz w:val="24"/>
                <w:szCs w:val="24"/>
              </w:rPr>
              <w:t>Требования к срокам оказания услуг………………………………………….………</w:t>
            </w:r>
          </w:hyperlink>
          <w:r>
            <w:rPr>
              <w:sz w:val="24"/>
              <w:szCs w:val="24"/>
            </w:rPr>
            <w:t>..</w:t>
          </w:r>
          <w:hyperlink w:anchor="_Toc546437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качеству услуг……………………………………………………………</w:t>
            </w:r>
          </w:hyperlink>
          <w:r>
            <w:rPr>
              <w:sz w:val="24"/>
              <w:szCs w:val="24"/>
            </w:rPr>
            <w:t>...6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закупки……………………</w:t>
            </w:r>
          </w:hyperlink>
          <w:r>
            <w:rPr/>
            <w:t>9</w:t>
          </w:r>
        </w:p>
        <w:p>
          <w:pPr>
            <w:pStyle w:val="Normal"/>
            <w:rPr>
              <w:rFonts w:eastAsia="" w:eastAsiaTheme="minorEastAsia"/>
            </w:rPr>
          </w:pPr>
          <w:r>
            <w:rPr>
              <w:rFonts w:eastAsia="" w:eastAsiaTheme="minorEastAsia"/>
              <w:b/>
              <w:sz w:val="24"/>
              <w:szCs w:val="24"/>
            </w:rPr>
            <w:t>4</w:t>
          </w:r>
          <w:r>
            <w:rPr>
              <w:rFonts w:eastAsia="" w:eastAsiaTheme="minorEastAsia"/>
            </w:rPr>
            <w:t xml:space="preserve">.     </w:t>
          </w:r>
          <w:r>
            <w:rPr>
              <w:rFonts w:eastAsia="" w:eastAsiaTheme="minorEastAsia"/>
              <w:b/>
              <w:sz w:val="24"/>
              <w:szCs w:val="24"/>
            </w:rPr>
            <w:t>Приложения………………………………..…………………………….……………………....9</w:t>
          </w:r>
          <w:r>
            <w:rPr>
              <w:sz w:val="24"/>
              <w:b/>
              <w:szCs w:val="24"/>
              <w:rFonts w:eastAsia="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</w:rPr>
      </w:pPr>
      <w:r>
        <w:rPr>
          <w:rFonts w:eastAsia="" w:cs="" w:cstheme="minorBidi" w:eastAsiaTheme="minorEastAsia" w:ascii="Calibri" w:hAnsi="Calibri"/>
          <w:b w:val="false"/>
          <w:bCs w:val="false"/>
        </w:rPr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sz w:val="24"/>
          <w:szCs w:val="24"/>
          <w:lang w:val="ru-RU"/>
        </w:rPr>
      </w:pPr>
      <w:bookmarkStart w:id="6" w:name="_Toc54643694"/>
      <w:r>
        <w:rPr>
          <w:sz w:val="24"/>
          <w:szCs w:val="24"/>
          <w:lang w:val="ru-RU"/>
        </w:rPr>
        <w:t>Общие сведения</w:t>
      </w:r>
      <w:bookmarkEnd w:id="6"/>
    </w:p>
    <w:p>
      <w:pPr>
        <w:pStyle w:val="Heading4"/>
        <w:numPr>
          <w:ilvl w:val="1"/>
          <w:numId w:val="3"/>
        </w:numPr>
        <w:spacing w:before="0" w:after="0"/>
        <w:rPr/>
      </w:pPr>
      <w:bookmarkStart w:id="7" w:name="_Toc46743505"/>
      <w:bookmarkStart w:id="8" w:name="_Toc54643695"/>
      <w:r>
        <w:rPr/>
        <w:t>Обозначения и сокращения</w:t>
      </w:r>
      <w:bookmarkEnd w:id="7"/>
      <w:bookmarkEnd w:id="8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ТР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Технический ремонт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Транспортное средство</w:t>
            </w:r>
          </w:p>
        </w:tc>
      </w:tr>
      <w:tr>
        <w:trPr>
          <w:trHeight w:val="53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Транспортный участок</w:t>
            </w:r>
          </w:p>
        </w:tc>
      </w:tr>
      <w:tr>
        <w:trPr>
          <w:trHeight w:val="473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Техническое обслуживание</w:t>
            </w:r>
          </w:p>
        </w:tc>
      </w:tr>
    </w:tbl>
    <w:p>
      <w:pPr>
        <w:pStyle w:val="Heading4"/>
        <w:numPr>
          <w:ilvl w:val="1"/>
          <w:numId w:val="3"/>
        </w:numPr>
        <w:spacing w:before="0" w:after="0"/>
        <w:rPr/>
      </w:pPr>
      <w:bookmarkStart w:id="9" w:name="_Toc54643696"/>
      <w:bookmarkStart w:id="10" w:name="_Toc46743506"/>
      <w:bookmarkEnd w:id="9"/>
      <w:bookmarkEnd w:id="10"/>
      <w:r>
        <w:rPr/>
        <w:t>Наименование закупаемой продукции</w:t>
      </w:r>
    </w:p>
    <w:p>
      <w:pPr>
        <w:pStyle w:val="Normal"/>
        <w:keepNext w:val="true"/>
        <w:keepLines/>
        <w:tabs>
          <w:tab w:val="clear" w:pos="708"/>
          <w:tab w:val="left" w:pos="42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ОКПД 2: 45.20.11 Оказание услуг по техническому обслуживанию и текущему ремонту негарантийных транспортных средств в г. Комсомольск-на-Амуре для нужд Приамурского ТУ Владивостокского представительства АО "ТК РусГидро".</w:t>
      </w:r>
    </w:p>
    <w:p>
      <w:pPr>
        <w:pStyle w:val="Normal"/>
        <w:keepNext w:val="true"/>
        <w:keepLines/>
        <w:tabs>
          <w:tab w:val="clear" w:pos="708"/>
          <w:tab w:val="left" w:pos="426" w:leader="none"/>
        </w:tabs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Heading4"/>
        <w:widowControl w:val="false"/>
        <w:numPr>
          <w:ilvl w:val="1"/>
          <w:numId w:val="3"/>
        </w:numPr>
        <w:tabs>
          <w:tab w:val="left" w:pos="0" w:leader="none"/>
          <w:tab w:val="left" w:pos="426" w:leader="none"/>
        </w:tabs>
        <w:spacing w:before="0" w:after="0"/>
        <w:ind w:hanging="431" w:left="431"/>
        <w:jc w:val="both"/>
        <w:rPr>
          <w:b w:val="false"/>
          <w:i/>
          <w:i/>
          <w:shd w:fill="FFFF99" w:val="clear"/>
        </w:rPr>
      </w:pPr>
      <w:r>
        <w:rPr/>
        <w:t xml:space="preserve">Цель </w:t>
      </w:r>
      <w:r>
        <w:rPr>
          <w:lang w:val="ru-RU"/>
        </w:rPr>
        <w:t>оказания услуг</w:t>
      </w:r>
      <w:r>
        <w:rPr/>
        <w:t xml:space="preserve"> </w:t>
      </w:r>
    </w:p>
    <w:p>
      <w:pPr>
        <w:pStyle w:val="Heading4"/>
        <w:widowControl w:val="false"/>
        <w:tabs>
          <w:tab w:val="clear" w:pos="0"/>
        </w:tabs>
        <w:spacing w:before="0" w:after="0"/>
        <w:ind w:hanging="0" w:left="0"/>
        <w:jc w:val="both"/>
        <w:rPr>
          <w:b w:val="false"/>
          <w:lang w:val="ru-RU"/>
        </w:rPr>
      </w:pPr>
      <w:r>
        <w:rPr>
          <w:b w:val="false"/>
          <w:lang w:val="ru-RU"/>
        </w:rPr>
        <w:t>Проведение технического обслуживания и технического ремонта транспортных средств в г. Комсомольске-на-Амуре для нужд</w:t>
      </w:r>
      <w:r>
        <w:rPr>
          <w:b w:val="false"/>
        </w:rPr>
        <w:t xml:space="preserve"> Владивостокского представительства АО «ТК РусГидро»</w:t>
      </w:r>
      <w:r>
        <w:rPr>
          <w:b w:val="false"/>
          <w:lang w:val="ru-RU"/>
        </w:rPr>
        <w:t xml:space="preserve"> с целью поддержания автотранспорта в надлежащем состоянии.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spacing w:before="0" w:after="0"/>
        <w:rPr/>
      </w:pPr>
      <w:r>
        <w:rPr/>
        <w:t>Существующее положение</w:t>
      </w:r>
      <w:r>
        <w:rPr>
          <w:lang w:val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auto" w:val="clear"/>
        </w:rPr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Эксплуатация транспортных средств осуществляется в рамках исполнения доходного договора на транспортное обслуживание № 71-13/1034 от 01.07.2026г. с ПАО «ДЭК», согласно перечня (Таблица 1 Перечень объектов заказчика).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auto" w:val="clear"/>
        </w:rPr>
      </w:pPr>
      <w:r>
        <w:rPr>
          <w:b w:val="false"/>
          <w:bCs/>
          <w:i w:val="false"/>
          <w:sz w:val="24"/>
          <w:szCs w:val="24"/>
          <w:shd w:fill="auto" w:val="clear"/>
        </w:rPr>
      </w:r>
    </w:p>
    <w:p>
      <w:pPr>
        <w:pStyle w:val="Heading1"/>
        <w:keepLines/>
        <w:tabs>
          <w:tab w:val="clear" w:pos="0"/>
        </w:tabs>
        <w:spacing w:before="0" w:after="0"/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</w:p>
    <w:p>
      <w:pPr>
        <w:sectPr>
          <w:headerReference w:type="default" r:id="rId2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affff7"/>
        <w:tblW w:w="10147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2"/>
        <w:gridCol w:w="2026"/>
        <w:gridCol w:w="1933"/>
        <w:gridCol w:w="3696"/>
        <w:gridCol w:w="1930"/>
      </w:tblGrid>
      <w:tr>
        <w:trPr/>
        <w:tc>
          <w:tcPr>
            <w:tcW w:w="5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0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Наименование объекта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Расположение объекта </w:t>
              <w:br/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(место оказания услуг)</w:t>
            </w:r>
          </w:p>
        </w:tc>
        <w:tc>
          <w:tcPr>
            <w:tcW w:w="369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Примечания</w:t>
            </w:r>
          </w:p>
        </w:tc>
      </w:tr>
      <w:tr>
        <w:trPr/>
        <w:tc>
          <w:tcPr>
            <w:tcW w:w="5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9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69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9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5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rStyle w:val="Strong"/>
                <w:b w:val="false"/>
                <w:sz w:val="24"/>
                <w:szCs w:val="24"/>
                <w:lang w:val="en-US"/>
              </w:rPr>
            </w:pPr>
            <w:r>
              <w:rPr>
                <w:rStyle w:val="Strong"/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Транспортное средство</w:t>
            </w:r>
          </w:p>
        </w:tc>
        <w:tc>
          <w:tcPr>
            <w:tcW w:w="19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г. Хабаровск</w:t>
            </w:r>
          </w:p>
        </w:tc>
        <w:tc>
          <w:tcPr>
            <w:tcW w:w="369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hanging="340" w:left="340"/>
              <w:contextualSpacing/>
              <w:jc w:val="both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iCs/>
                <w:kern w:val="0"/>
                <w:lang w:val="en-US" w:eastAsia="ru-RU" w:bidi="ar-SA"/>
              </w:rPr>
              <w:t>TOYOTA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iCs/>
                <w:kern w:val="0"/>
                <w:lang w:val="en-US" w:eastAsia="ru-RU" w:bidi="ar-SA"/>
              </w:rPr>
              <w:t>Filder 2001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г</w:t>
            </w:r>
            <w:r>
              <w:rPr>
                <w:rFonts w:cs="Times New Roman"/>
                <w:iCs/>
                <w:kern w:val="0"/>
                <w:lang w:val="en-US" w:eastAsia="ru-RU" w:bidi="ar-SA"/>
              </w:rPr>
              <w:t xml:space="preserve"> (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Бензин</w:t>
            </w:r>
            <w:r>
              <w:rPr>
                <w:rFonts w:cs="Times New Roman"/>
                <w:iCs/>
                <w:kern w:val="0"/>
                <w:lang w:val="en-US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hanging="340" w:left="340"/>
              <w:contextualSpacing/>
              <w:jc w:val="both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iCs/>
                <w:kern w:val="0"/>
                <w:lang w:val="en-US" w:eastAsia="ru-RU" w:bidi="ar-SA"/>
              </w:rPr>
              <w:t>RENAULT DUSTER 2020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г</w:t>
            </w:r>
            <w:r>
              <w:rPr>
                <w:rFonts w:cs="Times New Roman"/>
                <w:iCs/>
                <w:kern w:val="0"/>
                <w:lang w:val="en-US" w:eastAsia="ru-RU" w:bidi="ar-SA"/>
              </w:rPr>
              <w:t xml:space="preserve"> (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бензин</w:t>
            </w:r>
            <w:r>
              <w:rPr>
                <w:rFonts w:cs="Times New Roman"/>
                <w:iCs/>
                <w:kern w:val="0"/>
                <w:lang w:val="en-US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hanging="340" w:left="340"/>
              <w:contextualSpacing/>
              <w:jc w:val="left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iCs/>
                <w:kern w:val="0"/>
                <w:lang w:val="en-US" w:eastAsia="ru-RU" w:bidi="ar-SA"/>
              </w:rPr>
              <w:t>Peugeot 39023A 2020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г</w:t>
            </w:r>
            <w:r>
              <w:rPr>
                <w:rFonts w:cs="Times New Roman"/>
                <w:iCs/>
                <w:kern w:val="0"/>
                <w:lang w:val="en-US" w:eastAsia="ru-RU" w:bidi="ar-SA"/>
              </w:rPr>
              <w:t xml:space="preserve"> (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ДТ)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hanging="340" w:left="340"/>
              <w:contextualSpacing/>
              <w:jc w:val="left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iCs/>
                <w:kern w:val="0"/>
                <w:lang w:val="en-US" w:eastAsia="ru-RU" w:bidi="ar-SA"/>
              </w:rPr>
              <w:t>TOYOTA LAND CRUISER (Бензин)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hanging="340" w:left="340"/>
              <w:contextualSpacing/>
              <w:jc w:val="both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iCs/>
                <w:kern w:val="0"/>
                <w:lang w:val="en-US" w:eastAsia="ru-RU" w:bidi="ar-SA"/>
              </w:rPr>
              <w:t>TOYOTA Fortuner 2020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г</w:t>
            </w:r>
            <w:r>
              <w:rPr>
                <w:rFonts w:cs="Times New Roman"/>
                <w:iCs/>
                <w:kern w:val="0"/>
                <w:lang w:val="en-US" w:eastAsia="ru-RU" w:bidi="ar-SA"/>
              </w:rPr>
              <w:t xml:space="preserve"> (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ДТ)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hanging="340" w:left="340"/>
              <w:contextualSpacing/>
              <w:jc w:val="both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iCs/>
                <w:kern w:val="0"/>
                <w:lang w:val="en-US" w:eastAsia="ru-RU" w:bidi="ar-SA"/>
              </w:rPr>
              <w:t>УАЗ-390995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-04</w:t>
            </w:r>
            <w:r>
              <w:rPr>
                <w:rFonts w:cs="Times New Roman"/>
                <w:iCs/>
                <w:kern w:val="0"/>
                <w:lang w:val="en-US" w:eastAsia="ru-RU" w:bidi="ar-SA"/>
              </w:rPr>
              <w:t xml:space="preserve"> 2020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г (бензин)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hanging="340" w:left="340"/>
              <w:contextualSpacing/>
              <w:jc w:val="left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iCs/>
                <w:kern w:val="0"/>
                <w:lang w:val="en-US" w:eastAsia="ru-RU" w:bidi="ar-SA"/>
              </w:rPr>
              <w:t>UAZ PATRIOT 20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13</w:t>
            </w:r>
            <w:r>
              <w:rPr>
                <w:rFonts w:cs="Times New Roman"/>
                <w:iCs/>
                <w:kern w:val="0"/>
                <w:lang w:val="en-US" w:eastAsia="ru-RU" w:bidi="ar-SA"/>
              </w:rPr>
              <w:t>г (Бензин)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hanging="340" w:left="340"/>
              <w:contextualSpacing/>
              <w:jc w:val="left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iCs/>
                <w:kern w:val="0"/>
                <w:lang w:val="en-US" w:eastAsia="ru-RU" w:bidi="ar-SA"/>
              </w:rPr>
              <w:t>UAZ PATRIOT 20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16</w:t>
            </w:r>
            <w:r>
              <w:rPr>
                <w:rFonts w:cs="Times New Roman"/>
                <w:iCs/>
                <w:kern w:val="0"/>
                <w:lang w:val="en-US" w:eastAsia="ru-RU" w:bidi="ar-SA"/>
              </w:rPr>
              <w:t>г (Бензин)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hanging="340" w:left="340"/>
              <w:contextualSpacing/>
              <w:jc w:val="left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iCs/>
                <w:kern w:val="0"/>
                <w:lang w:val="en-US" w:eastAsia="ru-RU" w:bidi="ar-SA"/>
              </w:rPr>
              <w:t>УАЗ-390995-04 20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16</w:t>
            </w:r>
            <w:r>
              <w:rPr>
                <w:rFonts w:cs="Times New Roman"/>
                <w:iCs/>
                <w:kern w:val="0"/>
                <w:lang w:val="en-US" w:eastAsia="ru-RU" w:bidi="ar-SA"/>
              </w:rPr>
              <w:t>г (бензин)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hanging="340" w:left="340"/>
              <w:contextualSpacing/>
              <w:jc w:val="left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iCs/>
                <w:kern w:val="0"/>
                <w:lang w:val="en-US" w:eastAsia="ru-RU" w:bidi="ar-SA"/>
              </w:rPr>
              <w:t>УАЗ-390995-04 20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20</w:t>
            </w:r>
            <w:r>
              <w:rPr>
                <w:rFonts w:cs="Times New Roman"/>
                <w:iCs/>
                <w:kern w:val="0"/>
                <w:lang w:val="en-US" w:eastAsia="ru-RU" w:bidi="ar-SA"/>
              </w:rPr>
              <w:t>г (бензин)</w:t>
            </w:r>
          </w:p>
        </w:tc>
        <w:tc>
          <w:tcPr>
            <w:tcW w:w="19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b w:val="false"/>
                <w:bCs/>
                <w:i w:val="false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gutter="0" w:header="680" w:top="737" w:footer="0" w:bottom="992"/>
          <w:formProt w:val="false"/>
          <w:textDirection w:val="lrTb"/>
          <w:docGrid w:type="default" w:linePitch="100" w:charSpace="0"/>
        </w:sectPr>
      </w:pPr>
    </w:p>
    <w:p>
      <w:pPr>
        <w:pStyle w:val="Heading1"/>
        <w:keepLines/>
        <w:tabs>
          <w:tab w:val="clear" w:pos="0"/>
        </w:tabs>
        <w:ind w:hanging="0" w:left="0"/>
        <w:jc w:val="center"/>
        <w:rPr>
          <w:iCs/>
          <w:caps/>
          <w:sz w:val="24"/>
          <w:szCs w:val="24"/>
          <w:lang w:val="ru-RU"/>
        </w:rPr>
      </w:pPr>
      <w:bookmarkStart w:id="11" w:name="_Toc54643702"/>
      <w:bookmarkStart w:id="12" w:name="_Toc51339693"/>
      <w:bookmarkStart w:id="13" w:name="_Toc46743506_Копия_1"/>
      <w:bookmarkStart w:id="14" w:name="_Toc54643696_Копия_1"/>
      <w:bookmarkStart w:id="15" w:name="_Toc46743510"/>
      <w:bookmarkStart w:id="16" w:name="_Toc50125126"/>
      <w:bookmarkEnd w:id="13"/>
      <w:bookmarkEnd w:id="14"/>
      <w:bookmarkEnd w:id="15"/>
      <w:bookmarkEnd w:id="16"/>
      <w:r>
        <w:rPr>
          <w:iCs/>
          <w:sz w:val="24"/>
          <w:szCs w:val="24"/>
          <w:lang w:val="ru-RU"/>
        </w:rPr>
        <w:t>2. Требования</w:t>
      </w:r>
      <w:r>
        <w:rPr>
          <w:iCs/>
          <w:sz w:val="24"/>
          <w:szCs w:val="24"/>
        </w:rPr>
        <w:t xml:space="preserve"> к продукции</w:t>
      </w:r>
      <w:bookmarkEnd w:id="11"/>
      <w:bookmarkEnd w:id="12"/>
    </w:p>
    <w:p>
      <w:pPr>
        <w:pStyle w:val="Heading4"/>
        <w:tabs>
          <w:tab w:val="clear" w:pos="0"/>
        </w:tabs>
        <w:spacing w:before="0" w:after="0"/>
        <w:ind w:hanging="0" w:left="0"/>
        <w:rPr/>
      </w:pPr>
      <w:bookmarkStart w:id="17" w:name="_Toc54643703"/>
      <w:r>
        <w:rPr>
          <w:lang w:val="ru-RU"/>
        </w:rPr>
        <w:t xml:space="preserve">2.1. </w:t>
      </w:r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7"/>
    </w:p>
    <w:p>
      <w:pPr>
        <w:pStyle w:val="Heading3"/>
        <w:tabs>
          <w:tab w:val="clear" w:pos="0"/>
        </w:tabs>
        <w:spacing w:before="0" w:after="0"/>
        <w:ind w:hanging="0" w:left="720"/>
        <w:rPr/>
      </w:pPr>
      <w:bookmarkStart w:id="18" w:name="_Toc54643704"/>
      <w:r>
        <w:rPr>
          <w:lang w:val="ru-RU"/>
        </w:rPr>
        <w:t>2.1.1. Требования к перечню и объему услуг</w:t>
      </w:r>
      <w:bookmarkEnd w:id="18"/>
    </w:p>
    <w:p>
      <w:pPr>
        <w:pStyle w:val="Heading1"/>
        <w:keepLines/>
        <w:tabs>
          <w:tab w:val="clear" w:pos="0"/>
        </w:tabs>
        <w:spacing w:before="0" w:after="0"/>
        <w:ind w:hanging="0" w:left="0"/>
        <w:rPr>
          <w:sz w:val="24"/>
          <w:szCs w:val="24"/>
          <w:lang w:val="ru-RU"/>
        </w:rPr>
      </w:pPr>
      <w:bookmarkStart w:id="19" w:name="_Toc54643705"/>
      <w:bookmarkStart w:id="20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0"/>
      <w:r>
        <w:rPr>
          <w:sz w:val="24"/>
          <w:szCs w:val="24"/>
          <w:lang w:val="ru-RU"/>
        </w:rPr>
        <w:t>и объем оказываемых услуг</w:t>
      </w:r>
      <w:bookmarkEnd w:id="19"/>
    </w:p>
    <w:tbl>
      <w:tblPr>
        <w:tblW w:w="14772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7826"/>
        <w:gridCol w:w="1845"/>
        <w:gridCol w:w="4251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услуг / этапа услуг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Единица измерения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Количество*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</w:p>
        </w:tc>
      </w:tr>
      <w:tr>
        <w:trPr>
          <w:trHeight w:val="780" w:hRule="exac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sz w:val="23"/>
                <w:szCs w:val="23"/>
                <w:shd w:fill="FFFF99" w:val="clear"/>
              </w:rPr>
            </w:pPr>
            <w:r>
              <w:rPr>
                <w:sz w:val="23"/>
                <w:szCs w:val="23"/>
              </w:rPr>
              <w:t>Перечень и объем оказываемых услуг указан в ведомости объемов работ по техническому обслуживанию транспортных средств, являющейся приложением к настоящим Техническим требованиям (Приложение №1).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Услуга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>
        <w:trPr>
          <w:trHeight w:val="275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Технический ремонт транспортных средств – Слесарно-механические работы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Нормо-час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F2F2F2" w:fill="FFFFFF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57,2</w:t>
            </w:r>
          </w:p>
        </w:tc>
      </w:tr>
      <w:tr>
        <w:trPr>
          <w:trHeight w:val="275" w:hRule="atLeast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Технический ремонт транспортных средств — Монтажно-демонтажные работы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Нормо-час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</w:tcBorders>
            <w:shd w:color="F2F2F2" w:fill="FFFFFF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55</w:t>
            </w:r>
          </w:p>
        </w:tc>
      </w:tr>
      <w:tr>
        <w:trPr>
          <w:trHeight w:val="265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Технический ремонт транспортных средств – Электромонтажные работы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Нормо-час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</w:tcBorders>
            <w:shd w:color="F2F2F2" w:fill="FFFFFF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45</w:t>
            </w:r>
          </w:p>
        </w:tc>
      </w:tr>
      <w:tr>
        <w:trPr>
          <w:trHeight w:val="265" w:hRule="atLeast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Технический ремонт транспортных средств - Шиномонтажные работы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Нормо-час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25</w:t>
            </w:r>
          </w:p>
        </w:tc>
      </w:tr>
      <w:tr>
        <w:trPr>
          <w:trHeight w:val="269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Технический ремонт транспортных средств – Арматурные работы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Нормо-час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</w:tcBorders>
            <w:shd w:color="F2F2F2" w:fill="FFFFFF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45</w:t>
            </w:r>
          </w:p>
        </w:tc>
      </w:tr>
      <w:tr>
        <w:trPr>
          <w:trHeight w:val="287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Технический ремонт транспортных средств – Кузовные и малярные работы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Нормо-час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</w:tcBorders>
            <w:shd w:color="F2F2F2" w:fill="FFFFFF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25</w:t>
            </w:r>
          </w:p>
        </w:tc>
      </w:tr>
      <w:tr>
        <w:trPr>
          <w:trHeight w:val="263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Технический ремонт транспортных средств – Диагностические работы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Нормо-час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</w:tcBorders>
            <w:shd w:color="F2F2F2" w:fill="FFFFFF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25</w:t>
            </w:r>
          </w:p>
        </w:tc>
      </w:tr>
      <w:tr>
        <w:trPr>
          <w:trHeight w:val="263" w:hRule="atLeast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Технический ремонт транспортных средств – Работы по мойке кузова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Нормо-час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</w:tcBorders>
            <w:shd w:color="F2F2F2" w:fill="FFFFFF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20</w:t>
            </w:r>
          </w:p>
        </w:tc>
      </w:tr>
      <w:tr>
        <w:trPr>
          <w:trHeight w:val="263" w:hRule="atLeast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Технический ремонт транспортных средств- Работы по химчистке салона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Нормо-час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</w:tcBorders>
            <w:shd w:color="F2F2F2" w:fill="FFFFFF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20</w:t>
            </w:r>
          </w:p>
        </w:tc>
      </w:tr>
    </w:tbl>
    <w:p>
      <w:pPr>
        <w:pStyle w:val="Heading3"/>
        <w:tabs>
          <w:tab w:val="clear" w:pos="0"/>
        </w:tabs>
        <w:ind w:hanging="0" w:left="720"/>
        <w:rPr>
          <w:b w:val="false"/>
          <w:i/>
          <w:i/>
          <w:lang w:val="ru-RU"/>
        </w:rPr>
      </w:pPr>
      <w:r>
        <w:rPr>
          <w:b w:val="false"/>
          <w:i/>
          <w:lang w:val="ru-RU"/>
        </w:rPr>
        <w:t>*Объем услуг является ориентировочным, Заказчик не несет ответственности за неполную выборку услуг на общую сумму договора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tabs>
          <w:tab w:val="clear" w:pos="0"/>
        </w:tabs>
        <w:spacing w:before="0" w:after="0"/>
        <w:ind w:hanging="0" w:left="720"/>
        <w:rPr>
          <w:lang w:val="ru-RU"/>
        </w:rPr>
      </w:pPr>
      <w:r>
        <w:rPr>
          <w:lang w:val="ru-RU"/>
        </w:rPr>
        <w:t>2.1.2. Требования к срокам оказания услуг</w:t>
      </w:r>
    </w:p>
    <w:p>
      <w:pPr>
        <w:pStyle w:val="Heading1"/>
        <w:keepLines/>
        <w:tabs>
          <w:tab w:val="clear" w:pos="0"/>
        </w:tabs>
        <w:spacing w:before="0" w:after="60"/>
        <w:ind w:hanging="0" w:left="0"/>
        <w:rPr>
          <w:sz w:val="24"/>
          <w:szCs w:val="24"/>
          <w:lang w:val="ru-RU"/>
        </w:rPr>
      </w:pPr>
      <w:bookmarkStart w:id="21" w:name="_Toc54643707"/>
      <w:bookmarkStart w:id="22" w:name="_Toc51339697"/>
      <w:bookmarkStart w:id="23" w:name="_Toc50125127"/>
      <w:bookmarkStart w:id="24" w:name="_Toc50125126_Копия_1"/>
      <w:bookmarkEnd w:id="2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5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2"/>
      <w:bookmarkEnd w:id="23"/>
      <w:bookmarkEnd w:id="25"/>
      <w:r>
        <w:rPr>
          <w:sz w:val="24"/>
          <w:szCs w:val="24"/>
          <w:lang w:val="ru-RU"/>
        </w:rPr>
        <w:t>оказания услуг</w:t>
      </w:r>
      <w:bookmarkEnd w:id="21"/>
    </w:p>
    <w:tbl>
      <w:tblPr>
        <w:tblW w:w="14879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5953"/>
        <w:gridCol w:w="2693"/>
        <w:gridCol w:w="5103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№ </w:t>
            </w:r>
            <w:r>
              <w:rPr>
                <w:sz w:val="23"/>
                <w:szCs w:val="23"/>
              </w:rPr>
              <w:t>п/п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услуг/ этапа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Требования к началу срока оказания услуг/ этапа услуг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</w:p>
        </w:tc>
      </w:tr>
      <w:tr>
        <w:trPr>
          <w:trHeight w:val="320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113"/>
              <w:jc w:val="both"/>
              <w:rPr>
                <w:iCs/>
                <w:sz w:val="23"/>
                <w:szCs w:val="23"/>
              </w:rPr>
            </w:pPr>
            <w:r>
              <w:rPr>
                <w:rFonts w:eastAsia="Times New Roman"/>
                <w:sz w:val="22"/>
                <w:szCs w:val="22"/>
              </w:rPr>
              <w:t>45.20.11 Оказание услуг по техническому обслуживанию и текущему ремонту негарантийных транспортных средств в г. Комсомольск-на-Амуре для нужд Приамурского ТУ Владивостокского представительства АО "ТК РусГидро"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  <w:lang w:val="en-US"/>
              </w:rPr>
            </w:pPr>
            <w:r>
              <w:rPr>
                <w:i/>
                <w:sz w:val="23"/>
                <w:szCs w:val="23"/>
              </w:rPr>
              <w:t>01.01.202</w:t>
            </w:r>
            <w:r>
              <w:rPr>
                <w:i/>
                <w:sz w:val="23"/>
                <w:szCs w:val="23"/>
                <w:lang w:val="en-US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  <w:lang w:val="en-US"/>
              </w:rPr>
            </w:pPr>
            <w:r>
              <w:rPr>
                <w:i/>
                <w:sz w:val="23"/>
                <w:szCs w:val="23"/>
              </w:rPr>
              <w:t>31.</w:t>
            </w:r>
            <w:r>
              <w:rPr>
                <w:i/>
                <w:sz w:val="23"/>
                <w:szCs w:val="23"/>
                <w:lang w:val="en-US"/>
              </w:rPr>
              <w:t>12</w:t>
            </w:r>
            <w:r>
              <w:rPr>
                <w:i/>
                <w:sz w:val="23"/>
                <w:szCs w:val="23"/>
              </w:rPr>
              <w:t>.202</w:t>
            </w:r>
            <w:r>
              <w:rPr>
                <w:i/>
                <w:sz w:val="23"/>
                <w:szCs w:val="23"/>
                <w:lang w:val="en-US"/>
              </w:rPr>
              <w:t>7</w:t>
            </w:r>
          </w:p>
        </w:tc>
      </w:tr>
    </w:tbl>
    <w:p>
      <w:pPr>
        <w:pStyle w:val="Heading4"/>
        <w:tabs>
          <w:tab w:val="clear" w:pos="0"/>
        </w:tabs>
        <w:spacing w:before="0" w:after="0"/>
        <w:ind w:hanging="0" w:left="0"/>
        <w:rPr>
          <w:lang w:val="ru-RU"/>
        </w:rPr>
      </w:pPr>
      <w:r>
        <w:rPr>
          <w:lang w:val="ru-RU"/>
        </w:rPr>
      </w:r>
      <w:bookmarkStart w:id="26" w:name="_Toc46743510_Копия_1"/>
      <w:bookmarkStart w:id="27" w:name="_Toc46743510_Копия_1"/>
      <w:bookmarkEnd w:id="27"/>
    </w:p>
    <w:p>
      <w:pPr>
        <w:pStyle w:val="Heading4"/>
        <w:tabs>
          <w:tab w:val="clear" w:pos="0"/>
        </w:tabs>
        <w:spacing w:before="0" w:after="0"/>
        <w:ind w:hanging="0" w:left="0"/>
        <w:rPr/>
      </w:pPr>
      <w:r>
        <w:rPr>
          <w:lang w:val="ru-RU"/>
        </w:rPr>
        <w:t xml:space="preserve">2.2. </w:t>
      </w:r>
      <w:r>
        <w:rPr/>
        <w:t xml:space="preserve">Требования к </w:t>
      </w:r>
      <w:r>
        <w:rPr>
          <w:lang w:val="ru-RU"/>
        </w:rPr>
        <w:t>качеству услуг</w:t>
      </w:r>
    </w:p>
    <w:p>
      <w:pPr>
        <w:pStyle w:val="Heading1"/>
        <w:keepLines/>
        <w:tabs>
          <w:tab w:val="clear" w:pos="0"/>
        </w:tabs>
        <w:spacing w:before="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r>
        <w:rPr>
          <w:sz w:val="24"/>
          <w:szCs w:val="24"/>
        </w:rPr>
        <w:t xml:space="preserve"> </w:t>
      </w:r>
    </w:p>
    <w:p>
      <w:pPr>
        <w:pStyle w:val="Normal"/>
        <w:keepNext w:val="true"/>
        <w:keepLines/>
        <w:tabs>
          <w:tab w:val="clear" w:pos="708"/>
          <w:tab w:val="left" w:pos="426" w:leader="none"/>
        </w:tabs>
        <w:jc w:val="both"/>
        <w:rPr>
          <w:sz w:val="24"/>
          <w:szCs w:val="24"/>
          <w:shd w:fill="FFFF00" w:val="clear"/>
        </w:rPr>
      </w:pPr>
      <w:r>
        <w:rPr>
          <w:b/>
          <w:bCs/>
          <w:sz w:val="24"/>
          <w:szCs w:val="24"/>
        </w:rPr>
        <w:t>Наименование услуг/этапа услуг (позиция №1 Таблицы 2):</w:t>
      </w:r>
      <w:r>
        <w:rPr>
          <w:b/>
          <w:bCs/>
          <w:sz w:val="24"/>
          <w:szCs w:val="24"/>
          <w:shd w:fill="auto" w:val="clear"/>
        </w:rPr>
        <w:t xml:space="preserve"> </w:t>
      </w:r>
      <w:r>
        <w:rPr>
          <w:sz w:val="24"/>
          <w:szCs w:val="24"/>
          <w:shd w:fill="auto" w:val="clear"/>
        </w:rPr>
        <w:t>ОКПД 2: 45.20.11 Оказание услуг по техническому обслуживанию и текущему ремонту негарантийных транспортных средств в г. Комсомольск-на-Амуре для нужд Приамурского транспортного участка Владивостокского представительства АО "ТК РусГидро"</w:t>
      </w:r>
      <w:bookmarkStart w:id="28" w:name="_GoBack"/>
      <w:bookmarkEnd w:id="28"/>
    </w:p>
    <w:p>
      <w:pPr>
        <w:pStyle w:val="Normal"/>
        <w:keepNext w:val="true"/>
        <w:keepLines/>
        <w:tabs>
          <w:tab w:val="clear" w:pos="708"/>
          <w:tab w:val="left" w:pos="426" w:leader="none"/>
        </w:tabs>
        <w:jc w:val="both"/>
        <w:rPr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tbl>
      <w:tblPr>
        <w:tblStyle w:val="affff7"/>
        <w:tblW w:w="1488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95"/>
        <w:gridCol w:w="3931"/>
        <w:gridCol w:w="633"/>
        <w:gridCol w:w="4562"/>
        <w:gridCol w:w="3081"/>
        <w:gridCol w:w="1483"/>
      </w:tblGrid>
      <w:tr>
        <w:trPr/>
        <w:tc>
          <w:tcPr>
            <w:tcW w:w="119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9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195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56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2022" w:hRule="atLeast"/>
        </w:trPr>
        <w:tc>
          <w:tcPr>
            <w:tcW w:w="119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9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195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4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9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1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0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4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308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308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93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Основание для оказания услуг</w:t>
            </w:r>
          </w:p>
        </w:tc>
        <w:tc>
          <w:tcPr>
            <w:tcW w:w="519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обязуется оказывать Заказчику услуги по техническому обслуживанию и ремонту транспортных средств Заказчика на основании заявок Заказчика.</w:t>
            </w:r>
          </w:p>
        </w:tc>
        <w:tc>
          <w:tcPr>
            <w:tcW w:w="3081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заявке согласие оказать услуги, полностью соответствующие настоящим техническим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требованиям</w:t>
            </w:r>
          </w:p>
        </w:tc>
        <w:tc>
          <w:tcPr>
            <w:tcW w:w="1483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93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Использование собственных расходных материалов и запчастей Исполнителя.</w:t>
            </w:r>
          </w:p>
        </w:tc>
        <w:tc>
          <w:tcPr>
            <w:tcW w:w="519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собственных материалов и запчастей Исполнителя при оказании услуги.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603" w:hRule="atLeast"/>
        </w:trPr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93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Возможность выбора запасных частей и расходных материалов.</w:t>
            </w:r>
          </w:p>
        </w:tc>
        <w:tc>
          <w:tcPr>
            <w:tcW w:w="519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Предоставить возможность выбора запасных частей и расходных материалов у различных официальных источников.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-//-</w:t>
            </w:r>
          </w:p>
        </w:tc>
      </w:tr>
      <w:tr>
        <w:trPr>
          <w:trHeight w:val="757" w:hRule="atLeast"/>
        </w:trPr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93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Осуществление контроля.</w:t>
            </w:r>
          </w:p>
        </w:tc>
        <w:tc>
          <w:tcPr>
            <w:tcW w:w="519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Осуществлять допуск Заказчика к проведению контроля за выполняемыми работами при оказании услуги по ремонту ТС.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             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Техническое обслуживание и технический ремонт не гарантийных транспортных средств должен проводиться с соблюдением «Правил оказания услуг (выполнения работ) по техническому обслуживанию и ремонту автомототранспортных средств», утвержденных Постановлением Правительства РФ от 11.04.2001 № 290, инструкций по эксплуатации транспортных средств, государственных стандартов к техническому состоянию транспортных средств, с целью поддержания надлежащего технического состояния транспортных средств.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93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характеристикам устанавливаемых деталей, узлов, механизмов, материалам, маслам и специальных жидкостей</w:t>
            </w:r>
          </w:p>
        </w:tc>
        <w:tc>
          <w:tcPr>
            <w:tcW w:w="519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Устанавливаемые и используемые на ТС детали, узлы, механизмы, материалы, приборы, масла и специальные жидкости должны быть новыми, не бывшим в употреблении, не восстановленными, не содержать восстановленных элементов, не должны иметь дефектов, связанных с конструкцией, материалами или работой по их изготовлению. Должны соответствовать рекомендациям, изложенным в руководстве по эксплуатации, выданным заводом-изготовителем, для данной марки автомобиля.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Проведение ТО и 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 ТР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должно выполняться квалифицированным персоналом.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>
          <w:trHeight w:val="249" w:hRule="atLeast"/>
        </w:trPr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После выполнения работ ТС должно отвечать требованиям, регламентирующим техническое состояние и оборудование транспортных средств, участвующих в дорожном движении, в части, относящейся к обеспечению безопасности дорожного движения (Постановление правительства РФ от 23.10.1993 №1090 «О правилах дорожного движения»).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 прошедшие ТО и ТР должно отвечать требованиям Технического регламента Таможенного союза ТР ТС 018/2011 «О безопасности колесных транспортных средств» Утвержденного Решением Комиссии Таможенного союза от 09.12.2011г №877.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93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Осмотр транспортного средства после оказании услуги.</w:t>
            </w:r>
          </w:p>
        </w:tc>
        <w:tc>
          <w:tcPr>
            <w:tcW w:w="519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После оказании услуги Заказчик проводит визуальный осмотр транспортного средства на предмет соответствия заменённых деталей, узлов, агрегатов, механизмов в процессе ремонта.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93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сдачи приемки оказанных услуг</w:t>
            </w:r>
          </w:p>
        </w:tc>
        <w:tc>
          <w:tcPr>
            <w:tcW w:w="51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акт сдачи-приемки оказанных услуг в двух экземплярах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989" w:hRule="atLeast"/>
        </w:trPr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93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 на оплату</w:t>
            </w:r>
          </w:p>
        </w:tc>
        <w:tc>
          <w:tcPr>
            <w:tcW w:w="51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счет на оплату после оказания услуги.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404" w:hRule="atLeast"/>
        </w:trPr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93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Счет-фактура (если контрагент является плательщиком НДС)</w:t>
            </w:r>
          </w:p>
        </w:tc>
        <w:tc>
          <w:tcPr>
            <w:tcW w:w="51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счет фактуру (если Исполнитель является плательщиком НДС)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>
          <w:trHeight w:val="1252" w:hRule="atLeast"/>
        </w:trPr>
        <w:tc>
          <w:tcPr>
            <w:tcW w:w="119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126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ru-RU" w:bidi="ar-SA"/>
              </w:rPr>
              <w:t>Исполнитель обязан предоставить гарантии на установленные узлы, агрегаты и запасные части согласно срокам, установленных заводом-изготовителем, а на оказанные услуги по ТР не менее 6 (шести) месяцев при условии эксплуатации транспортного средства согласно руководству по эксплуатации.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>
          <w:trHeight w:val="391" w:hRule="atLeast"/>
        </w:trPr>
        <w:tc>
          <w:tcPr>
            <w:tcW w:w="11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9126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4"/>
                <w:szCs w:val="24"/>
                <w:lang w:val="ru-RU" w:eastAsia="ru-RU" w:bidi="ar-SA"/>
              </w:rPr>
              <w:t>Квалификационные требования к участникам закупки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>
          <w:trHeight w:val="1170" w:hRule="atLeast"/>
        </w:trPr>
        <w:tc>
          <w:tcPr>
            <w:tcW w:w="11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4.1.</w:t>
            </w:r>
          </w:p>
        </w:tc>
        <w:tc>
          <w:tcPr>
            <w:tcW w:w="4564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Требование к наличию опыта оказания аналогичных услуг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5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Оказание услуг по техническому обслуживанию и текущему ремонту негарантийных транспортных средств</w:t>
            </w:r>
          </w:p>
        </w:tc>
        <w:tc>
          <w:tcPr>
            <w:tcW w:w="308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8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</w:tbl>
    <w:p>
      <w:pPr>
        <w:pStyle w:val="ListParagraph"/>
        <w:numPr>
          <w:ilvl w:val="0"/>
          <w:numId w:val="0"/>
        </w:numPr>
        <w:ind w:left="360" w:right="-2"/>
        <w:jc w:val="center"/>
        <w:outlineLvl w:val="0"/>
        <w:rPr/>
      </w:pPr>
      <w:r>
        <w:rPr/>
      </w:r>
    </w:p>
    <w:p>
      <w:pPr>
        <w:pStyle w:val="ListParagraph"/>
        <w:numPr>
          <w:ilvl w:val="0"/>
          <w:numId w:val="0"/>
        </w:numPr>
        <w:ind w:left="360" w:right="-2"/>
        <w:jc w:val="center"/>
        <w:outlineLvl w:val="0"/>
        <w:rPr/>
      </w:pPr>
      <w:r>
        <w:rPr/>
      </w:r>
    </w:p>
    <w:p>
      <w:pPr>
        <w:pStyle w:val="ListParagraph"/>
        <w:numPr>
          <w:ilvl w:val="0"/>
          <w:numId w:val="0"/>
        </w:numPr>
        <w:ind w:left="360" w:right="-2"/>
        <w:jc w:val="center"/>
        <w:outlineLvl w:val="0"/>
        <w:rPr>
          <w:highlight w:val="none"/>
          <w:shd w:fill="auto" w:val="clear"/>
        </w:rPr>
      </w:pPr>
      <w:r>
        <w:rPr>
          <w:shd w:fill="auto" w:val="clear"/>
        </w:rPr>
        <w:t xml:space="preserve"> </w:t>
      </w:r>
      <w:bookmarkStart w:id="29" w:name="_Toc51339699"/>
      <w:bookmarkStart w:id="30" w:name="_Toc46743519"/>
      <w:bookmarkEnd w:id="29"/>
      <w:bookmarkEnd w:id="30"/>
      <w:r>
        <w:rPr>
          <w:b/>
          <w:color w:val="000000" w:themeColor="text1"/>
          <w:shd w:fill="auto" w:val="clear"/>
        </w:rPr>
        <w:t>3</w:t>
      </w:r>
      <w:bookmarkStart w:id="31" w:name="_Toc162698187"/>
      <w:r>
        <w:rPr>
          <w:b/>
          <w:color w:val="000000" w:themeColor="text1"/>
          <w:shd w:fill="auto" w:val="clear"/>
        </w:rPr>
        <w:t>. Требования к документации по ценообразованию на этапе закупки</w:t>
      </w:r>
      <w:bookmarkEnd w:id="31"/>
    </w:p>
    <w:p>
      <w:pPr>
        <w:pStyle w:val="ListParagraph"/>
        <w:numPr>
          <w:ilvl w:val="0"/>
          <w:numId w:val="0"/>
        </w:numPr>
        <w:ind w:left="360" w:right="-2"/>
        <w:jc w:val="both"/>
        <w:outlineLvl w:val="0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jc w:val="both"/>
        <w:rPr>
          <w:highlight w:val="none"/>
          <w:shd w:fill="auto" w:val="clear"/>
        </w:rPr>
      </w:pPr>
      <w:bookmarkStart w:id="32" w:name="__RefHeading___Toc10475_1506096587"/>
      <w:bookmarkStart w:id="33" w:name="_Toc150444157"/>
      <w:bookmarkStart w:id="34" w:name="_Toc130396897"/>
      <w:bookmarkStart w:id="35" w:name="_Toc133340001"/>
      <w:bookmarkEnd w:id="32"/>
      <w:bookmarkEnd w:id="33"/>
      <w:bookmarkEnd w:id="34"/>
      <w:bookmarkEnd w:id="35"/>
      <w:r>
        <w:rPr>
          <w:sz w:val="24"/>
          <w:szCs w:val="24"/>
          <w:shd w:fill="auto" w:val="clear"/>
        </w:rPr>
        <w:t>3.1 В обоснование стоимости своей заявки Участник предоставляет Коммерческое предложение по форме (Приложение № 1 к Техническим требованиям)  с указанием единого понижающего коэффициента.</w:t>
      </w:r>
    </w:p>
    <w:p>
      <w:pPr>
        <w:pStyle w:val="BodyText"/>
        <w:jc w:val="both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3.2 Предложения по единичным расценкам, представленные в заявке победителя, будут закреплены в договоре.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3.3.</w:t>
        <w:tab/>
      </w:r>
      <w:r>
        <w:rPr>
          <w:sz w:val="24"/>
          <w:szCs w:val="24"/>
          <w:shd w:fill="auto" w:val="clear"/>
          <w:lang w:eastAsia="x-none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 2 к запросу ТКП).</w:t>
      </w:r>
    </w:p>
    <w:p>
      <w:pPr>
        <w:pStyle w:val="Normal"/>
        <w:rPr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Heading1"/>
        <w:spacing w:before="0" w:after="0"/>
        <w:ind w:hanging="0" w:left="0"/>
        <w:jc w:val="center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  <w:lang w:val="ru-RU"/>
        </w:rPr>
        <w:t xml:space="preserve">4. </w:t>
      </w:r>
      <w:bookmarkStart w:id="36" w:name="_Toc212465634"/>
      <w:bookmarkStart w:id="37" w:name="_Toc141728507"/>
      <w:bookmarkStart w:id="38" w:name="_Toc54279845"/>
      <w:r>
        <w:rPr>
          <w:sz w:val="24"/>
          <w:szCs w:val="24"/>
          <w:shd w:fill="auto" w:val="clear"/>
          <w:lang w:val="ru-RU"/>
        </w:rPr>
        <w:t>Требования к документации по ценообразованию на этапе заключения (исполнения) договора</w:t>
      </w:r>
      <w:bookmarkEnd w:id="36"/>
      <w:bookmarkEnd w:id="37"/>
      <w:bookmarkEnd w:id="38"/>
    </w:p>
    <w:p>
      <w:pPr>
        <w:pStyle w:val="Normal"/>
        <w:rPr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Normal"/>
        <w:jc w:val="both"/>
        <w:rPr>
          <w:highlight w:val="none"/>
          <w:shd w:fill="auto" w:val="clear"/>
        </w:rPr>
      </w:pPr>
      <w:bookmarkStart w:id="39" w:name="__RefHeading___Toc10483_1506096587"/>
      <w:bookmarkStart w:id="40" w:name="_Toc207898766"/>
      <w:bookmarkEnd w:id="39"/>
      <w:r>
        <w:rPr>
          <w:sz w:val="24"/>
          <w:szCs w:val="24"/>
          <w:shd w:fill="auto" w:val="clear"/>
        </w:rPr>
        <w:t>4.1. По результатам настоящей закупки заключается договор с предельной ценой, равной начальной (максимальной) цене договора, а также с единичными расценками (ценой за единицу продукции), предложенными в заявке  Победителем.</w:t>
      </w:r>
      <w:bookmarkEnd w:id="40"/>
    </w:p>
    <w:p>
      <w:pPr>
        <w:pStyle w:val="Normal"/>
        <w:jc w:val="both"/>
        <w:rPr>
          <w:highlight w:val="none"/>
          <w:shd w:fill="auto" w:val="clear"/>
        </w:rPr>
      </w:pPr>
      <w:bookmarkStart w:id="41" w:name="_Toc207898767"/>
      <w:r>
        <w:rPr>
          <w:sz w:val="24"/>
          <w:szCs w:val="24"/>
          <w:shd w:fill="auto" w:val="clear"/>
        </w:rPr>
        <w:t>4.2. Порядок формирования на этапе исполнения договора стоимости выполняемых услуг по заявке заказчика установлен в Проекте договора (Приложение № 2 к запросу ТКП)</w:t>
      </w:r>
      <w:bookmarkEnd w:id="41"/>
      <w:r>
        <w:rPr>
          <w:sz w:val="24"/>
          <w:szCs w:val="24"/>
          <w:shd w:fill="auto" w:val="clear"/>
        </w:rPr>
        <w:t>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360"/>
        <w:jc w:val="center"/>
        <w:rPr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  <w:t>4</w:t>
      </w:r>
      <w:r>
        <w:rPr>
          <w:rFonts w:eastAsia="Calibri"/>
          <w:sz w:val="24"/>
          <w:szCs w:val="24"/>
          <w:lang w:eastAsia="x-none"/>
        </w:rPr>
        <w:t>.</w:t>
      </w:r>
      <w:r>
        <w:rPr>
          <w:lang w:eastAsia="x-none"/>
        </w:rPr>
        <w:t xml:space="preserve"> </w:t>
      </w:r>
      <w:r>
        <w:rPr>
          <w:b/>
          <w:sz w:val="24"/>
          <w:szCs w:val="24"/>
          <w:lang w:eastAsia="x-none"/>
        </w:rPr>
        <w:t>Приложения</w:t>
      </w:r>
    </w:p>
    <w:p>
      <w:pPr>
        <w:pStyle w:val="Normal"/>
        <w:ind w:firstLine="709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4.1. Приложение №1 - Ведомость объемов работ по техническому обслуживанию транспортных средств.</w:t>
      </w:r>
    </w:p>
    <w:p>
      <w:pPr>
        <w:sectPr>
          <w:headerReference w:type="default" r:id="rId3"/>
          <w:headerReference w:type="first" r:id="rId4"/>
          <w:type w:val="nextPage"/>
          <w:pgSz w:orient="landscape" w:w="16838" w:h="11906"/>
          <w:pgMar w:left="1002" w:right="992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ind w:firstLine="709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4.2. Приложение №2 - Форма коммерческого предложения.</w:t>
      </w:r>
      <w:bookmarkStart w:id="42" w:name="_Toc51339699_Копия_1"/>
      <w:bookmarkStart w:id="43" w:name="_Toc46743519_Копия_1"/>
    </w:p>
    <w:p>
      <w:pPr>
        <w:pStyle w:val="Normal"/>
        <w:jc w:val="right"/>
        <w:rPr>
          <w:rStyle w:val="Strong"/>
          <w:b w:val="false"/>
          <w:sz w:val="24"/>
          <w:szCs w:val="24"/>
        </w:rPr>
      </w:pPr>
      <w:bookmarkStart w:id="44" w:name="_Toc46743519_Копия_1_Копия_1_Копия_1"/>
      <w:bookmarkStart w:id="45" w:name="_Toc51339699_Копия_1_Копия_1_Копия_1_Коп"/>
      <w:bookmarkStart w:id="46" w:name="_Toc46743519_Копия_1_Копия_1_Копия_1_Коп"/>
      <w:bookmarkStart w:id="47" w:name="_Toc46743519_Копия_1_Копия_1"/>
      <w:bookmarkStart w:id="48" w:name="_Toc51339699_Копия_1_Копия_1_Копия_1"/>
      <w:bookmarkStart w:id="49" w:name="_Toc51339699_Копия_1_Копия_1"/>
      <w:bookmarkEnd w:id="42"/>
      <w:bookmarkEnd w:id="43"/>
      <w:bookmarkEnd w:id="44"/>
      <w:bookmarkEnd w:id="45"/>
      <w:bookmarkEnd w:id="46"/>
      <w:bookmarkEnd w:id="47"/>
      <w:bookmarkEnd w:id="48"/>
      <w:bookmarkEnd w:id="49"/>
      <w:r>
        <w:rPr>
          <w:rStyle w:val="Strong"/>
          <w:b w:val="false"/>
          <w:sz w:val="24"/>
          <w:szCs w:val="24"/>
        </w:rPr>
        <w:t>Приложение №1 к Техническим требованиям</w:t>
      </w:r>
    </w:p>
    <w:p>
      <w:pPr>
        <w:pStyle w:val="Normal"/>
        <w:jc w:val="center"/>
        <w:rPr>
          <w:b/>
          <w:color w:val="000000"/>
        </w:rPr>
      </w:pPr>
      <w:r>
        <w:rPr>
          <w:b/>
          <w:color w:val="000000"/>
        </w:rPr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Ведомость объемов работ по техническому обслуживанию </w:t>
      </w:r>
    </w:p>
    <w:p>
      <w:pPr>
        <w:pStyle w:val="Normal"/>
        <w:jc w:val="center"/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</w:rPr>
        <w:t>транспортных средств</w:t>
      </w:r>
      <w:r>
        <w:rPr>
          <w:b/>
          <w:color w:val="000000"/>
          <w:sz w:val="24"/>
          <w:szCs w:val="24"/>
          <w:lang w:val="en-US"/>
        </w:rPr>
        <w:t xml:space="preserve"> </w:t>
      </w:r>
    </w:p>
    <w:p>
      <w:pPr>
        <w:pStyle w:val="Normal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3908" w:type="dxa"/>
        <w:jc w:val="left"/>
        <w:tblInd w:w="738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000" w:noHBand="0" w:noVBand="0" w:firstColumn="0" w:lastRow="0" w:lastColumn="0" w:firstRow="0"/>
      </w:tblPr>
      <w:tblGrid>
        <w:gridCol w:w="489"/>
        <w:gridCol w:w="1974"/>
        <w:gridCol w:w="1627"/>
        <w:gridCol w:w="1014"/>
        <w:gridCol w:w="850"/>
        <w:gridCol w:w="755"/>
        <w:gridCol w:w="709"/>
        <w:gridCol w:w="850"/>
        <w:gridCol w:w="709"/>
        <w:gridCol w:w="708"/>
        <w:gridCol w:w="789"/>
        <w:gridCol w:w="816"/>
        <w:gridCol w:w="818"/>
        <w:gridCol w:w="819"/>
        <w:gridCol w:w="981"/>
      </w:tblGrid>
      <w:tr>
        <w:trPr>
          <w:trHeight w:val="281" w:hRule="atLeast"/>
        </w:trPr>
        <w:tc>
          <w:tcPr>
            <w:tcW w:w="4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r>
              <w:rPr>
                <w:color w:val="000000"/>
              </w:rPr>
              <w:t>п</w:t>
            </w:r>
            <w:r>
              <w:rPr>
                <w:color w:val="000000"/>
                <w:lang w:val="en-US"/>
              </w:rPr>
              <w:t>/</w:t>
            </w:r>
            <w:r>
              <w:rPr>
                <w:color w:val="000000"/>
              </w:rPr>
              <w:t>п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Марка автомобиля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Год. выпуска (не менее)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Вид топлива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Кол-во ТС, шт.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ТО-10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ТО-20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ТО-30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ТО-40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ТО-50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ТО-60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ТО-70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ТО-80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ТО-90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ТО-100</w:t>
            </w:r>
          </w:p>
        </w:tc>
      </w:tr>
      <w:tr>
        <w:trPr>
          <w:trHeight w:val="563" w:hRule="atLeast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1.TOYOTA Filder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  <w:lang w:val="en-US"/>
              </w:rPr>
              <w:t>01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Бензин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37" w:hRule="atLeast"/>
        </w:trPr>
        <w:tc>
          <w:tcPr>
            <w:tcW w:w="4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RENAULT DUSTER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Бензин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38" w:hRule="atLeast"/>
        </w:trPr>
        <w:tc>
          <w:tcPr>
            <w:tcW w:w="4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Peugeot 39023A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137" w:hRule="atLeast"/>
        </w:trPr>
        <w:tc>
          <w:tcPr>
            <w:tcW w:w="4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Toyota Land Cruiser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Бензин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113" w:hRule="atLeast"/>
        </w:trPr>
        <w:tc>
          <w:tcPr>
            <w:tcW w:w="4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Toyota Fortuner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13" w:hRule="atLeast"/>
        </w:trPr>
        <w:tc>
          <w:tcPr>
            <w:tcW w:w="4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УАЗ-390995-04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Бензин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25" w:hRule="atLeast"/>
        </w:trPr>
        <w:tc>
          <w:tcPr>
            <w:tcW w:w="4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UAZ PATRIOT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Бензин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50" w:hRule="atLeast"/>
        </w:trPr>
        <w:tc>
          <w:tcPr>
            <w:tcW w:w="4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UAZ PATRIOT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Бензин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26" w:hRule="atLeast"/>
        </w:trPr>
        <w:tc>
          <w:tcPr>
            <w:tcW w:w="489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974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УАЗ-390995-04</w:t>
            </w:r>
          </w:p>
        </w:tc>
        <w:tc>
          <w:tcPr>
            <w:tcW w:w="1627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Бензин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26" w:hRule="atLeast"/>
        </w:trPr>
        <w:tc>
          <w:tcPr>
            <w:tcW w:w="489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974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УАЗ-390995</w:t>
            </w:r>
          </w:p>
        </w:tc>
        <w:tc>
          <w:tcPr>
            <w:tcW w:w="1627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Бензин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25" w:hRule="atLeast"/>
        </w:trPr>
        <w:tc>
          <w:tcPr>
            <w:tcW w:w="246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1627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</w:tbl>
    <w:p>
      <w:pPr>
        <w:pStyle w:val="Normal"/>
        <w:rPr>
          <w:iCs/>
          <w:sz w:val="24"/>
          <w:szCs w:val="24"/>
          <w:shd w:fill="FFFF99" w:val="clear"/>
        </w:rPr>
      </w:pPr>
      <w:r>
        <w:rPr>
          <w:iCs/>
          <w:sz w:val="24"/>
          <w:szCs w:val="24"/>
          <w:shd w:fill="FFFF99" w:val="clear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6549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tabs>
          <w:tab w:val="clear" w:pos="708"/>
          <w:tab w:val="left" w:pos="6549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568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c50d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1511a2"/>
    <w:rPr>
      <w:color w:val="954F72" w:themeColor="followedHyperlink"/>
      <w:u w:val="single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3c2e7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A21C6-C319-4C50-96A1-7D561A98D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5582</TotalTime>
  <Application>AlterOffice/2026.2.0.0$Linux_X86_64 LibreOffice_project/bc4ef1adf80b36c7a6365f8ed6cbf29021361edd</Application>
  <AppVersion>15.0000</AppVersion>
  <Pages>9</Pages>
  <Words>1429</Words>
  <Characters>9803</Characters>
  <CharactersWithSpaces>10928</CharactersWithSpaces>
  <Paragraphs>352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2023-09-03T23:57:00Z</dcterms:created>
  <dc:creator>Быстров Олег Геннадьевич</dc:creator>
  <dc:description/>
  <dc:language>ru-RU</dc:language>
  <cp:lastModifiedBy>zaguzovays@corp.gidroogk.com</cp:lastModifiedBy>
  <cp:lastPrinted>2025-10-15T02:19:00Z</cp:lastPrinted>
  <dcterms:modified xsi:type="dcterms:W3CDTF">2026-10-15T09:51:13Z</dcterms:modified>
  <cp:revision>53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