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keepLines/>
        <w:rPr>
          <w:rFonts w:ascii="Liberation Serif" w:hAnsi="Liberation Serif"/>
          <w:sz w:val="22"/>
          <w:szCs w:val="22"/>
        </w:rPr>
      </w:pPr>
      <w:r>
        <w:rPr>
          <w:rFonts w:ascii="Liberation Serif" w:hAnsi="Liberation Serif"/>
          <w:sz w:val="22"/>
          <w:szCs w:val="22"/>
        </w:rPr>
      </w:r>
    </w:p>
    <w:p>
      <w:pPr>
        <w:pStyle w:val="Normal"/>
        <w:keepNext w:val="true"/>
        <w:keepLines/>
        <w:rPr>
          <w:rFonts w:ascii="Liberation Serif" w:hAnsi="Liberation Serif"/>
          <w:sz w:val="22"/>
          <w:szCs w:val="22"/>
        </w:rPr>
      </w:pPr>
      <w:r>
        <w:rPr>
          <w:rFonts w:ascii="Liberation Serif" w:hAnsi="Liberation Serif"/>
          <w:sz w:val="22"/>
          <w:szCs w:val="22"/>
        </w:rPr>
      </w:r>
    </w:p>
    <w:p>
      <w:pPr>
        <w:pStyle w:val="Normal"/>
        <w:rPr>
          <w:rFonts w:ascii="Liberation Serif" w:hAnsi="Liberation Serif"/>
          <w:sz w:val="22"/>
          <w:szCs w:val="22"/>
        </w:rPr>
      </w:pPr>
      <w:r>
        <w:rPr>
          <w:rFonts w:ascii="Liberation Serif" w:hAnsi="Liberation Serif"/>
          <w:sz w:val="22"/>
          <w:szCs w:val="22"/>
        </w:rPr>
      </w:r>
    </w:p>
    <w:p>
      <w:pPr>
        <w:pStyle w:val="Normal"/>
        <w:rPr>
          <w:rFonts w:ascii="Liberation Serif" w:hAnsi="Liberation Serif"/>
          <w:sz w:val="22"/>
          <w:szCs w:val="22"/>
        </w:rPr>
      </w:pPr>
      <w:r>
        <w:rPr>
          <w:rFonts w:ascii="Liberation Serif" w:hAnsi="Liberation Serif"/>
          <w:sz w:val="22"/>
          <w:szCs w:val="22"/>
        </w:rPr>
      </w:r>
    </w:p>
    <w:p>
      <w:pPr>
        <w:pStyle w:val="Normal"/>
        <w:rPr>
          <w:rFonts w:ascii="Liberation Serif" w:hAnsi="Liberation Serif"/>
          <w:sz w:val="22"/>
          <w:szCs w:val="22"/>
        </w:rPr>
      </w:pPr>
      <w:r>
        <w:rPr>
          <w:rFonts w:ascii="Liberation Serif" w:hAnsi="Liberation Serif"/>
          <w:sz w:val="22"/>
          <w:szCs w:val="22"/>
        </w:rPr>
      </w:r>
    </w:p>
    <w:p>
      <w:pPr>
        <w:pStyle w:val="Normal"/>
        <w:rPr>
          <w:rFonts w:ascii="Liberation Serif" w:hAnsi="Liberation Serif"/>
          <w:sz w:val="22"/>
          <w:szCs w:val="22"/>
        </w:rPr>
      </w:pPr>
      <w:r>
        <w:rPr>
          <w:rFonts w:ascii="Liberation Serif" w:hAnsi="Liberation Serif"/>
          <w:sz w:val="22"/>
          <w:szCs w:val="22"/>
        </w:rPr>
      </w:r>
    </w:p>
    <w:p>
      <w:pPr>
        <w:pStyle w:val="Normal"/>
        <w:rPr>
          <w:rFonts w:ascii="Liberation Serif" w:hAnsi="Liberation Serif"/>
          <w:sz w:val="22"/>
          <w:szCs w:val="22"/>
        </w:rPr>
      </w:pPr>
      <w:r>
        <w:rPr>
          <w:rFonts w:ascii="Liberation Serif" w:hAnsi="Liberation Serif"/>
          <w:sz w:val="22"/>
          <w:szCs w:val="22"/>
        </w:rPr>
      </w:r>
    </w:p>
    <w:p>
      <w:pPr>
        <w:pStyle w:val="Normal"/>
        <w:rPr>
          <w:rFonts w:ascii="Liberation Serif" w:hAnsi="Liberation Serif"/>
          <w:sz w:val="22"/>
          <w:szCs w:val="22"/>
        </w:rPr>
      </w:pPr>
      <w:r>
        <w:rPr>
          <w:rFonts w:ascii="Liberation Serif" w:hAnsi="Liberation Serif"/>
          <w:sz w:val="22"/>
          <w:szCs w:val="22"/>
        </w:rPr>
      </w:r>
    </w:p>
    <w:p>
      <w:pPr>
        <w:pStyle w:val="Normal"/>
        <w:rPr>
          <w:rFonts w:ascii="Liberation Serif" w:hAnsi="Liberation Serif"/>
          <w:sz w:val="22"/>
          <w:szCs w:val="22"/>
        </w:rPr>
      </w:pPr>
      <w:r>
        <w:rPr>
          <w:rFonts w:ascii="Liberation Serif" w:hAnsi="Liberation Serif"/>
          <w:sz w:val="22"/>
          <w:szCs w:val="22"/>
        </w:rPr>
      </w:r>
    </w:p>
    <w:p>
      <w:pPr>
        <w:pStyle w:val="Normal"/>
        <w:rPr>
          <w:rFonts w:ascii="Liberation Serif" w:hAnsi="Liberation Serif"/>
          <w:sz w:val="22"/>
          <w:szCs w:val="22"/>
        </w:rPr>
      </w:pPr>
      <w:r>
        <w:rPr>
          <w:rFonts w:ascii="Liberation Serif" w:hAnsi="Liberation Serif"/>
          <w:sz w:val="22"/>
          <w:szCs w:val="22"/>
        </w:rPr>
      </w:r>
    </w:p>
    <w:p>
      <w:pPr>
        <w:pStyle w:val="Normal"/>
        <w:rPr>
          <w:rFonts w:ascii="Liberation Serif" w:hAnsi="Liberation Serif"/>
          <w:sz w:val="22"/>
          <w:szCs w:val="22"/>
        </w:rPr>
      </w:pPr>
      <w:r>
        <w:rPr>
          <w:rFonts w:ascii="Liberation Serif" w:hAnsi="Liberation Serif"/>
          <w:sz w:val="22"/>
          <w:szCs w:val="22"/>
        </w:rPr>
      </w:r>
    </w:p>
    <w:p>
      <w:pPr>
        <w:pStyle w:val="Normal"/>
        <w:keepNext w:val="true"/>
        <w:keepLines/>
        <w:rPr>
          <w:rFonts w:ascii="Liberation Serif" w:hAnsi="Liberation Serif"/>
          <w:sz w:val="22"/>
          <w:szCs w:val="22"/>
        </w:rPr>
      </w:pPr>
      <w:r>
        <w:rPr>
          <w:rFonts w:ascii="Liberation Serif" w:hAnsi="Liberation Serif"/>
          <w:sz w:val="22"/>
          <w:szCs w:val="22"/>
        </w:rPr>
      </w:r>
    </w:p>
    <w:p>
      <w:pPr>
        <w:pStyle w:val="Normal"/>
        <w:keepNext w:val="true"/>
        <w:keepLines/>
        <w:rPr>
          <w:rFonts w:ascii="Liberation Serif" w:hAnsi="Liberation Serif"/>
          <w:sz w:val="22"/>
          <w:szCs w:val="22"/>
        </w:rPr>
      </w:pPr>
      <w:r>
        <w:rPr>
          <w:rFonts w:ascii="Liberation Serif" w:hAnsi="Liberation Serif"/>
          <w:sz w:val="22"/>
          <w:szCs w:val="22"/>
        </w:rPr>
      </w:r>
    </w:p>
    <w:p>
      <w:pPr>
        <w:pStyle w:val="Normal"/>
        <w:keepNext w:val="true"/>
        <w:keepLines/>
        <w:jc w:val="center"/>
        <w:rPr>
          <w:rFonts w:ascii="Liberation Serif" w:hAnsi="Liberation Serif"/>
        </w:rPr>
      </w:pPr>
      <w:r>
        <w:rPr>
          <w:rFonts w:eastAsia="Calibri" w:ascii="Liberation Serif" w:hAnsi="Liberation Serif"/>
          <w:b/>
          <w:sz w:val="28"/>
          <w:szCs w:val="28"/>
        </w:rPr>
        <w:t>Технические требования на поставку МТР</w:t>
      </w:r>
    </w:p>
    <w:p>
      <w:pPr>
        <w:pStyle w:val="Normal"/>
        <w:keepNext w:val="true"/>
        <w:keepLines/>
        <w:jc w:val="center"/>
        <w:rPr>
          <w:rFonts w:ascii="Liberation Serif" w:hAnsi="Liberation Serif" w:eastAsia="Calibri"/>
          <w:b/>
          <w:sz w:val="22"/>
          <w:szCs w:val="22"/>
        </w:rPr>
      </w:pPr>
      <w:r>
        <w:rPr>
          <w:rFonts w:eastAsia="Calibri" w:ascii="Liberation Serif" w:hAnsi="Liberation Serif"/>
          <w:b/>
          <w:sz w:val="22"/>
          <w:szCs w:val="22"/>
        </w:rPr>
      </w:r>
    </w:p>
    <w:p>
      <w:pPr>
        <w:pStyle w:val="Normal"/>
        <w:keepNext w:val="true"/>
        <w:keepLines/>
        <w:jc w:val="center"/>
        <w:rPr>
          <w:rFonts w:ascii="Liberation Serif" w:hAnsi="Liberation Serif"/>
        </w:rPr>
      </w:pPr>
      <w:r>
        <w:rPr>
          <w:rFonts w:ascii="Liberation Serif" w:hAnsi="Liberation Serif"/>
          <w:b/>
          <w:i/>
          <w:sz w:val="24"/>
          <w:szCs w:val="24"/>
        </w:rPr>
        <w:t>ОКПД2 26.51.43.137  Поставка Указателей напряжения для филиала АО «ДРСК» «Электрические сети ЕАО».</w:t>
      </w:r>
    </w:p>
    <w:p>
      <w:pPr>
        <w:pStyle w:val="Normal"/>
        <w:keepNext w:val="true"/>
        <w:keepLines/>
        <w:jc w:val="center"/>
        <w:rPr>
          <w:rFonts w:ascii="Liberation Serif" w:hAnsi="Liberation Serif"/>
        </w:rPr>
      </w:pPr>
      <w:r>
        <w:rPr>
          <w:rFonts w:ascii="Liberation Serif" w:hAnsi="Liberation Serif"/>
        </w:rPr>
      </w:r>
    </w:p>
    <w:p>
      <w:pPr>
        <w:pStyle w:val="Normal"/>
        <w:jc w:val="center"/>
        <w:rPr>
          <w:rFonts w:ascii="Liberation Serif" w:hAnsi="Liberation Serif"/>
        </w:rPr>
      </w:pPr>
      <w:r>
        <w:rPr>
          <w:rFonts w:ascii="Liberation Serif" w:hAnsi="Liberation Serif"/>
          <w:b/>
          <w:i/>
          <w:sz w:val="24"/>
          <w:szCs w:val="24"/>
        </w:rPr>
        <w:t xml:space="preserve">Лот № </w:t>
      </w:r>
    </w:p>
    <w:p>
      <w:pPr>
        <w:pStyle w:val="Normal"/>
        <w:keepNext w:val="true"/>
        <w:keepLines/>
        <w:jc w:val="center"/>
        <w:rPr>
          <w:rFonts w:ascii="Liberation Serif" w:hAnsi="Liberation Serif" w:eastAsia="Calibri"/>
          <w:b/>
          <w:i/>
          <w:i/>
          <w:sz w:val="22"/>
          <w:szCs w:val="22"/>
        </w:rPr>
      </w:pPr>
      <w:r>
        <w:rPr>
          <w:rFonts w:eastAsia="Calibri" w:ascii="Liberation Serif" w:hAnsi="Liberation Serif"/>
          <w:b/>
          <w:i/>
          <w:sz w:val="22"/>
          <w:szCs w:val="22"/>
        </w:rPr>
      </w:r>
    </w:p>
    <w:p>
      <w:pPr>
        <w:pStyle w:val="Normal"/>
        <w:keepNext w:val="true"/>
        <w:keepLines/>
        <w:jc w:val="both"/>
        <w:rPr>
          <w:rFonts w:ascii="Liberation Serif" w:hAnsi="Liberation Serif"/>
          <w:sz w:val="22"/>
          <w:szCs w:val="22"/>
        </w:rPr>
      </w:pPr>
      <w:r>
        <w:rPr>
          <w:rFonts w:ascii="Liberation Serif" w:hAnsi="Liberation Serif"/>
          <w:sz w:val="22"/>
          <w:szCs w:val="22"/>
        </w:rPr>
      </w:r>
    </w:p>
    <w:p>
      <w:pPr>
        <w:pStyle w:val="Normal"/>
        <w:rPr>
          <w:rFonts w:ascii="Liberation Serif" w:hAnsi="Liberation Serif"/>
          <w:sz w:val="22"/>
          <w:szCs w:val="22"/>
        </w:rPr>
      </w:pPr>
      <w:r>
        <w:rPr>
          <w:rFonts w:ascii="Liberation Serif" w:hAnsi="Liberation Serif"/>
          <w:sz w:val="22"/>
          <w:szCs w:val="22"/>
        </w:rPr>
      </w:r>
      <w:r>
        <w:br w:type="page"/>
      </w:r>
    </w:p>
    <w:p>
      <w:pPr>
        <w:pStyle w:val="Heading1"/>
        <w:keepLines/>
        <w:numPr>
          <w:ilvl w:val="0"/>
          <w:numId w:val="3"/>
        </w:numPr>
        <w:spacing w:before="120" w:after="0"/>
        <w:ind w:hanging="357" w:left="357"/>
        <w:jc w:val="center"/>
        <w:rPr>
          <w:rFonts w:ascii="Liberation Serif" w:hAnsi="Liberation Serif"/>
        </w:rPr>
      </w:pPr>
      <w:bookmarkStart w:id="0" w:name="_Toc75446566"/>
      <w:bookmarkStart w:id="1" w:name="_Toc51339692"/>
      <w:r>
        <w:rPr>
          <w:rFonts w:ascii="Liberation Serif" w:hAnsi="Liberation Serif"/>
          <w:sz w:val="22"/>
          <w:szCs w:val="22"/>
          <w:lang w:val="ru-RU"/>
        </w:rPr>
        <w:t>Общие сведения</w:t>
      </w:r>
      <w:bookmarkEnd w:id="0"/>
      <w:bookmarkEnd w:id="1"/>
    </w:p>
    <w:p>
      <w:pPr>
        <w:pStyle w:val="Heading4"/>
        <w:numPr>
          <w:ilvl w:val="1"/>
          <w:numId w:val="3"/>
        </w:numPr>
        <w:spacing w:before="120" w:after="0"/>
        <w:rPr>
          <w:rFonts w:ascii="Liberation Serif" w:hAnsi="Liberation Serif"/>
        </w:rPr>
      </w:pPr>
      <w:bookmarkStart w:id="2" w:name="_Toc46743506"/>
      <w:bookmarkStart w:id="3" w:name="_Toc75446568"/>
      <w:r>
        <w:rPr>
          <w:rFonts w:ascii="Liberation Serif" w:hAnsi="Liberation Serif"/>
          <w:sz w:val="22"/>
          <w:szCs w:val="22"/>
        </w:rPr>
        <w:t>Наименование закупаемой продукции</w:t>
      </w:r>
      <w:bookmarkEnd w:id="2"/>
      <w:bookmarkEnd w:id="3"/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0"/>
        <w:jc w:val="both"/>
        <w:rPr>
          <w:b/>
          <w:i/>
          <w:i/>
          <w:sz w:val="22"/>
          <w:szCs w:val="22"/>
        </w:rPr>
      </w:pPr>
      <w:r>
        <w:rPr>
          <w:rFonts w:ascii="Liberation Serif" w:hAnsi="Liberation Serif"/>
          <w:b/>
          <w:i/>
          <w:sz w:val="22"/>
          <w:szCs w:val="22"/>
        </w:rPr>
        <w:t xml:space="preserve">СИЗ Указатели напряжения  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0"/>
        <w:jc w:val="both"/>
        <w:rPr>
          <w:b/>
          <w:bCs/>
          <w:i w:val="false"/>
          <w:i w:val="false"/>
          <w:iCs w:val="false"/>
        </w:rPr>
      </w:pPr>
      <w:r>
        <w:rPr>
          <w:rFonts w:ascii="Liberation Serif" w:hAnsi="Liberation Serif"/>
          <w:b/>
          <w:bCs/>
          <w:i w:val="false"/>
          <w:iCs w:val="false"/>
          <w:sz w:val="22"/>
          <w:szCs w:val="22"/>
        </w:rPr>
        <w:t xml:space="preserve">1.2. </w:t>
      </w:r>
      <w:r>
        <w:rPr>
          <w:rFonts w:ascii="Liberation Serif" w:hAnsi="Liberation Serif"/>
          <w:b/>
          <w:bCs/>
          <w:i w:val="false"/>
          <w:iCs w:val="false"/>
          <w:sz w:val="22"/>
          <w:szCs w:val="22"/>
          <w:lang w:val="ru-RU"/>
        </w:rPr>
        <w:t>Перечень</w:t>
      </w:r>
      <w:r>
        <w:rPr>
          <w:rFonts w:ascii="Liberation Serif" w:hAnsi="Liberation Serif"/>
          <w:b/>
          <w:bCs/>
          <w:i w:val="false"/>
          <w:iCs w:val="false"/>
          <w:sz w:val="22"/>
          <w:szCs w:val="22"/>
        </w:rPr>
        <w:t xml:space="preserve"> сокращений</w:t>
      </w:r>
    </w:p>
    <w:tbl>
      <w:tblPr>
        <w:tblStyle w:val="af0"/>
        <w:tblW w:w="14799" w:type="dxa"/>
        <w:jc w:val="left"/>
        <w:tblInd w:w="8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586"/>
        <w:gridCol w:w="13212"/>
      </w:tblGrid>
      <w:tr>
        <w:trPr/>
        <w:tc>
          <w:tcPr>
            <w:tcW w:w="1586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i/>
                <w:kern w:val="0"/>
                <w:sz w:val="22"/>
                <w:szCs w:val="22"/>
                <w:lang w:val="ru-RU" w:eastAsia="ru-RU" w:bidi="ar-SA"/>
              </w:rPr>
              <w:t>ПИН</w:t>
            </w:r>
          </w:p>
        </w:tc>
        <w:tc>
          <w:tcPr>
            <w:tcW w:w="1321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i/>
                <w:kern w:val="0"/>
                <w:sz w:val="22"/>
                <w:szCs w:val="22"/>
                <w:lang w:val="ru-RU" w:eastAsia="ru-RU" w:bidi="ar-SA"/>
              </w:rPr>
              <w:t>Переносной индикатор напряжения</w:t>
            </w:r>
          </w:p>
        </w:tc>
      </w:tr>
      <w:tr>
        <w:trPr/>
        <w:tc>
          <w:tcPr>
            <w:tcW w:w="1586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i/>
                <w:kern w:val="0"/>
                <w:sz w:val="22"/>
                <w:szCs w:val="22"/>
                <w:lang w:val="ru-RU" w:eastAsia="ru-RU" w:bidi="ar-SA"/>
              </w:rPr>
              <w:t>СНИК</w:t>
            </w:r>
          </w:p>
        </w:tc>
        <w:tc>
          <w:tcPr>
            <w:tcW w:w="1321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i/>
                <w:kern w:val="0"/>
                <w:sz w:val="22"/>
                <w:szCs w:val="22"/>
                <w:lang w:val="ru-RU" w:eastAsia="ru-RU" w:bidi="ar-SA"/>
              </w:rPr>
              <w:t>Сигнализатор напряжения индивидуальный касочный</w:t>
            </w:r>
          </w:p>
        </w:tc>
      </w:tr>
      <w:tr>
        <w:trPr/>
        <w:tc>
          <w:tcPr>
            <w:tcW w:w="1586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i/>
                <w:kern w:val="0"/>
                <w:sz w:val="22"/>
                <w:szCs w:val="22"/>
                <w:lang w:val="ru-RU" w:eastAsia="ru-RU" w:bidi="ar-SA"/>
              </w:rPr>
              <w:t>УВН</w:t>
            </w:r>
          </w:p>
        </w:tc>
        <w:tc>
          <w:tcPr>
            <w:tcW w:w="1321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i/>
                <w:kern w:val="0"/>
                <w:sz w:val="22"/>
                <w:szCs w:val="22"/>
                <w:lang w:val="ru-RU" w:eastAsia="ru-RU" w:bidi="ar-SA"/>
              </w:rPr>
              <w:t>Указатель высокого напряжения</w:t>
            </w:r>
          </w:p>
        </w:tc>
      </w:tr>
      <w:tr>
        <w:trPr/>
        <w:tc>
          <w:tcPr>
            <w:tcW w:w="1586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i/>
                <w:kern w:val="0"/>
                <w:sz w:val="22"/>
                <w:szCs w:val="22"/>
                <w:lang w:val="ru-RU" w:eastAsia="ru-RU" w:bidi="ar-SA"/>
              </w:rPr>
              <w:t>СН</w:t>
            </w:r>
          </w:p>
        </w:tc>
        <w:tc>
          <w:tcPr>
            <w:tcW w:w="1321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i/>
                <w:kern w:val="0"/>
                <w:sz w:val="22"/>
                <w:szCs w:val="22"/>
                <w:lang w:val="ru-RU" w:eastAsia="ru-RU" w:bidi="ar-SA"/>
              </w:rPr>
              <w:t>Сигнализатор напряжения</w:t>
            </w:r>
          </w:p>
        </w:tc>
      </w:tr>
      <w:tr>
        <w:trPr/>
        <w:tc>
          <w:tcPr>
            <w:tcW w:w="1586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i/>
                <w:kern w:val="0"/>
                <w:sz w:val="22"/>
                <w:szCs w:val="22"/>
                <w:lang w:val="ru-RU" w:eastAsia="ru-RU" w:bidi="ar-SA"/>
              </w:rPr>
              <w:t>УПУН</w:t>
            </w:r>
          </w:p>
        </w:tc>
        <w:tc>
          <w:tcPr>
            <w:tcW w:w="1321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i/>
                <w:kern w:val="0"/>
                <w:sz w:val="22"/>
                <w:szCs w:val="22"/>
                <w:lang w:val="ru-RU" w:eastAsia="ru-RU" w:bidi="ar-SA"/>
              </w:rPr>
              <w:t>Устройство проверки указателей напряжения</w:t>
            </w:r>
          </w:p>
        </w:tc>
      </w:tr>
    </w:tbl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0"/>
        <w:jc w:val="both"/>
        <w:rPr>
          <w:rFonts w:ascii="Liberation Serif" w:hAnsi="Liberation Serif"/>
          <w:b/>
          <w:i/>
          <w:i/>
          <w:sz w:val="22"/>
          <w:szCs w:val="22"/>
        </w:rPr>
      </w:pPr>
      <w:r>
        <w:rPr>
          <w:rFonts w:ascii="Liberation Serif" w:hAnsi="Liberation Serif"/>
          <w:b/>
          <w:i/>
          <w:sz w:val="22"/>
          <w:szCs w:val="22"/>
        </w:rPr>
      </w:r>
    </w:p>
    <w:p>
      <w:pPr>
        <w:pStyle w:val="Heading1"/>
        <w:keepLines/>
        <w:numPr>
          <w:ilvl w:val="0"/>
          <w:numId w:val="3"/>
        </w:numPr>
        <w:spacing w:before="120" w:after="0"/>
        <w:ind w:hanging="357" w:left="357"/>
        <w:jc w:val="center"/>
        <w:rPr>
          <w:rFonts w:ascii="Liberation Serif" w:hAnsi="Liberation Serif"/>
        </w:rPr>
      </w:pPr>
      <w:bookmarkStart w:id="4" w:name="_Toc50125126"/>
      <w:bookmarkStart w:id="5" w:name="_Toc46743510"/>
      <w:bookmarkStart w:id="6" w:name="_Toc51339693"/>
      <w:bookmarkStart w:id="7" w:name="_Toc75446573"/>
      <w:bookmarkEnd w:id="4"/>
      <w:bookmarkEnd w:id="5"/>
      <w:r>
        <w:rPr>
          <w:rFonts w:ascii="Liberation Serif" w:hAnsi="Liberation Serif"/>
          <w:iCs/>
          <w:sz w:val="22"/>
          <w:szCs w:val="22"/>
        </w:rPr>
        <w:t>Требования к продукции</w:t>
      </w:r>
      <w:bookmarkEnd w:id="6"/>
      <w:bookmarkEnd w:id="7"/>
    </w:p>
    <w:p>
      <w:pPr>
        <w:pStyle w:val="Heading4"/>
        <w:numPr>
          <w:ilvl w:val="1"/>
          <w:numId w:val="3"/>
        </w:numPr>
        <w:spacing w:before="120" w:after="0"/>
        <w:rPr>
          <w:rFonts w:ascii="Liberation Serif" w:hAnsi="Liberation Serif"/>
        </w:rPr>
      </w:pPr>
      <w:bookmarkStart w:id="8" w:name="_Toc75446574"/>
      <w:r>
        <w:rPr>
          <w:rFonts w:ascii="Liberation Serif" w:hAnsi="Liberation Serif"/>
          <w:sz w:val="22"/>
          <w:szCs w:val="22"/>
        </w:rPr>
        <w:t xml:space="preserve">Требования к объемам и срокам </w:t>
      </w:r>
      <w:r>
        <w:rPr>
          <w:rFonts w:ascii="Liberation Serif" w:hAnsi="Liberation Serif"/>
          <w:sz w:val="22"/>
          <w:szCs w:val="22"/>
          <w:lang w:val="ru-RU"/>
        </w:rPr>
        <w:t>поставки</w:t>
      </w:r>
      <w:bookmarkEnd w:id="8"/>
    </w:p>
    <w:p>
      <w:pPr>
        <w:pStyle w:val="Heading3"/>
        <w:numPr>
          <w:ilvl w:val="2"/>
          <w:numId w:val="3"/>
        </w:numPr>
        <w:spacing w:before="120" w:after="0"/>
        <w:rPr>
          <w:rFonts w:ascii="Liberation Serif" w:hAnsi="Liberation Serif"/>
        </w:rPr>
      </w:pPr>
      <w:bookmarkStart w:id="9" w:name="_Toc75446575"/>
      <w:r>
        <w:rPr>
          <w:rFonts w:ascii="Liberation Serif" w:hAnsi="Liberation Serif"/>
          <w:sz w:val="22"/>
          <w:szCs w:val="22"/>
          <w:lang w:val="ru-RU"/>
        </w:rPr>
        <w:t>Перечень и объем закупаемой продукции</w:t>
      </w:r>
      <w:bookmarkEnd w:id="9"/>
    </w:p>
    <w:p>
      <w:pPr>
        <w:pStyle w:val="Heading1"/>
        <w:keepLines/>
        <w:numPr>
          <w:ilvl w:val="0"/>
          <w:numId w:val="0"/>
        </w:numPr>
        <w:spacing w:before="240" w:after="0"/>
        <w:ind w:hanging="0" w:left="0"/>
        <w:rPr>
          <w:rFonts w:ascii="Liberation Serif" w:hAnsi="Liberation Serif"/>
        </w:rPr>
      </w:pPr>
      <w:bookmarkStart w:id="10" w:name="_Toc75446576"/>
      <w:bookmarkStart w:id="11" w:name="_Toc51339695"/>
      <w:r>
        <w:rPr>
          <w:rFonts w:ascii="Liberation Serif" w:hAnsi="Liberation Serif"/>
          <w:sz w:val="22"/>
          <w:szCs w:val="22"/>
        </w:rPr>
        <w:t xml:space="preserve">Таблица </w:t>
      </w:r>
      <w:r>
        <w:rPr>
          <w:rFonts w:ascii="Liberation Serif" w:hAnsi="Liberation Serif"/>
          <w:sz w:val="22"/>
          <w:szCs w:val="22"/>
          <w:lang w:val="ru-RU"/>
        </w:rPr>
        <w:t>2.1</w:t>
      </w:r>
      <w:r>
        <w:rPr>
          <w:rFonts w:ascii="Liberation Serif" w:hAnsi="Liberation Serif"/>
          <w:sz w:val="22"/>
          <w:szCs w:val="22"/>
        </w:rPr>
        <w:t xml:space="preserve"> </w:t>
      </w:r>
      <w:r>
        <w:rPr>
          <w:rFonts w:ascii="Liberation Serif" w:hAnsi="Liberation Serif"/>
          <w:sz w:val="22"/>
          <w:szCs w:val="22"/>
          <w:lang w:val="ru-RU"/>
        </w:rPr>
        <w:t xml:space="preserve">Перечень </w:t>
      </w:r>
      <w:bookmarkEnd w:id="11"/>
      <w:r>
        <w:rPr>
          <w:rFonts w:ascii="Liberation Serif" w:hAnsi="Liberation Serif"/>
          <w:sz w:val="22"/>
          <w:szCs w:val="22"/>
          <w:lang w:val="ru-RU"/>
        </w:rPr>
        <w:t>и объем закупаемой продукции</w:t>
      </w:r>
      <w:bookmarkEnd w:id="10"/>
    </w:p>
    <w:tbl>
      <w:tblPr>
        <w:tblW w:w="14748" w:type="dxa"/>
        <w:jc w:val="left"/>
        <w:tblInd w:w="11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960"/>
        <w:gridCol w:w="9839"/>
        <w:gridCol w:w="1950"/>
        <w:gridCol w:w="1998"/>
      </w:tblGrid>
      <w:tr>
        <w:trPr>
          <w:trHeight w:val="330" w:hRule="atLeast"/>
        </w:trPr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color="000000" w:fill="DDEBF7" w:val="clear"/>
            <w:vAlign w:val="center"/>
          </w:tcPr>
          <w:p>
            <w:pPr>
              <w:pStyle w:val="Normal"/>
              <w:widowControl w:val="false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</w:r>
          </w:p>
        </w:tc>
        <w:tc>
          <w:tcPr>
            <w:tcW w:w="98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color="000000" w:fill="DDEBF7" w:val="clear"/>
            <w:vAlign w:val="center"/>
          </w:tcPr>
          <w:p>
            <w:pPr>
              <w:pStyle w:val="Normal"/>
              <w:widowControl w:val="false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</w:r>
          </w:p>
        </w:tc>
        <w:tc>
          <w:tcPr>
            <w:tcW w:w="1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color="000000" w:fill="DDEBF7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</w:r>
          </w:p>
        </w:tc>
        <w:tc>
          <w:tcPr>
            <w:tcW w:w="19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DDEBF7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</w:r>
          </w:p>
        </w:tc>
      </w:tr>
      <w:tr>
        <w:trPr>
          <w:trHeight w:val="330" w:hRule="atLeast"/>
        </w:trPr>
        <w:tc>
          <w:tcPr>
            <w:tcW w:w="960" w:type="dxa"/>
            <w:tcBorders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color="000000" w:fill="DDEBF7" w:val="clear"/>
            <w:vAlign w:val="center"/>
          </w:tcPr>
          <w:p>
            <w:pPr>
              <w:pStyle w:val="Normal"/>
              <w:widowControl w:val="false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bCs/>
                <w:sz w:val="24"/>
                <w:szCs w:val="24"/>
              </w:rPr>
              <w:t xml:space="preserve">№ </w:t>
            </w:r>
            <w:r>
              <w:rPr>
                <w:rFonts w:ascii="Liberation Serif" w:hAnsi="Liberation Serif"/>
                <w:b/>
                <w:bCs/>
                <w:sz w:val="24"/>
                <w:szCs w:val="24"/>
              </w:rPr>
              <w:t>п/п</w:t>
            </w:r>
          </w:p>
        </w:tc>
        <w:tc>
          <w:tcPr>
            <w:tcW w:w="9839" w:type="dxa"/>
            <w:tcBorders>
              <w:left w:val="single" w:sz="8" w:space="0" w:color="000000"/>
              <w:bottom w:val="single" w:sz="8" w:space="0" w:color="000000"/>
            </w:tcBorders>
            <w:shd w:color="000000" w:fill="DDEBF7" w:val="clear"/>
            <w:vAlign w:val="center"/>
          </w:tcPr>
          <w:p>
            <w:pPr>
              <w:pStyle w:val="Normal"/>
              <w:widowControl w:val="false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bCs/>
                <w:sz w:val="24"/>
                <w:szCs w:val="24"/>
              </w:rPr>
              <w:t>Наименование продукции (товары / работы / услуги), являющейся предметом закупки</w:t>
            </w:r>
          </w:p>
        </w:tc>
        <w:tc>
          <w:tcPr>
            <w:tcW w:w="1950" w:type="dxa"/>
            <w:tcBorders>
              <w:left w:val="single" w:sz="8" w:space="0" w:color="000000"/>
              <w:bottom w:val="single" w:sz="8" w:space="0" w:color="000000"/>
            </w:tcBorders>
            <w:shd w:color="000000" w:fill="DDEBF7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bCs/>
                <w:sz w:val="24"/>
                <w:szCs w:val="24"/>
              </w:rPr>
              <w:t>Ед. изм.</w:t>
            </w:r>
          </w:p>
        </w:tc>
        <w:tc>
          <w:tcPr>
            <w:tcW w:w="199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DDEBF7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bCs/>
                <w:sz w:val="24"/>
                <w:szCs w:val="24"/>
              </w:rPr>
              <w:t>Кол-во</w:t>
            </w:r>
          </w:p>
        </w:tc>
      </w:tr>
      <w:tr>
        <w:trPr>
          <w:trHeight w:val="411" w:hRule="atLeast"/>
        </w:trPr>
        <w:tc>
          <w:tcPr>
            <w:tcW w:w="14747" w:type="dxa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bidi w:val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i w:val="false"/>
                <w:strike w:val="false"/>
                <w:dstrike w:val="false"/>
                <w:outline w:val="false"/>
                <w:shadow w:val="false"/>
                <w:color w:val="auto"/>
                <w:sz w:val="24"/>
                <w:szCs w:val="24"/>
                <w:u w:val="none"/>
                <w:em w:val="none"/>
              </w:rPr>
              <w:t>Филиал АО «ДРСК» «Электрические сети Еврейской Автономной области»</w:t>
            </w:r>
          </w:p>
        </w:tc>
      </w:tr>
      <w:tr>
        <w:trPr>
          <w:trHeight w:val="300" w:hRule="atLeast"/>
        </w:trPr>
        <w:tc>
          <w:tcPr>
            <w:tcW w:w="960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9839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18"/>
                <w:u w:val="none"/>
                <w:em w:val="none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18"/>
                <w:u w:val="none"/>
                <w:em w:val="none"/>
              </w:rPr>
              <w:t>Указатель высокого напряжения УВНУ-10 СЗ ИП-НЭО, УВНУ-10 СЗ ИП-НЭО</w:t>
            </w:r>
          </w:p>
        </w:tc>
        <w:tc>
          <w:tcPr>
            <w:tcW w:w="1950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5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шт</w:t>
            </w:r>
          </w:p>
        </w:tc>
        <w:tc>
          <w:tcPr>
            <w:tcW w:w="199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8</w:t>
            </w:r>
          </w:p>
        </w:tc>
      </w:tr>
      <w:tr>
        <w:trPr>
          <w:trHeight w:val="300" w:hRule="atLeast"/>
        </w:trPr>
        <w:tc>
          <w:tcPr>
            <w:tcW w:w="960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2</w:t>
            </w:r>
          </w:p>
        </w:tc>
        <w:tc>
          <w:tcPr>
            <w:tcW w:w="9839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18"/>
                <w:u w:val="none"/>
                <w:em w:val="none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18"/>
                <w:u w:val="none"/>
                <w:em w:val="none"/>
              </w:rPr>
              <w:t>Указатель высокого напряжения УВНУ-10СЗ ИП-КОМБИ-НЭО</w:t>
            </w:r>
          </w:p>
        </w:tc>
        <w:tc>
          <w:tcPr>
            <w:tcW w:w="1950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5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</w:r>
          </w:p>
        </w:tc>
        <w:tc>
          <w:tcPr>
            <w:tcW w:w="199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</w:t>
            </w:r>
          </w:p>
        </w:tc>
      </w:tr>
      <w:tr>
        <w:trPr>
          <w:trHeight w:val="300" w:hRule="atLeast"/>
        </w:trPr>
        <w:tc>
          <w:tcPr>
            <w:tcW w:w="960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3</w:t>
            </w:r>
          </w:p>
        </w:tc>
        <w:tc>
          <w:tcPr>
            <w:tcW w:w="9839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18"/>
                <w:u w:val="none"/>
                <w:em w:val="none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18"/>
                <w:u w:val="none"/>
                <w:em w:val="none"/>
              </w:rPr>
              <w:t>Указатель высокого напряжения УВНУ-35-110 СЗ ИП-КОМБИ-НЭО</w:t>
            </w:r>
          </w:p>
        </w:tc>
        <w:tc>
          <w:tcPr>
            <w:tcW w:w="1950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5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</w:r>
          </w:p>
        </w:tc>
        <w:tc>
          <w:tcPr>
            <w:tcW w:w="199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</w:t>
            </w:r>
          </w:p>
        </w:tc>
      </w:tr>
      <w:tr>
        <w:trPr>
          <w:trHeight w:val="300" w:hRule="atLeast"/>
        </w:trPr>
        <w:tc>
          <w:tcPr>
            <w:tcW w:w="960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4</w:t>
            </w:r>
          </w:p>
        </w:tc>
        <w:tc>
          <w:tcPr>
            <w:tcW w:w="9839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18"/>
                <w:u w:val="none"/>
                <w:em w:val="none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18"/>
                <w:u w:val="none"/>
                <w:em w:val="none"/>
              </w:rPr>
              <w:t>Указатель низкого напряжения УНК (12-380) ВЛ</w:t>
            </w:r>
          </w:p>
        </w:tc>
        <w:tc>
          <w:tcPr>
            <w:tcW w:w="1950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5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</w:r>
          </w:p>
        </w:tc>
        <w:tc>
          <w:tcPr>
            <w:tcW w:w="199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15</w:t>
            </w:r>
          </w:p>
        </w:tc>
      </w:tr>
      <w:tr>
        <w:trPr>
          <w:trHeight w:val="300" w:hRule="atLeast"/>
        </w:trPr>
        <w:tc>
          <w:tcPr>
            <w:tcW w:w="960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5</w:t>
            </w:r>
          </w:p>
        </w:tc>
        <w:tc>
          <w:tcPr>
            <w:tcW w:w="9839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18"/>
                <w:u w:val="none"/>
                <w:em w:val="none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18"/>
                <w:u w:val="none"/>
                <w:em w:val="none"/>
              </w:rPr>
              <w:t>Указатель низкого напряжения ЭЛИН-1СЗ ВЛ(12-660)</w:t>
            </w:r>
          </w:p>
        </w:tc>
        <w:tc>
          <w:tcPr>
            <w:tcW w:w="1950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5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</w:r>
          </w:p>
        </w:tc>
        <w:tc>
          <w:tcPr>
            <w:tcW w:w="199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8</w:t>
            </w:r>
          </w:p>
        </w:tc>
      </w:tr>
      <w:tr>
        <w:trPr>
          <w:trHeight w:val="300" w:hRule="atLeast"/>
        </w:trPr>
        <w:tc>
          <w:tcPr>
            <w:tcW w:w="960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6</w:t>
            </w:r>
          </w:p>
        </w:tc>
        <w:tc>
          <w:tcPr>
            <w:tcW w:w="9839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18"/>
                <w:u w:val="none"/>
                <w:em w:val="none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18"/>
                <w:u w:val="none"/>
                <w:em w:val="none"/>
              </w:rPr>
              <w:t>Указатель высокого напряжения УВНКС-35-110Э СЗ</w:t>
            </w:r>
          </w:p>
        </w:tc>
        <w:tc>
          <w:tcPr>
            <w:tcW w:w="1950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5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</w:r>
          </w:p>
        </w:tc>
        <w:tc>
          <w:tcPr>
            <w:tcW w:w="199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5</w:t>
            </w:r>
          </w:p>
        </w:tc>
      </w:tr>
      <w:tr>
        <w:trPr>
          <w:trHeight w:val="300" w:hRule="atLeast"/>
        </w:trPr>
        <w:tc>
          <w:tcPr>
            <w:tcW w:w="960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7</w:t>
            </w:r>
          </w:p>
        </w:tc>
        <w:tc>
          <w:tcPr>
            <w:tcW w:w="9839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18"/>
                <w:u w:val="none"/>
                <w:em w:val="none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18"/>
                <w:u w:val="none"/>
                <w:em w:val="none"/>
              </w:rPr>
              <w:t>Указатель высокого напряжения УВНСЗ 6-10</w:t>
            </w:r>
          </w:p>
        </w:tc>
        <w:tc>
          <w:tcPr>
            <w:tcW w:w="1950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5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</w:r>
          </w:p>
        </w:tc>
        <w:tc>
          <w:tcPr>
            <w:tcW w:w="199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12</w:t>
            </w:r>
          </w:p>
        </w:tc>
      </w:tr>
      <w:tr>
        <w:trPr>
          <w:trHeight w:val="300" w:hRule="atLeast"/>
        </w:trPr>
        <w:tc>
          <w:tcPr>
            <w:tcW w:w="960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8</w:t>
            </w:r>
          </w:p>
        </w:tc>
        <w:tc>
          <w:tcPr>
            <w:tcW w:w="9839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18"/>
                <w:u w:val="none"/>
                <w:em w:val="none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18"/>
                <w:u w:val="none"/>
                <w:em w:val="none"/>
              </w:rPr>
              <w:t>Указатель высокого напряжения УВН-90М-110 СЗ ИП КБ</w:t>
            </w:r>
          </w:p>
        </w:tc>
        <w:tc>
          <w:tcPr>
            <w:tcW w:w="1950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5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</w:r>
          </w:p>
        </w:tc>
        <w:tc>
          <w:tcPr>
            <w:tcW w:w="199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3</w:t>
            </w:r>
          </w:p>
        </w:tc>
      </w:tr>
      <w:tr>
        <w:trPr>
          <w:trHeight w:val="300" w:hRule="atLeast"/>
        </w:trPr>
        <w:tc>
          <w:tcPr>
            <w:tcW w:w="960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9</w:t>
            </w:r>
          </w:p>
        </w:tc>
        <w:tc>
          <w:tcPr>
            <w:tcW w:w="9839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18"/>
                <w:u w:val="none"/>
                <w:em w:val="none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18"/>
                <w:u w:val="none"/>
                <w:em w:val="none"/>
              </w:rPr>
              <w:t>Указатель низкого напряжения однополюсный УН-453М 24-1200В</w:t>
            </w:r>
          </w:p>
        </w:tc>
        <w:tc>
          <w:tcPr>
            <w:tcW w:w="1950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5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</w:r>
          </w:p>
        </w:tc>
        <w:tc>
          <w:tcPr>
            <w:tcW w:w="199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</w:t>
            </w:r>
          </w:p>
        </w:tc>
      </w:tr>
      <w:tr>
        <w:trPr>
          <w:trHeight w:val="300" w:hRule="atLeast"/>
        </w:trPr>
        <w:tc>
          <w:tcPr>
            <w:tcW w:w="960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10</w:t>
            </w:r>
          </w:p>
        </w:tc>
        <w:tc>
          <w:tcPr>
            <w:tcW w:w="9839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18"/>
                <w:u w:val="none"/>
                <w:em w:val="none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18"/>
                <w:u w:val="none"/>
                <w:em w:val="none"/>
              </w:rPr>
              <w:t>Указатель низкого напряжения УНН-1СЗ ВЛ(50-608В)</w:t>
            </w:r>
          </w:p>
        </w:tc>
        <w:tc>
          <w:tcPr>
            <w:tcW w:w="1950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5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</w:r>
          </w:p>
        </w:tc>
        <w:tc>
          <w:tcPr>
            <w:tcW w:w="199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</w:t>
            </w:r>
          </w:p>
        </w:tc>
      </w:tr>
      <w:tr>
        <w:trPr>
          <w:trHeight w:val="300" w:hRule="atLeast"/>
        </w:trPr>
        <w:tc>
          <w:tcPr>
            <w:tcW w:w="960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11</w:t>
            </w:r>
          </w:p>
        </w:tc>
        <w:tc>
          <w:tcPr>
            <w:tcW w:w="9839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18"/>
                <w:u w:val="none"/>
                <w:em w:val="none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18"/>
                <w:u w:val="none"/>
                <w:em w:val="none"/>
              </w:rPr>
              <w:t>Указатель напряжения УВН-90М-6-35СЗ ИП КБ 6-35кВ, УВН-90М-6-35 СЗ ИП</w:t>
            </w:r>
          </w:p>
        </w:tc>
        <w:tc>
          <w:tcPr>
            <w:tcW w:w="1950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5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</w:r>
          </w:p>
        </w:tc>
        <w:tc>
          <w:tcPr>
            <w:tcW w:w="199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7</w:t>
            </w:r>
          </w:p>
        </w:tc>
      </w:tr>
      <w:tr>
        <w:trPr>
          <w:trHeight w:val="300" w:hRule="atLeast"/>
        </w:trPr>
        <w:tc>
          <w:tcPr>
            <w:tcW w:w="960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12</w:t>
            </w:r>
          </w:p>
        </w:tc>
        <w:tc>
          <w:tcPr>
            <w:tcW w:w="9839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jc w:val="left"/>
              <w:rPr>
                <w:rFonts w:ascii="Lohit Devanagari" w:hAnsi="Lohit Devanagari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18"/>
                <w:u w:val="none"/>
                <w:em w:val="none"/>
              </w:rPr>
            </w:pPr>
            <w:r>
              <w:rPr>
                <w:rFonts w:ascii="Calibri" w:hAnsi="Calibri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18"/>
                <w:u w:val="none"/>
                <w:em w:val="none"/>
              </w:rPr>
              <w:t xml:space="preserve">Указатель высокого </w:t>
            </w:r>
            <w:r>
              <w:rPr>
                <w:rFonts w:ascii="Lohit Devanagari" w:hAnsi="Lohit Devanagari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18"/>
                <w:u w:val="none"/>
                <w:em w:val="none"/>
              </w:rPr>
              <w:t>напряжения УВН 6-35 КБ</w:t>
            </w:r>
          </w:p>
        </w:tc>
        <w:tc>
          <w:tcPr>
            <w:tcW w:w="1950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5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</w:r>
          </w:p>
        </w:tc>
        <w:tc>
          <w:tcPr>
            <w:tcW w:w="199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4</w:t>
            </w:r>
          </w:p>
        </w:tc>
      </w:tr>
      <w:tr>
        <w:trPr>
          <w:trHeight w:val="300" w:hRule="atLeast"/>
        </w:trPr>
        <w:tc>
          <w:tcPr>
            <w:tcW w:w="960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13</w:t>
            </w:r>
          </w:p>
        </w:tc>
        <w:tc>
          <w:tcPr>
            <w:tcW w:w="9839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18"/>
                <w:u w:val="none"/>
                <w:em w:val="none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18"/>
                <w:u w:val="none"/>
                <w:em w:val="none"/>
              </w:rPr>
              <w:t>Указатель низкого напряжения УНК (12-660В) 12…660В, УНК 12-660</w:t>
            </w:r>
          </w:p>
        </w:tc>
        <w:tc>
          <w:tcPr>
            <w:tcW w:w="1950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5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</w:r>
          </w:p>
        </w:tc>
        <w:tc>
          <w:tcPr>
            <w:tcW w:w="199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</w:t>
            </w:r>
          </w:p>
        </w:tc>
      </w:tr>
      <w:tr>
        <w:trPr>
          <w:trHeight w:val="300" w:hRule="atLeast"/>
        </w:trPr>
        <w:tc>
          <w:tcPr>
            <w:tcW w:w="960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14</w:t>
            </w:r>
          </w:p>
        </w:tc>
        <w:tc>
          <w:tcPr>
            <w:tcW w:w="9839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18"/>
                <w:u w:val="none"/>
                <w:em w:val="none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18"/>
                <w:u w:val="none"/>
                <w:em w:val="none"/>
              </w:rPr>
              <w:t>Указатель высокого напряжения УВНФ-10С3</w:t>
            </w:r>
          </w:p>
        </w:tc>
        <w:tc>
          <w:tcPr>
            <w:tcW w:w="1950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5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</w:r>
          </w:p>
        </w:tc>
        <w:tc>
          <w:tcPr>
            <w:tcW w:w="199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</w:t>
            </w:r>
          </w:p>
        </w:tc>
      </w:tr>
      <w:tr>
        <w:trPr>
          <w:trHeight w:val="300" w:hRule="atLeast"/>
        </w:trPr>
        <w:tc>
          <w:tcPr>
            <w:tcW w:w="960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15</w:t>
            </w:r>
          </w:p>
        </w:tc>
        <w:tc>
          <w:tcPr>
            <w:tcW w:w="9839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18"/>
                <w:u w:val="none"/>
                <w:em w:val="none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18"/>
                <w:u w:val="none"/>
                <w:em w:val="none"/>
              </w:rPr>
              <w:t>Указатель напряжения УВН-90М-35-110 СЗ ИП, УВН-90М-35-110 СЗ ИП</w:t>
            </w:r>
          </w:p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</w:r>
          </w:p>
        </w:tc>
        <w:tc>
          <w:tcPr>
            <w:tcW w:w="1950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5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</w:r>
          </w:p>
        </w:tc>
        <w:tc>
          <w:tcPr>
            <w:tcW w:w="199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4</w:t>
            </w:r>
          </w:p>
        </w:tc>
      </w:tr>
      <w:tr>
        <w:trPr>
          <w:trHeight w:val="315" w:hRule="atLeast"/>
        </w:trPr>
        <w:tc>
          <w:tcPr>
            <w:tcW w:w="1274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righ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</w:rPr>
              <w:t>ИТОГО:</w:t>
            </w:r>
          </w:p>
        </w:tc>
        <w:tc>
          <w:tcPr>
            <w:tcW w:w="19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</w:rPr>
              <w:t>77</w:t>
            </w:r>
          </w:p>
        </w:tc>
      </w:tr>
      <w:tr>
        <w:trPr>
          <w:trHeight w:val="315" w:hRule="atLeast"/>
        </w:trPr>
        <w:tc>
          <w:tcPr>
            <w:tcW w:w="14747" w:type="dxa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b/>
                <w:bCs/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bCs/>
                <w:sz w:val="24"/>
                <w:szCs w:val="24"/>
              </w:rPr>
            </w:r>
          </w:p>
        </w:tc>
      </w:tr>
    </w:tbl>
    <w:p>
      <w:pPr>
        <w:pStyle w:val="Normal"/>
        <w:rPr>
          <w:rFonts w:ascii="Liberation Serif" w:hAnsi="Liberation Serif"/>
          <w:lang w:eastAsia="x-none"/>
        </w:rPr>
      </w:pPr>
      <w:r>
        <w:rPr>
          <w:rFonts w:ascii="Liberation Serif" w:hAnsi="Liberation Serif"/>
          <w:lang w:eastAsia="x-none"/>
        </w:rPr>
      </w:r>
    </w:p>
    <w:p>
      <w:pPr>
        <w:pStyle w:val="Heading3"/>
        <w:numPr>
          <w:ilvl w:val="2"/>
          <w:numId w:val="3"/>
        </w:numPr>
        <w:spacing w:before="120" w:after="0"/>
        <w:rPr>
          <w:rFonts w:ascii="Liberation Serif" w:hAnsi="Liberation Serif"/>
        </w:rPr>
      </w:pPr>
      <w:bookmarkStart w:id="12" w:name="_Toc75446578"/>
      <w:bookmarkStart w:id="13" w:name="_Toc51339696"/>
      <w:r>
        <w:rPr>
          <w:rFonts w:ascii="Liberation Serif" w:hAnsi="Liberation Serif"/>
          <w:sz w:val="22"/>
          <w:szCs w:val="22"/>
          <w:lang w:val="ru-RU"/>
        </w:rPr>
        <w:t xml:space="preserve">Требования </w:t>
      </w:r>
      <w:bookmarkEnd w:id="13"/>
      <w:r>
        <w:rPr>
          <w:rFonts w:ascii="Liberation Serif" w:hAnsi="Liberation Serif"/>
          <w:sz w:val="22"/>
          <w:szCs w:val="22"/>
          <w:lang w:val="ru-RU"/>
        </w:rPr>
        <w:t xml:space="preserve">к срокам поставки продукции </w:t>
      </w:r>
      <w:bookmarkEnd w:id="12"/>
    </w:p>
    <w:p>
      <w:pPr>
        <w:pStyle w:val="Heading1"/>
        <w:keepLines/>
        <w:numPr>
          <w:ilvl w:val="0"/>
          <w:numId w:val="0"/>
        </w:numPr>
        <w:spacing w:before="240" w:after="0"/>
        <w:ind w:hanging="0" w:left="0"/>
        <w:rPr>
          <w:rFonts w:ascii="Liberation Serif" w:hAnsi="Liberation Serif"/>
        </w:rPr>
      </w:pPr>
      <w:bookmarkStart w:id="14" w:name="_Toc50125127"/>
      <w:bookmarkStart w:id="15" w:name="_Toc50125126_Копия_1"/>
      <w:bookmarkStart w:id="16" w:name="_Toc51339697"/>
      <w:bookmarkStart w:id="17" w:name="_Toc75446579"/>
      <w:bookmarkEnd w:id="15"/>
      <w:r>
        <w:rPr>
          <w:rFonts w:ascii="Liberation Serif" w:hAnsi="Liberation Serif"/>
          <w:sz w:val="22"/>
          <w:szCs w:val="22"/>
        </w:rPr>
        <w:t xml:space="preserve">Таблица </w:t>
      </w:r>
      <w:r>
        <w:rPr>
          <w:rFonts w:ascii="Liberation Serif" w:hAnsi="Liberation Serif"/>
          <w:sz w:val="22"/>
          <w:szCs w:val="22"/>
          <w:lang w:val="ru-RU"/>
        </w:rPr>
        <w:t>2</w:t>
      </w:r>
      <w:r>
        <w:rPr>
          <w:rFonts w:ascii="Liberation Serif" w:hAnsi="Liberation Serif"/>
          <w:sz w:val="22"/>
          <w:szCs w:val="22"/>
        </w:rPr>
        <w:t>.</w:t>
      </w:r>
      <w:r>
        <w:rPr>
          <w:rFonts w:ascii="Liberation Serif" w:hAnsi="Liberation Serif"/>
          <w:sz w:val="22"/>
          <w:szCs w:val="22"/>
          <w:lang w:val="ru-RU"/>
        </w:rPr>
        <w:t>1.2.</w:t>
      </w:r>
      <w:r>
        <w:rPr>
          <w:rFonts w:ascii="Liberation Serif" w:hAnsi="Liberation Serif"/>
          <w:sz w:val="22"/>
          <w:szCs w:val="22"/>
        </w:rPr>
        <w:t xml:space="preserve"> </w:t>
      </w:r>
      <w:bookmarkStart w:id="18" w:name="_Hlk50465284"/>
      <w:r>
        <w:rPr>
          <w:rFonts w:ascii="Liberation Serif" w:hAnsi="Liberation Serif"/>
          <w:sz w:val="22"/>
          <w:szCs w:val="22"/>
        </w:rPr>
        <w:t xml:space="preserve">Требования по срокам </w:t>
      </w:r>
      <w:bookmarkEnd w:id="14"/>
      <w:bookmarkEnd w:id="16"/>
      <w:bookmarkEnd w:id="18"/>
      <w:r>
        <w:rPr>
          <w:rFonts w:ascii="Liberation Serif" w:hAnsi="Liberation Serif"/>
          <w:sz w:val="22"/>
          <w:szCs w:val="22"/>
          <w:lang w:val="ru-RU"/>
        </w:rPr>
        <w:t>поставки продукции</w:t>
      </w:r>
      <w:bookmarkEnd w:id="17"/>
      <w:r>
        <w:rPr>
          <w:rFonts w:ascii="Liberation Serif" w:hAnsi="Liberation Serif"/>
          <w:sz w:val="22"/>
          <w:szCs w:val="22"/>
          <w:lang w:val="ru-RU"/>
        </w:rPr>
        <w:t xml:space="preserve"> </w:t>
      </w:r>
    </w:p>
    <w:tbl>
      <w:tblPr>
        <w:tblW w:w="14742" w:type="dxa"/>
        <w:jc w:val="left"/>
        <w:tblInd w:w="1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567"/>
        <w:gridCol w:w="4187"/>
        <w:gridCol w:w="9988"/>
      </w:tblGrid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  <w:sz w:val="22"/>
                <w:szCs w:val="22"/>
              </w:rPr>
              <w:t xml:space="preserve">№ </w:t>
            </w:r>
            <w:r>
              <w:rPr>
                <w:rFonts w:ascii="Liberation Serif" w:hAnsi="Liberation Serif"/>
                <w:b/>
                <w:sz w:val="22"/>
                <w:szCs w:val="22"/>
              </w:rPr>
              <w:t>п/п</w:t>
            </w:r>
          </w:p>
        </w:tc>
        <w:tc>
          <w:tcPr>
            <w:tcW w:w="4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  <w:sz w:val="22"/>
                <w:szCs w:val="22"/>
              </w:rPr>
              <w:t>Требования к началу срока поставки продукции</w:t>
            </w:r>
          </w:p>
        </w:tc>
        <w:tc>
          <w:tcPr>
            <w:tcW w:w="9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  <w:sz w:val="22"/>
                <w:szCs w:val="22"/>
              </w:rPr>
              <w:t>Требования к окончанию срока поставки продукции</w:t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  <w:sz w:val="22"/>
                <w:szCs w:val="22"/>
              </w:rPr>
              <w:t>1</w:t>
            </w:r>
          </w:p>
        </w:tc>
        <w:tc>
          <w:tcPr>
            <w:tcW w:w="4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9"/>
              <w:keepNext w:val="false"/>
              <w:widowControl w:val="false"/>
              <w:spacing w:before="40" w:after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  <w:szCs w:val="22"/>
              </w:rPr>
              <w:t>2</w:t>
            </w:r>
          </w:p>
        </w:tc>
        <w:tc>
          <w:tcPr>
            <w:tcW w:w="9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9"/>
              <w:keepNext w:val="false"/>
              <w:widowControl w:val="false"/>
              <w:spacing w:before="40" w:after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  <w:szCs w:val="22"/>
              </w:rPr>
              <w:t>3</w:t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4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  <w:bCs/>
                <w:i/>
                <w:sz w:val="22"/>
                <w:szCs w:val="22"/>
              </w:rPr>
              <w:t>с даты заключения договора</w:t>
            </w:r>
          </w:p>
        </w:tc>
        <w:tc>
          <w:tcPr>
            <w:tcW w:w="9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  <w:i/>
                <w:sz w:val="22"/>
                <w:szCs w:val="22"/>
              </w:rPr>
              <w:t>в течение 30 календарных дней с момента заключения договора поставки.</w:t>
            </w:r>
          </w:p>
        </w:tc>
      </w:tr>
    </w:tbl>
    <w:p>
      <w:pPr>
        <w:pStyle w:val="Heading1"/>
        <w:numPr>
          <w:ilvl w:val="0"/>
          <w:numId w:val="0"/>
        </w:numPr>
        <w:spacing w:before="120" w:after="0"/>
        <w:ind w:hanging="0" w:left="0"/>
        <w:rPr>
          <w:rFonts w:ascii="Liberation Serif" w:hAnsi="Liberation Serif"/>
          <w:sz w:val="22"/>
          <w:szCs w:val="22"/>
        </w:rPr>
      </w:pPr>
      <w:r>
        <w:rPr>
          <w:rFonts w:ascii="Liberation Serif" w:hAnsi="Liberation Serif"/>
          <w:sz w:val="22"/>
          <w:szCs w:val="22"/>
        </w:rPr>
      </w:r>
      <w:bookmarkStart w:id="19" w:name="_Toc46743510_Копия_1"/>
      <w:bookmarkStart w:id="20" w:name="_Toc46743510_Копия_1"/>
      <w:bookmarkEnd w:id="20"/>
    </w:p>
    <w:p>
      <w:pPr>
        <w:pStyle w:val="Heading4"/>
        <w:numPr>
          <w:ilvl w:val="1"/>
          <w:numId w:val="3"/>
        </w:numPr>
        <w:spacing w:before="120" w:after="0"/>
        <w:rPr>
          <w:rFonts w:ascii="Liberation Serif" w:hAnsi="Liberation Serif"/>
        </w:rPr>
      </w:pPr>
      <w:bookmarkStart w:id="21" w:name="_Toc51339698"/>
      <w:bookmarkStart w:id="22" w:name="_Toc75446581"/>
      <w:bookmarkStart w:id="23" w:name="_Toc46743511"/>
      <w:r>
        <w:rPr>
          <w:rFonts w:ascii="Liberation Serif" w:hAnsi="Liberation Serif"/>
          <w:sz w:val="22"/>
          <w:szCs w:val="22"/>
        </w:rPr>
        <w:t xml:space="preserve">Требования к </w:t>
      </w:r>
      <w:bookmarkEnd w:id="23"/>
      <w:r>
        <w:rPr>
          <w:rFonts w:ascii="Liberation Serif" w:hAnsi="Liberation Serif"/>
          <w:sz w:val="22"/>
          <w:szCs w:val="22"/>
          <w:lang w:val="ru-RU"/>
        </w:rPr>
        <w:t>качеству продукции</w:t>
      </w:r>
      <w:bookmarkEnd w:id="22"/>
    </w:p>
    <w:p>
      <w:pPr>
        <w:pStyle w:val="Heading1"/>
        <w:keepLines/>
        <w:numPr>
          <w:ilvl w:val="0"/>
          <w:numId w:val="0"/>
        </w:numPr>
        <w:spacing w:before="240" w:after="0"/>
        <w:ind w:hanging="0" w:left="0"/>
        <w:rPr>
          <w:rFonts w:ascii="Liberation Serif" w:hAnsi="Liberation Serif"/>
        </w:rPr>
      </w:pPr>
      <w:bookmarkStart w:id="24" w:name="_Toc75446582"/>
      <w:r>
        <w:rPr>
          <w:rFonts w:ascii="Liberation Serif" w:hAnsi="Liberation Serif"/>
          <w:sz w:val="22"/>
          <w:szCs w:val="22"/>
        </w:rPr>
        <w:t>Таблица </w:t>
      </w:r>
      <w:r>
        <w:rPr>
          <w:rFonts w:ascii="Liberation Serif" w:hAnsi="Liberation Serif"/>
          <w:sz w:val="22"/>
          <w:szCs w:val="22"/>
          <w:lang w:val="ru-RU"/>
        </w:rPr>
        <w:t>2</w:t>
      </w:r>
      <w:r>
        <w:rPr>
          <w:rFonts w:ascii="Liberation Serif" w:hAnsi="Liberation Serif"/>
          <w:sz w:val="22"/>
          <w:szCs w:val="22"/>
        </w:rPr>
        <w:t>.</w:t>
      </w:r>
      <w:r>
        <w:rPr>
          <w:rFonts w:ascii="Liberation Serif" w:hAnsi="Liberation Serif"/>
          <w:sz w:val="22"/>
          <w:szCs w:val="22"/>
          <w:lang w:val="ru-RU"/>
        </w:rPr>
        <w:t>2.</w:t>
      </w:r>
      <w:r>
        <w:rPr>
          <w:rFonts w:ascii="Liberation Serif" w:hAnsi="Liberation Serif"/>
          <w:sz w:val="22"/>
          <w:szCs w:val="22"/>
        </w:rPr>
        <w:t xml:space="preserve"> Требования к </w:t>
      </w:r>
      <w:r>
        <w:rPr>
          <w:rFonts w:ascii="Liberation Serif" w:hAnsi="Liberation Serif"/>
          <w:sz w:val="22"/>
          <w:szCs w:val="22"/>
          <w:lang w:val="ru-RU"/>
        </w:rPr>
        <w:t>продукции</w:t>
      </w:r>
      <w:bookmarkEnd w:id="24"/>
      <w:r>
        <w:rPr>
          <w:rFonts w:ascii="Liberation Serif" w:hAnsi="Liberation Serif"/>
          <w:sz w:val="22"/>
          <w:szCs w:val="22"/>
        </w:rPr>
        <w:t xml:space="preserve"> </w:t>
      </w:r>
      <w:bookmarkEnd w:id="21"/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0"/>
        <w:jc w:val="both"/>
        <w:rPr/>
      </w:pPr>
      <w:r>
        <w:rPr>
          <w:rFonts w:ascii="Liberation Serif" w:hAnsi="Liberation Serif"/>
          <w:b/>
          <w:bCs/>
          <w:i/>
          <w:iCs/>
          <w:sz w:val="22"/>
          <w:szCs w:val="22"/>
        </w:rPr>
        <w:t xml:space="preserve">Наименование продукции </w:t>
      </w:r>
      <w:r>
        <w:rPr>
          <w:rFonts w:eastAsia="Calibri" w:ascii="Liberation Serif" w:hAnsi="Liberation Serif"/>
          <w:i/>
          <w:sz w:val="22"/>
          <w:szCs w:val="22"/>
          <w:lang w:eastAsia="x-none"/>
        </w:rPr>
        <w:t>«</w:t>
      </w:r>
      <w:r>
        <w:rPr>
          <w:rFonts w:eastAsia="Calibri" w:ascii="Liberation Serif" w:hAnsi="Liberation Serif"/>
          <w:b/>
          <w:i/>
          <w:sz w:val="22"/>
          <w:szCs w:val="22"/>
          <w:lang w:eastAsia="x-none"/>
        </w:rPr>
        <w:t>Указатели напряжения</w:t>
      </w:r>
      <w:r>
        <w:rPr>
          <w:rFonts w:eastAsia="Calibri" w:ascii="Liberation Serif" w:hAnsi="Liberation Serif"/>
          <w:i/>
          <w:sz w:val="22"/>
          <w:szCs w:val="22"/>
          <w:lang w:eastAsia="x-none"/>
        </w:rPr>
        <w:t>»</w:t>
      </w:r>
      <w:r>
        <w:rPr>
          <w:rStyle w:val="Style8"/>
          <w:rFonts w:ascii="Liberation Serif" w:hAnsi="Liberation Serif"/>
          <w:b w:val="false"/>
          <w:iCs/>
          <w:sz w:val="22"/>
          <w:szCs w:val="22"/>
        </w:rPr>
        <w:t xml:space="preserve"> </w:t>
      </w:r>
    </w:p>
    <w:tbl>
      <w:tblPr>
        <w:tblStyle w:val="af0"/>
        <w:tblpPr w:vertAnchor="text" w:horzAnchor="text" w:leftFromText="180" w:rightFromText="180" w:tblpX="614" w:tblpY="1"/>
        <w:tblW w:w="14567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674"/>
        <w:gridCol w:w="3262"/>
        <w:gridCol w:w="4393"/>
        <w:gridCol w:w="1844"/>
        <w:gridCol w:w="2551"/>
        <w:gridCol w:w="1842"/>
      </w:tblGrid>
      <w:tr>
        <w:trPr/>
        <w:tc>
          <w:tcPr>
            <w:tcW w:w="674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п/п</w:t>
            </w:r>
          </w:p>
        </w:tc>
        <w:tc>
          <w:tcPr>
            <w:tcW w:w="3262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4393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Требование заказчика</w:t>
            </w:r>
          </w:p>
        </w:tc>
        <w:tc>
          <w:tcPr>
            <w:tcW w:w="4395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Способ подтверждения участником соответствия требованиям</w:t>
            </w:r>
          </w:p>
        </w:tc>
        <w:tc>
          <w:tcPr>
            <w:tcW w:w="1842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Предложение участника по характеристикам и параметрам</w:t>
            </w:r>
          </w:p>
        </w:tc>
      </w:tr>
      <w:tr>
        <w:trPr/>
        <w:tc>
          <w:tcPr>
            <w:tcW w:w="674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tcW w:w="3262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tcW w:w="4393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tcW w:w="184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Согласие с требованием/ указание характеристик</w:t>
            </w:r>
          </w:p>
        </w:tc>
        <w:tc>
          <w:tcPr>
            <w:tcW w:w="255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1842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</w:tc>
      </w:tr>
      <w:tr>
        <w:trPr/>
        <w:tc>
          <w:tcPr>
            <w:tcW w:w="67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1</w:t>
            </w:r>
          </w:p>
        </w:tc>
        <w:tc>
          <w:tcPr>
            <w:tcW w:w="326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2</w:t>
            </w:r>
          </w:p>
        </w:tc>
        <w:tc>
          <w:tcPr>
            <w:tcW w:w="439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3</w:t>
            </w:r>
          </w:p>
        </w:tc>
        <w:tc>
          <w:tcPr>
            <w:tcW w:w="184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4</w:t>
            </w:r>
          </w:p>
        </w:tc>
        <w:tc>
          <w:tcPr>
            <w:tcW w:w="255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5</w:t>
            </w:r>
          </w:p>
        </w:tc>
        <w:tc>
          <w:tcPr>
            <w:tcW w:w="184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6</w:t>
            </w:r>
          </w:p>
        </w:tc>
      </w:tr>
      <w:tr>
        <w:trPr/>
        <w:tc>
          <w:tcPr>
            <w:tcW w:w="67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1.</w:t>
            </w:r>
          </w:p>
        </w:tc>
        <w:tc>
          <w:tcPr>
            <w:tcW w:w="13892" w:type="dxa"/>
            <w:gridSpan w:val="5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Технические и функциональные характеристики</w:t>
            </w:r>
          </w:p>
        </w:tc>
      </w:tr>
      <w:tr>
        <w:trPr/>
        <w:tc>
          <w:tcPr>
            <w:tcW w:w="67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1.1.</w:t>
            </w:r>
          </w:p>
        </w:tc>
        <w:tc>
          <w:tcPr>
            <w:tcW w:w="326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Требования к характеристикам</w:t>
            </w:r>
          </w:p>
        </w:tc>
        <w:tc>
          <w:tcPr>
            <w:tcW w:w="439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 xml:space="preserve">Характеристики продукции должны соответствовать параметрам, указанным в </w:t>
            </w:r>
            <w:r>
              <w:rPr>
                <w:rFonts w:eastAsia="Times New Roman" w:cs="Times New Roman"/>
                <w:b/>
                <w:i/>
                <w:kern w:val="0"/>
                <w:sz w:val="22"/>
                <w:szCs w:val="22"/>
                <w:lang w:val="ru-RU" w:eastAsia="ru-RU" w:bidi="ar-SA"/>
              </w:rPr>
              <w:t>Приложении №1</w:t>
            </w:r>
          </w:p>
        </w:tc>
        <w:tc>
          <w:tcPr>
            <w:tcW w:w="184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/>
                <w:b w:val="false"/>
                <w:bCs w:val="false"/>
                <w:i/>
                <w:iCs/>
                <w:kern w:val="0"/>
                <w:sz w:val="22"/>
                <w:szCs w:val="22"/>
                <w:shd w:fill="auto" w:val="clear"/>
                <w:lang w:val="ru-RU" w:eastAsia="ru-RU" w:bidi="ar-SA"/>
              </w:rPr>
              <w:t>Указание характеристик</w:t>
            </w:r>
          </w:p>
        </w:tc>
        <w:tc>
          <w:tcPr>
            <w:tcW w:w="2551" w:type="dxa"/>
            <w:tcBorders/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/>
                <w:b w:val="false"/>
                <w:bCs w:val="false"/>
                <w:i/>
                <w:iCs/>
                <w:color w:val="000000"/>
                <w:kern w:val="0"/>
                <w:sz w:val="22"/>
                <w:szCs w:val="22"/>
                <w:shd w:fill="auto" w:val="clear"/>
                <w:lang w:val="ru-RU" w:eastAsia="ru-RU" w:bidi="ar-SA"/>
              </w:rPr>
              <w:t>Предоставление заполненных Приложении № 1 к техническим требованиям</w:t>
            </w:r>
          </w:p>
        </w:tc>
        <w:tc>
          <w:tcPr>
            <w:tcW w:w="184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</w:tr>
      <w:tr>
        <w:trPr/>
        <w:tc>
          <w:tcPr>
            <w:tcW w:w="67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2.</w:t>
            </w:r>
          </w:p>
        </w:tc>
        <w:tc>
          <w:tcPr>
            <w:tcW w:w="13892" w:type="dxa"/>
            <w:gridSpan w:val="5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Требования к оформлению документов заявки, в случае предложения Участниками эквивалента</w:t>
            </w:r>
          </w:p>
        </w:tc>
      </w:tr>
      <w:tr>
        <w:trPr/>
        <w:tc>
          <w:tcPr>
            <w:tcW w:w="67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2.1.</w:t>
            </w:r>
          </w:p>
        </w:tc>
        <w:tc>
          <w:tcPr>
            <w:tcW w:w="326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Требования к оформлению документов заявки, в случае предложения Участниками эквивалента</w:t>
            </w:r>
          </w:p>
        </w:tc>
        <w:tc>
          <w:tcPr>
            <w:tcW w:w="439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Допускаются эквиваленты при условии соответствия технических характеристик и качества заявляемой продукции. Участник должен принять во внимание, что ссылка на марку (тип) продукции, носит описательный, а не обязательный характер. В случае если Участником предлагаются эквиваленты требуемой Заказчику продукции, или ее составных частей в составе своего предложения он должен в обязательном порядке предоставить подробное техническое описание предлагаемого к поставке эквивалента.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Эквивалентная продукция - это продукция, которая по техническим и функциональным характеристикам не уступает характеристикам, заявленным в документации о закупке, в том числе по гарантийным срокам и срокам эксплуатации.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i/>
                <w:i/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Параметрами эквивалентности являются ГОСТ, стандарты и марки, указанные в</w:t>
            </w:r>
            <w:r>
              <w:rPr>
                <w:rFonts w:eastAsia="Calibri" w:cs="Times New Roman"/>
                <w:b/>
                <w:bCs/>
                <w:i/>
                <w:kern w:val="0"/>
                <w:sz w:val="24"/>
                <w:szCs w:val="24"/>
                <w:lang w:val="ru-RU" w:eastAsia="en-US" w:bidi="ar-SA"/>
              </w:rPr>
              <w:t xml:space="preserve"> </w:t>
            </w:r>
            <w:r>
              <w:rPr>
                <w:rFonts w:eastAsia="Calibri" w:cs="Times New Roman"/>
                <w:b/>
                <w:bCs/>
                <w:i/>
                <w:kern w:val="0"/>
                <w:sz w:val="22"/>
                <w:szCs w:val="22"/>
                <w:lang w:val="ru-RU" w:eastAsia="en-US" w:bidi="ar-SA"/>
              </w:rPr>
              <w:t>Приложении №1</w:t>
            </w:r>
            <w:r>
              <w:rPr>
                <w:rFonts w:eastAsia="Calibri" w:cs="Times New Roman"/>
                <w:bCs/>
                <w:kern w:val="0"/>
                <w:sz w:val="22"/>
                <w:szCs w:val="22"/>
                <w:lang w:val="ru-RU" w:eastAsia="en-US" w:bidi="ar-SA"/>
              </w:rPr>
              <w:t xml:space="preserve"> к настоящим Техническим требованиям.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 xml:space="preserve">Для оценки возможности использования предлагаемого эквивалента, предложение Участника должно содержать подробную информацию в объеме, соответствующем требованиям, указанным Заказчиком в </w:t>
            </w:r>
            <w:r>
              <w:rPr>
                <w:rFonts w:eastAsia="Calibri" w:cs="Times New Roman"/>
                <w:b/>
                <w:bCs/>
                <w:i/>
                <w:kern w:val="0"/>
                <w:sz w:val="24"/>
                <w:szCs w:val="24"/>
                <w:lang w:val="ru-RU" w:eastAsia="en-US" w:bidi="ar-SA"/>
              </w:rPr>
              <w:t xml:space="preserve"> </w:t>
            </w:r>
            <w:r>
              <w:rPr>
                <w:rFonts w:eastAsia="Calibri" w:cs="Times New Roman"/>
                <w:b/>
                <w:bCs/>
                <w:i/>
                <w:kern w:val="0"/>
                <w:sz w:val="22"/>
                <w:szCs w:val="22"/>
                <w:lang w:val="ru-RU" w:eastAsia="en-US" w:bidi="ar-SA"/>
              </w:rPr>
              <w:t xml:space="preserve"> Приложении №1</w:t>
            </w:r>
            <w:r>
              <w:rPr>
                <w:rFonts w:eastAsia="Calibri" w:cs="Times New Roman"/>
                <w:bCs/>
                <w:kern w:val="0"/>
                <w:sz w:val="22"/>
                <w:szCs w:val="22"/>
                <w:lang w:val="ru-RU" w:eastAsia="en-US" w:bidi="ar-SA"/>
              </w:rPr>
              <w:t xml:space="preserve"> к настоящим Техническим требованиям.</w:t>
            </w:r>
          </w:p>
        </w:tc>
        <w:tc>
          <w:tcPr>
            <w:tcW w:w="184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55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184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67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3.</w:t>
            </w:r>
          </w:p>
        </w:tc>
        <w:tc>
          <w:tcPr>
            <w:tcW w:w="13892" w:type="dxa"/>
            <w:gridSpan w:val="5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Требования к гарантиям</w:t>
            </w:r>
          </w:p>
        </w:tc>
      </w:tr>
      <w:tr>
        <w:trPr>
          <w:trHeight w:val="771" w:hRule="atLeast"/>
        </w:trPr>
        <w:tc>
          <w:tcPr>
            <w:tcW w:w="67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ind w:hanging="0" w:right="-109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3.1.</w:t>
            </w:r>
          </w:p>
        </w:tc>
        <w:tc>
          <w:tcPr>
            <w:tcW w:w="326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hanging="0" w:right="145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 xml:space="preserve">Срок гарантии на поставляемую </w:t>
            </w:r>
            <w:r>
              <w:rPr>
                <w:rFonts w:eastAsia="Times New Roman" w:cs="Times New Roman"/>
                <w:iCs/>
                <w:kern w:val="0"/>
                <w:sz w:val="22"/>
                <w:szCs w:val="22"/>
                <w:lang w:val="ru-RU" w:eastAsia="ru-RU" w:bidi="ar-SA"/>
              </w:rPr>
              <w:t>продукцию</w:t>
            </w:r>
          </w:p>
        </w:tc>
        <w:tc>
          <w:tcPr>
            <w:tcW w:w="439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 xml:space="preserve">Гарантия на поставляемую продукцию должна составлять не менее </w:t>
            </w:r>
            <w:r>
              <w:rPr>
                <w:rFonts w:eastAsia="Times New Roman" w:cs="Times New Roman"/>
                <w:b/>
                <w:bCs/>
                <w:i/>
                <w:iCs/>
                <w:kern w:val="0"/>
                <w:sz w:val="22"/>
                <w:szCs w:val="22"/>
                <w:lang w:val="ru-RU" w:eastAsia="ru-RU" w:bidi="ar-SA"/>
              </w:rPr>
              <w:t>24 месяца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 xml:space="preserve"> с даты подписания накладной </w:t>
            </w:r>
            <w:r>
              <w:rPr>
                <w:rFonts w:eastAsia="Times New Roman" w:cs="Times New Roman"/>
                <w:b/>
                <w:i/>
                <w:kern w:val="0"/>
                <w:sz w:val="22"/>
                <w:szCs w:val="22"/>
                <w:lang w:val="ru-RU" w:eastAsia="ru-RU" w:bidi="ar-SA"/>
              </w:rPr>
              <w:t>ТОРГ-12/УПД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.</w:t>
            </w:r>
          </w:p>
        </w:tc>
        <w:tc>
          <w:tcPr>
            <w:tcW w:w="184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2"/>
                <w:szCs w:val="22"/>
                <w:lang w:val="ru-RU" w:eastAsia="ru-RU" w:bidi="ar-SA"/>
              </w:rPr>
              <w:t>Указать срок гарантии на предлагаемую продукцию</w:t>
            </w:r>
          </w:p>
        </w:tc>
        <w:tc>
          <w:tcPr>
            <w:tcW w:w="255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eastAsia="Sylfaen"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184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333" w:hRule="atLeast"/>
        </w:trPr>
        <w:tc>
          <w:tcPr>
            <w:tcW w:w="67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ind w:hanging="0" w:right="-109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en-US" w:eastAsia="ru-RU" w:bidi="ar-SA"/>
              </w:rPr>
              <w:t>4</w:t>
            </w: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.</w:t>
            </w:r>
          </w:p>
        </w:tc>
        <w:tc>
          <w:tcPr>
            <w:tcW w:w="13892" w:type="dxa"/>
            <w:gridSpan w:val="5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Требования к новизне поставляемой продукции</w:t>
            </w:r>
          </w:p>
        </w:tc>
      </w:tr>
      <w:tr>
        <w:trPr>
          <w:trHeight w:val="771" w:hRule="atLeast"/>
        </w:trPr>
        <w:tc>
          <w:tcPr>
            <w:tcW w:w="67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ind w:hanging="0" w:right="-109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4.1.</w:t>
            </w:r>
          </w:p>
        </w:tc>
        <w:tc>
          <w:tcPr>
            <w:tcW w:w="326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hanging="0" w:right="145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Требования к году выпуска</w:t>
            </w:r>
          </w:p>
        </w:tc>
        <w:tc>
          <w:tcPr>
            <w:tcW w:w="439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Продукция должна быть новой, ранее неиспользованной, произведенной не ранее 2026 года.</w:t>
            </w:r>
          </w:p>
        </w:tc>
        <w:tc>
          <w:tcPr>
            <w:tcW w:w="184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55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184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67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ind w:hanging="0" w:right="-109"/>
              <w:jc w:val="left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5.</w:t>
            </w:r>
          </w:p>
        </w:tc>
        <w:tc>
          <w:tcPr>
            <w:tcW w:w="13892" w:type="dxa"/>
            <w:gridSpan w:val="5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Требование к доставке</w:t>
            </w:r>
          </w:p>
        </w:tc>
      </w:tr>
      <w:tr>
        <w:trPr/>
        <w:tc>
          <w:tcPr>
            <w:tcW w:w="674" w:type="dxa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ind w:hanging="0" w:right="-109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  <w:t>5.5.</w:t>
            </w:r>
          </w:p>
        </w:tc>
        <w:tc>
          <w:tcPr>
            <w:tcW w:w="326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hanging="0" w:right="145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  <w:t>Место поставки продукции для филиала АО «ДРСК» «Электрические сети Еврейской Автономной области»</w:t>
            </w:r>
          </w:p>
        </w:tc>
        <w:tc>
          <w:tcPr>
            <w:tcW w:w="4393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color w:val="000000"/>
                <w:spacing w:val="-1"/>
                <w:kern w:val="0"/>
                <w:sz w:val="22"/>
                <w:szCs w:val="22"/>
                <w:lang w:val="ru-RU" w:eastAsia="ru-RU" w:bidi="ar-SA"/>
              </w:rPr>
              <w:t>Авто доставка:</w:t>
            </w:r>
            <w:r>
              <w:rPr>
                <w:rFonts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  <w:t xml:space="preserve"> 679011 РФ, Еврейская Автономная область, г. Биробиджан, ул. Черноморская, 6.</w:t>
            </w:r>
          </w:p>
        </w:tc>
        <w:tc>
          <w:tcPr>
            <w:tcW w:w="1844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iCs/>
                <w:sz w:val="22"/>
                <w:szCs w:val="22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551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1842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</w:tbl>
    <w:p>
      <w:pPr>
        <w:pStyle w:val="Normal"/>
        <w:rPr>
          <w:rFonts w:ascii="Liberation Serif" w:hAnsi="Liberation Serif"/>
        </w:rPr>
      </w:pPr>
      <w:r/>
      <w:r>
        <w:rPr>
          <w:rFonts w:ascii="Liberation Serif" w:hAnsi="Liberation Serif"/>
          <w:sz w:val="22"/>
          <w:szCs w:val="22"/>
        </w:rPr>
        <w:tab/>
      </w:r>
    </w:p>
    <w:p>
      <w:pPr>
        <w:pStyle w:val="Normal"/>
        <w:tabs>
          <w:tab w:val="clear" w:pos="708"/>
          <w:tab w:val="left" w:pos="567" w:leader="none"/>
        </w:tabs>
        <w:suppressAutoHyphens w:val="true"/>
        <w:ind w:hanging="0" w:right="593"/>
        <w:jc w:val="both"/>
        <w:rPr>
          <w:rFonts w:ascii="Liberation Serif" w:hAnsi="Liberation Serif"/>
        </w:rPr>
      </w:pPr>
      <w:r>
        <w:rPr>
          <w:rFonts w:ascii="Liberation Serif" w:hAnsi="Liberation Serif"/>
          <w:bCs/>
          <w:iCs/>
          <w:sz w:val="20"/>
          <w:szCs w:val="20"/>
          <w:lang w:eastAsia="x-none"/>
        </w:rPr>
        <w:t xml:space="preserve"> </w:t>
      </w:r>
      <w:r>
        <w:rPr>
          <w:rStyle w:val="Style15"/>
          <w:rFonts w:ascii="Liberation Serif" w:hAnsi="Liberation Serif"/>
          <w:b/>
          <w:bCs/>
          <w:i/>
          <w:iCs/>
          <w:sz w:val="20"/>
          <w:szCs w:val="20"/>
          <w:lang w:eastAsia="x-none"/>
        </w:rPr>
        <w:t xml:space="preserve">3. </w:t>
      </w:r>
      <w:r>
        <w:rPr>
          <w:rStyle w:val="Style15"/>
          <w:rFonts w:eastAsia="Liberation Serif;Times New Roman" w:cs="Liberation Serif;Times New Roman" w:ascii="Liberation Serif" w:hAnsi="Liberation Serif"/>
          <w:b/>
          <w:bCs/>
          <w:i w:val="false"/>
          <w:iCs w:val="false"/>
          <w:color w:val="000000"/>
          <w:sz w:val="20"/>
          <w:szCs w:val="20"/>
          <w:lang w:eastAsia="x-none"/>
        </w:rPr>
        <w:t>В составе заявки необходимо предоставить</w:t>
      </w:r>
      <w:r>
        <w:rPr>
          <w:rStyle w:val="Style15"/>
          <w:rFonts w:eastAsia="Liberation Serif;Times New Roman" w:cs="Liberation Serif;Times New Roman" w:ascii="Liberation Serif" w:hAnsi="Liberation Serif"/>
          <w:b/>
          <w:bCs/>
          <w:i w:val="false"/>
          <w:iCs w:val="false"/>
          <w:color w:val="000000"/>
          <w:sz w:val="20"/>
          <w:szCs w:val="20"/>
          <w:lang w:val="ru-RU" w:eastAsia="x-none"/>
        </w:rPr>
        <w:t>:</w:t>
      </w:r>
    </w:p>
    <w:p>
      <w:pPr>
        <w:pStyle w:val="Normal"/>
        <w:spacing w:before="0" w:after="60"/>
        <w:jc w:val="both"/>
        <w:rPr/>
      </w:pPr>
      <w:r>
        <w:rPr>
          <w:rStyle w:val="Style15"/>
          <w:rFonts w:eastAsia="Liberation Serif;Times New Roman" w:cs="Times New Roman"/>
          <w:b w:val="false"/>
          <w:bCs w:val="false"/>
          <w:i w:val="false"/>
          <w:iCs w:val="false"/>
          <w:color w:val="000000"/>
          <w:sz w:val="22"/>
          <w:szCs w:val="22"/>
          <w:lang w:val="ru-RU" w:bidi="ar-SA"/>
        </w:rPr>
        <w:t xml:space="preserve">Участник в составе своей заявки для подтверждения соответствия заявленных характеристик предложенной продукции/ поставляемой продукции, требованиям настоящих ТТ, предоставляет следующие документы: </w:t>
      </w:r>
    </w:p>
    <w:p>
      <w:pPr>
        <w:pStyle w:val="Normal"/>
        <w:spacing w:before="0" w:after="60"/>
        <w:jc w:val="both"/>
        <w:rPr/>
      </w:pPr>
      <w:r>
        <w:rPr>
          <w:rStyle w:val="Style15"/>
          <w:rFonts w:eastAsia="Liberation Serif;Times New Roman" w:cs="Times New Roman"/>
          <w:b w:val="false"/>
          <w:bCs w:val="false"/>
          <w:i w:val="false"/>
          <w:iCs w:val="false"/>
          <w:color w:val="000000"/>
          <w:sz w:val="22"/>
          <w:szCs w:val="22"/>
          <w:lang w:val="ru-RU" w:bidi="ar-SA"/>
        </w:rPr>
        <w:t>1. Техническое предложение, подготовленное в соответствии с настоящими ТТ по форме, представленной в документации о закупке;</w:t>
      </w:r>
    </w:p>
    <w:p>
      <w:pPr>
        <w:pStyle w:val="Normal"/>
        <w:suppressAutoHyphens w:val="true"/>
        <w:spacing w:before="120" w:after="120"/>
        <w:ind w:right="593"/>
        <w:jc w:val="both"/>
        <w:rPr/>
      </w:pPr>
      <w:r>
        <w:rPr>
          <w:rStyle w:val="Style15"/>
          <w:b w:val="false"/>
          <w:bCs w:val="false"/>
          <w:i w:val="false"/>
          <w:iCs w:val="false"/>
          <w:sz w:val="22"/>
          <w:szCs w:val="22"/>
        </w:rPr>
        <w:t>2.</w:t>
      </w:r>
      <w:r>
        <w:rPr>
          <w:rStyle w:val="Style15"/>
          <w:b/>
          <w:bCs/>
          <w:i w:val="false"/>
          <w:iCs w:val="false"/>
          <w:sz w:val="22"/>
          <w:szCs w:val="22"/>
        </w:rPr>
        <w:t xml:space="preserve">  </w:t>
      </w:r>
      <w:r>
        <w:rPr>
          <w:rStyle w:val="Style15"/>
          <w:rFonts w:eastAsia="Liberation Serif;Times New Roman" w:cs="Liberation Serif;Times New Roman"/>
          <w:b w:val="false"/>
          <w:bCs w:val="false"/>
          <w:i w:val="false"/>
          <w:iCs w:val="false"/>
          <w:color w:val="000000"/>
          <w:sz w:val="22"/>
          <w:szCs w:val="22"/>
          <w:lang w:val="ru-RU"/>
        </w:rPr>
        <w:t>Документы и информацию, подтверждающие страну происхождения товара в соответствии с требованиями Постановления Правительства Российской   Федерации от 23 декабря 2024 г. N 1875 “О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лиц”.</w:t>
      </w:r>
    </w:p>
    <w:p>
      <w:pPr>
        <w:pStyle w:val="Normal"/>
        <w:ind w:hanging="0"/>
        <w:jc w:val="both"/>
        <w:rPr>
          <w:rFonts w:ascii="Times New Roman" w:hAnsi="Times New Roman"/>
          <w:i w:val="false"/>
          <w:i w:val="false"/>
          <w:iCs w:val="false"/>
          <w:sz w:val="22"/>
          <w:szCs w:val="22"/>
        </w:rPr>
      </w:pPr>
      <w:r>
        <w:rPr>
          <w:b/>
          <w:bCs/>
          <w:i w:val="false"/>
          <w:iCs w:val="false"/>
          <w:sz w:val="22"/>
          <w:szCs w:val="22"/>
          <w:lang w:eastAsia="x-none"/>
        </w:rPr>
        <w:t>3.</w:t>
      </w:r>
      <w:r>
        <w:rPr>
          <w:b/>
          <w:i w:val="false"/>
          <w:iCs w:val="false"/>
          <w:sz w:val="22"/>
          <w:szCs w:val="22"/>
        </w:rPr>
        <w:t xml:space="preserve"> Все цены в предложении должны включать все налоги, транспортные расходы и другие обязательные платежи, стоимость всех сопутствующих работ (услуг), а также все скидки, предлагаемые участником.</w:t>
      </w:r>
    </w:p>
    <w:p>
      <w:pPr>
        <w:pStyle w:val="Normal"/>
        <w:widowControl/>
        <w:suppressAutoHyphens w:val="true"/>
        <w:bidi w:val="0"/>
        <w:spacing w:before="0" w:after="60"/>
        <w:ind w:hanging="0" w:left="0" w:right="0"/>
        <w:jc w:val="both"/>
        <w:rPr>
          <w:rFonts w:ascii="Liberation Serif" w:hAnsi="Liberation Serif"/>
          <w:b/>
          <w:i w:val="false"/>
          <w:i w:val="false"/>
          <w:iCs w:val="false"/>
          <w:sz w:val="24"/>
          <w:szCs w:val="24"/>
          <w:shd w:fill="auto" w:val="clear"/>
        </w:rPr>
      </w:pPr>
      <w:r>
        <w:rPr>
          <w:rFonts w:ascii="Liberation Serif" w:hAnsi="Liberation Serif"/>
          <w:b/>
          <w:i w:val="false"/>
          <w:iCs w:val="false"/>
          <w:sz w:val="24"/>
          <w:szCs w:val="24"/>
          <w:shd w:fill="auto" w:val="clear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b/>
          <w:i/>
          <w:sz w:val="24"/>
          <w:szCs w:val="24"/>
        </w:rPr>
        <w:t>Приложение № 1. – Перечень и характеристики ФАО «ЭС ЕАО»;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widowControl/>
        <w:suppressAutoHyphens w:val="true"/>
        <w:bidi w:val="0"/>
        <w:spacing w:before="0" w:after="60"/>
        <w:ind w:hanging="0" w:left="0" w:right="0"/>
        <w:jc w:val="both"/>
        <w:rPr>
          <w:rFonts w:ascii="Liberation Serif" w:hAnsi="Liberation Serif"/>
          <w:b/>
          <w:i w:val="false"/>
          <w:i w:val="false"/>
          <w:iCs w:val="false"/>
          <w:sz w:val="24"/>
          <w:szCs w:val="24"/>
          <w:shd w:fill="auto" w:val="clear"/>
        </w:rPr>
      </w:pPr>
      <w:r>
        <w:rPr>
          <w:b/>
          <w:i w:val="false"/>
          <w:iCs w:val="false"/>
          <w:sz w:val="24"/>
          <w:szCs w:val="24"/>
          <w:shd w:fill="auto" w:val="clear"/>
        </w:rPr>
        <w:tab/>
      </w:r>
      <w:r>
        <w:rPr>
          <w:rFonts w:eastAsia="Times New Roman" w:cs="Times New Roman" w:ascii="Liberation Serif" w:hAnsi="Liberation Serif"/>
          <w:bCs/>
          <w:iCs/>
          <w:color w:val="auto"/>
          <w:kern w:val="0"/>
          <w:sz w:val="24"/>
          <w:szCs w:val="24"/>
          <w:lang w:val="ru-RU" w:eastAsia="x-none" w:bidi="ar-SA"/>
        </w:rPr>
        <w:t xml:space="preserve"> </w:t>
      </w:r>
    </w:p>
    <w:sectPr>
      <w:headerReference w:type="even" r:id="rId2"/>
      <w:headerReference w:type="default" r:id="rId3"/>
      <w:headerReference w:type="first" r:id="rId4"/>
      <w:type w:val="nextPage"/>
      <w:pgSz w:orient="landscape" w:w="16838" w:h="11906"/>
      <w:pgMar w:left="1276" w:right="1134" w:gutter="0" w:header="680" w:top="1134" w:footer="0" w:bottom="851"/>
      <w:pgNumType w:fmt="decimal"/>
      <w:formProt w:val="false"/>
      <w:titlePg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Liberation Serif">
    <w:altName w:val="Times New Roman"/>
    <w:charset w:val="01"/>
    <w:family w:val="roman"/>
    <w:pitch w:val="variable"/>
  </w:font>
  <w:font w:name="Lohit Devanagari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5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2"/>
        <w:sz w:val="22"/>
        <w:spacing w:val="0"/>
        <w:i w:val="false"/>
        <w:u w:val="none"/>
        <w:b/>
        <w:kern w:val="0"/>
        <w:effect w:val="none"/>
        <w:szCs w:val="22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31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99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uiPriority="99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a2166f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rsid w:val="00353a27"/>
    <w:p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035e96"/>
    <w:pPr>
      <w:keepNext w:val="true"/>
      <w:numPr>
        <w:ilvl w:val="2"/>
        <w:numId w:val="3"/>
      </w:numPr>
      <w:spacing w:before="120" w:after="6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6629c9"/>
    <w:pPr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>
    <w:name w:val="Символ сноски"/>
    <w:qFormat/>
    <w:rsid w:val="00d561d9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Hyperlink">
    <w:name w:val="Hyperlink"/>
    <w:uiPriority w:val="99"/>
    <w:rsid w:val="006c2f3f"/>
    <w:rPr>
      <w:color w:val="0000FF"/>
      <w:u w:val="single"/>
    </w:rPr>
  </w:style>
  <w:style w:type="character" w:styleId="Annotationreference">
    <w:name w:val="annotation reference"/>
    <w:uiPriority w:val="99"/>
    <w:semiHidden/>
    <w:qFormat/>
    <w:rsid w:val="00b714b0"/>
    <w:rPr>
      <w:sz w:val="16"/>
      <w:szCs w:val="16"/>
    </w:rPr>
  </w:style>
  <w:style w:type="character" w:styleId="Strong">
    <w:name w:val="Strong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035e96"/>
    <w:rPr>
      <w:rFonts w:eastAsia="Calibri"/>
      <w:b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5"/>
    <w:uiPriority w:val="10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1" w:customStyle="1">
    <w:name w:val="Подпункт Знак1"/>
    <w:link w:val="Style22"/>
    <w:qFormat/>
    <w:locked/>
    <w:rsid w:val="00d22f6d"/>
    <w:rPr>
      <w:sz w:val="28"/>
    </w:rPr>
  </w:style>
  <w:style w:type="character" w:styleId="Style5" w:customStyle="1">
    <w:name w:val="Текст сноски Знак"/>
    <w:uiPriority w:val="99"/>
    <w:qFormat/>
    <w:rsid w:val="00d22f6d"/>
    <w:rPr/>
  </w:style>
  <w:style w:type="character" w:styleId="Style6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b/>
      <w:i/>
      <w:shd w:fill="FFFF99" w:val="clear"/>
    </w:rPr>
  </w:style>
  <w:style w:type="character" w:styleId="Style9" w:customStyle="1">
    <w:name w:val="Подподпункт Знак"/>
    <w:link w:val="Style30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6"/>
    <w:qFormat/>
    <w:rsid w:val="00b56f46"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link w:val="Annotationtext"/>
    <w:semiHidden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>
    <w:name w:val="Символ концевой сноски"/>
    <w:qFormat/>
    <w:rsid w:val="003879d4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22" w:customStyle="1">
    <w:name w:val="Пункт2 Знак"/>
    <w:link w:val="24"/>
    <w:qFormat/>
    <w:rsid w:val="00de52bc"/>
    <w:rPr>
      <w:b/>
      <w:sz w:val="28"/>
    </w:rPr>
  </w:style>
  <w:style w:type="character" w:styleId="12" w:customStyle="1">
    <w:name w:val="УРОВЕНЬ_1. Знак"/>
    <w:link w:val="19"/>
    <w:qFormat/>
    <w:rsid w:val="004a17ae"/>
    <w:rPr>
      <w:rFonts w:eastAsia="Calibri"/>
      <w:caps/>
      <w:sz w:val="28"/>
      <w:szCs w:val="28"/>
      <w:lang w:eastAsia="en-US"/>
    </w:rPr>
  </w:style>
  <w:style w:type="character" w:styleId="13" w:customStyle="1">
    <w:name w:val="Неразрешенное упоминание1"/>
    <w:basedOn w:val="DefaultParagraphFont"/>
    <w:uiPriority w:val="99"/>
    <w:semiHidden/>
    <w:unhideWhenUsed/>
    <w:qFormat/>
    <w:rsid w:val="00c36f30"/>
    <w:rPr>
      <w:color w:val="605E5C"/>
      <w:shd w:fill="E1DFDD" w:val="clear"/>
    </w:rPr>
  </w:style>
  <w:style w:type="character" w:styleId="32" w:customStyle="1">
    <w:name w:val="Основной текст с отступом 3 Знак"/>
    <w:link w:val="BodyTextIndent3"/>
    <w:qFormat/>
    <w:rsid w:val="00c36f30"/>
    <w:rPr>
      <w:sz w:val="16"/>
      <w:szCs w:val="16"/>
    </w:rPr>
  </w:style>
  <w:style w:type="character" w:styleId="Markedcontent" w:customStyle="1">
    <w:name w:val="markedcontent"/>
    <w:basedOn w:val="DefaultParagraphFont"/>
    <w:qFormat/>
    <w:rsid w:val="00a33766"/>
    <w:rPr/>
  </w:style>
  <w:style w:type="character" w:styleId="Style14" w:customStyle="1">
    <w:name w:val="Основной текст с отступом Знак"/>
    <w:basedOn w:val="DefaultParagraphFont"/>
    <w:qFormat/>
    <w:rsid w:val="00730aab"/>
    <w:rPr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440c44"/>
    <w:rPr>
      <w:color w:val="954F72"/>
      <w:u w:val="single"/>
    </w:rPr>
  </w:style>
  <w:style w:type="character" w:styleId="Style15">
    <w:name w:val="Основной шрифт абзаца"/>
    <w:qFormat/>
    <w:rPr/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WenQuanYi Zen Hei Sharp" w:cs="Lohit Devanagari"/>
      <w:sz w:val="28"/>
      <w:szCs w:val="28"/>
    </w:rPr>
  </w:style>
  <w:style w:type="paragraph" w:styleId="BodyText">
    <w:name w:val="Body Text"/>
    <w:basedOn w:val="Normal"/>
    <w:link w:val="Style6"/>
    <w:rsid w:val="0076353a"/>
    <w:pPr>
      <w:spacing w:before="0" w:after="12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cs="Lohit Devanagari"/>
    </w:rPr>
  </w:style>
  <w:style w:type="paragraph" w:styleId="Style18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19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20" w:customStyle="1">
    <w:name w:val="Подраздел раздела положения"/>
    <w:basedOn w:val="Normal"/>
    <w:autoRedefine/>
    <w:qFormat/>
    <w:rsid w:val="007475ee"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rsid w:val="00d561d9"/>
    <w:pPr/>
    <w:rPr>
      <w:sz w:val="20"/>
      <w:szCs w:val="20"/>
    </w:rPr>
  </w:style>
  <w:style w:type="paragraph" w:styleId="14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3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5" w:customStyle="1">
    <w:name w:val="Название1"/>
    <w:basedOn w:val="Normal"/>
    <w:link w:val="Style1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21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rsid w:val="0076353a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link w:val="Style14"/>
    <w:rsid w:val="0076353a"/>
    <w:pPr>
      <w:ind w:hanging="0" w:left="360"/>
    </w:pPr>
    <w:rPr>
      <w:sz w:val="24"/>
      <w:szCs w:val="24"/>
    </w:rPr>
  </w:style>
  <w:style w:type="paragraph" w:styleId="Footer">
    <w:name w:val="Footer"/>
    <w:basedOn w:val="Normal"/>
    <w:rsid w:val="0076353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hanging="0" w:left="283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link w:val="32"/>
    <w:qFormat/>
    <w:rsid w:val="0076353a"/>
    <w:pPr>
      <w:spacing w:before="0" w:after="120"/>
      <w:ind w:hanging="0" w:left="283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hanging="0" w:left="-567" w:right="-766"/>
      <w:jc w:val="center"/>
    </w:pPr>
    <w:rPr>
      <w:b/>
      <w:bCs/>
      <w:sz w:val="24"/>
      <w:szCs w:val="20"/>
    </w:rPr>
  </w:style>
  <w:style w:type="paragraph" w:styleId="Style22" w:customStyle="1">
    <w:name w:val="Подпункт"/>
    <w:basedOn w:val="Normal"/>
    <w:link w:val="11"/>
    <w:qFormat/>
    <w:rsid w:val="0076353a"/>
    <w:pPr>
      <w:tabs>
        <w:tab w:val="clear" w:pos="708"/>
        <w:tab w:val="left" w:pos="1134" w:leader="none"/>
      </w:tabs>
      <w:snapToGrid w:val="false"/>
      <w:spacing w:lineRule="auto" w:line="360"/>
      <w:ind w:hanging="1134" w:left="1134"/>
      <w:jc w:val="both"/>
    </w:pPr>
    <w:rPr>
      <w:szCs w:val="20"/>
      <w:lang w:val="x-none" w:eastAsia="x-none"/>
    </w:rPr>
  </w:style>
  <w:style w:type="paragraph" w:styleId="24" w:customStyle="1">
    <w:name w:val="Пункт2"/>
    <w:basedOn w:val="Normal"/>
    <w:link w:val="22"/>
    <w:qFormat/>
    <w:rsid w:val="0076353a"/>
    <w:pPr>
      <w:keepNext w:val="true"/>
      <w:tabs>
        <w:tab w:val="clear" w:pos="708"/>
        <w:tab w:val="left" w:pos="1134" w:leader="none"/>
      </w:tabs>
      <w:suppressAutoHyphens w:val="true"/>
      <w:snapToGrid w:val="false"/>
      <w:spacing w:before="240" w:after="120"/>
      <w:ind w:hanging="1134" w:left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rsid w:val="00421b6b"/>
    <w:pPr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rsid w:val="00c01756"/>
    <w:pPr>
      <w:ind w:hanging="0" w:left="280"/>
    </w:pPr>
    <w:rPr>
      <w:rFonts w:cs="Calibri" w:cstheme="minorHAnsi"/>
      <w:sz w:val="20"/>
      <w:szCs w:val="20"/>
    </w:rPr>
  </w:style>
  <w:style w:type="paragraph" w:styleId="Style23" w:customStyle="1">
    <w:name w:val="Раздел регламента"/>
    <w:basedOn w:val="Normal"/>
    <w:qFormat/>
    <w:rsid w:val="00e228fa"/>
    <w:pPr/>
    <w:rPr/>
  </w:style>
  <w:style w:type="paragraph" w:styleId="Style24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c01756"/>
    <w:pPr>
      <w:spacing w:before="240" w:after="0"/>
    </w:pPr>
    <w:rPr>
      <w:rFonts w:cs="Calibri" w:cstheme="minorHAnsi"/>
      <w:b/>
      <w:bCs/>
      <w:sz w:val="20"/>
      <w:szCs w:val="20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semiHidden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rsid w:val="00b714b0"/>
    <w:pPr/>
    <w:rPr>
      <w:b/>
      <w:bCs/>
    </w:rPr>
  </w:style>
  <w:style w:type="paragraph" w:styleId="16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f57628"/>
    <w:pPr>
      <w:ind w:hanging="0" w:left="196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57628"/>
    <w:pPr>
      <w:ind w:hanging="0" w:left="84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c01756"/>
    <w:pPr>
      <w:ind w:hanging="0" w:left="560"/>
    </w:pPr>
    <w:rPr>
      <w:rFonts w:cs="Calibri" w:cstheme="minorHAnsi"/>
      <w:sz w:val="20"/>
      <w:szCs w:val="20"/>
    </w:rPr>
  </w:style>
  <w:style w:type="paragraph" w:styleId="25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25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Caption1">
    <w:name w:val="caption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Subtitle">
    <w:name w:val="Subtitle"/>
    <w:basedOn w:val="Normal"/>
    <w:next w:val="Normal"/>
    <w:link w:val="Style2"/>
    <w:uiPriority w:val="11"/>
    <w:qFormat/>
    <w:rsid w:val="00d22f6d"/>
    <w:pPr>
      <w:ind w:firstLine="709" w:left="1066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uiPriority w:val="34"/>
    <w:qFormat/>
    <w:rsid w:val="00d22f6d"/>
    <w:pPr>
      <w:spacing w:before="0" w:after="0"/>
      <w:ind w:hanging="0" w:left="72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uiPriority w:val="30"/>
    <w:qFormat/>
    <w:rsid w:val="00d22f6d"/>
    <w:pPr>
      <w:pBdr>
        <w:bottom w:val="single" w:sz="4" w:space="4" w:color="4F81BD"/>
      </w:pBdr>
      <w:spacing w:before="200" w:after="280"/>
      <w:ind w:hanging="0" w:left="936" w:right="936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6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26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4" w:customStyle="1">
    <w:name w:val="Нумерованный список ур3"/>
    <w:basedOn w:val="Normal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ListBullet4" w:customStyle="1">
    <w:name w:val="List Bullet 4"/>
    <w:basedOn w:val="Normal"/>
    <w:qFormat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5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7" w:customStyle="1">
    <w:name w:val="Пункт"/>
    <w:basedOn w:val="Normal"/>
    <w:qFormat/>
    <w:rsid w:val="00d22f6d"/>
    <w:pPr>
      <w:widowControl w:val="false"/>
      <w:tabs>
        <w:tab w:val="clear" w:pos="708"/>
        <w:tab w:val="left" w:pos="1134" w:leader="none"/>
      </w:tabs>
      <w:spacing w:lineRule="auto" w:line="360" w:before="120" w:after="0"/>
      <w:ind w:hanging="1134" w:left="1134" w:right="800"/>
      <w:jc w:val="both"/>
    </w:pPr>
    <w:rPr>
      <w:rFonts w:ascii="Arial" w:hAnsi="Arial"/>
      <w:b/>
      <w:i/>
      <w:szCs w:val="20"/>
    </w:rPr>
  </w:style>
  <w:style w:type="paragraph" w:styleId="17" w:customStyle="1">
    <w:name w:val="Абзац списка1"/>
    <w:basedOn w:val="Normal"/>
    <w:qFormat/>
    <w:rsid w:val="00d22f6d"/>
    <w:pPr>
      <w:spacing w:lineRule="auto" w:line="276" w:before="0" w:after="200"/>
      <w:ind w:hanging="0" w:left="720"/>
      <w:contextualSpacing/>
    </w:pPr>
    <w:rPr>
      <w:rFonts w:ascii="Calibri" w:hAnsi="Calibri"/>
      <w:sz w:val="22"/>
      <w:szCs w:val="22"/>
      <w:lang w:eastAsia="en-US"/>
    </w:rPr>
  </w:style>
  <w:style w:type="paragraph" w:styleId="Style28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29" w:customStyle="1">
    <w:name w:val="Таблица шапка"/>
    <w:basedOn w:val="Normal"/>
    <w:qFormat/>
    <w:rsid w:val="00f64089"/>
    <w:pPr>
      <w:keepNext w:val="true"/>
      <w:spacing w:before="40" w:after="40"/>
      <w:ind w:hanging="0" w:left="57" w:right="57"/>
    </w:pPr>
    <w:rPr>
      <w:sz w:val="22"/>
      <w:szCs w:val="26"/>
    </w:rPr>
  </w:style>
  <w:style w:type="paragraph" w:styleId="Style30" w:customStyle="1">
    <w:name w:val="Подподпункт"/>
    <w:basedOn w:val="Style22"/>
    <w:link w:val="Style9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hanging="567" w:left="5104"/>
    </w:pPr>
    <w:rPr>
      <w:sz w:val="26"/>
      <w:szCs w:val="26"/>
      <w:lang w:val="ru-RU" w:eastAsia="ru-RU"/>
    </w:rPr>
  </w:style>
  <w:style w:type="paragraph" w:styleId="Style31" w:customStyle="1">
    <w:name w:val="УРОВЕНЬ_(а)"/>
    <w:basedOn w:val="ListParagraph"/>
    <w:qFormat/>
    <w:rsid w:val="00b56f46"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rsid w:val="00b56f46"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6" w:customStyle="1">
    <w:name w:val="УРОВЕНЬ_Абзац_тип3"/>
    <w:basedOn w:val="ListParagraph"/>
    <w:link w:val="31"/>
    <w:qFormat/>
    <w:rsid w:val="00b56f46"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2" w:customStyle="1">
    <w:name w:val="УРОВЕНЬ_Подпись"/>
    <w:basedOn w:val="ListParagraph"/>
    <w:qFormat/>
    <w:rsid w:val="00b56f46"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8" w:customStyle="1">
    <w:name w:val="Стиль Заголовок 1 + по ширине"/>
    <w:basedOn w:val="Heading1"/>
    <w:qFormat/>
    <w:rsid w:val="005773b2"/>
    <w:pPr>
      <w:keepLines/>
      <w:numPr>
        <w:ilvl w:val="0"/>
        <w:numId w:val="0"/>
      </w:numPr>
      <w:tabs>
        <w:tab w:val="clear" w:pos="708"/>
        <w:tab w:val="left" w:pos="567" w:leader="none"/>
      </w:tabs>
      <w:suppressAutoHyphens w:val="true"/>
      <w:spacing w:before="480" w:after="240"/>
      <w:ind w:hanging="567" w:left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rsid w:val="003879d4"/>
    <w:pPr/>
    <w:rPr>
      <w:sz w:val="20"/>
      <w:szCs w:val="20"/>
    </w:rPr>
  </w:style>
  <w:style w:type="paragraph" w:styleId="28" w:customStyle="1">
    <w:name w:val="Заголовок 2 КВВ"/>
    <w:basedOn w:val="Normal"/>
    <w:qFormat/>
    <w:rsid w:val="00cb35e8"/>
    <w:pPr>
      <w:keepNext w:val="true"/>
      <w:numPr>
        <w:ilvl w:val="0"/>
        <w:numId w:val="5"/>
      </w:numPr>
      <w:suppressAutoHyphens w:val="true"/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3" w:customStyle="1">
    <w:name w:val="Таблица текст"/>
    <w:basedOn w:val="Normal"/>
    <w:qFormat/>
    <w:rsid w:val="00343e95"/>
    <w:pPr>
      <w:spacing w:before="40" w:after="40"/>
      <w:ind w:hanging="0" w:left="57" w:right="57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9" w:customStyle="1">
    <w:name w:val="УРОВЕНЬ_1."/>
    <w:basedOn w:val="ListParagraph"/>
    <w:link w:val="12"/>
    <w:qFormat/>
    <w:rsid w:val="004a17ae"/>
    <w:pPr>
      <w:keepNext w:val="true"/>
      <w:keepLines/>
      <w:spacing w:lineRule="auto" w:line="276" w:before="240" w:after="120"/>
      <w:ind w:hanging="0" w:left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d849aa"/>
    <w:pPr>
      <w:ind w:hanging="0" w:left="112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d849aa"/>
    <w:pPr>
      <w:ind w:hanging="0" w:left="140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d849aa"/>
    <w:pPr>
      <w:ind w:hanging="0" w:left="168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Msonormal" w:customStyle="1">
    <w:name w:val="msonormal"/>
    <w:basedOn w:val="Normal"/>
    <w:qFormat/>
    <w:rsid w:val="00440c44"/>
    <w:pPr>
      <w:spacing w:beforeAutospacing="1" w:afterAutospacing="1"/>
    </w:pPr>
    <w:rPr>
      <w:sz w:val="24"/>
      <w:szCs w:val="24"/>
    </w:rPr>
  </w:style>
  <w:style w:type="paragraph" w:styleId="Xl65" w:customStyle="1">
    <w:name w:val="xl65"/>
    <w:basedOn w:val="Normal"/>
    <w:qFormat/>
    <w:rsid w:val="00440c44"/>
    <w:pPr>
      <w:pBdr>
        <w:top w:val="single" w:sz="4" w:space="0" w:color="000000"/>
        <w:left w:val="single" w:sz="8" w:space="0" w:color="000000"/>
        <w:bottom w:val="single" w:sz="4" w:space="0" w:color="000000"/>
      </w:pBdr>
      <w:spacing w:beforeAutospacing="1" w:afterAutospacing="1"/>
      <w:jc w:val="center"/>
      <w:textAlignment w:val="center"/>
    </w:pPr>
    <w:rPr>
      <w:sz w:val="24"/>
      <w:szCs w:val="24"/>
    </w:rPr>
  </w:style>
  <w:style w:type="paragraph" w:styleId="Xl66" w:customStyle="1">
    <w:name w:val="xl66"/>
    <w:basedOn w:val="Normal"/>
    <w:qFormat/>
    <w:rsid w:val="00440c44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jc w:val="center"/>
      <w:textAlignment w:val="center"/>
    </w:pPr>
    <w:rPr>
      <w:sz w:val="24"/>
      <w:szCs w:val="24"/>
    </w:rPr>
  </w:style>
  <w:style w:type="paragraph" w:styleId="Xl67" w:customStyle="1">
    <w:name w:val="xl67"/>
    <w:basedOn w:val="Normal"/>
    <w:qFormat/>
    <w:rsid w:val="00440c44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textAlignment w:val="center"/>
    </w:pPr>
    <w:rPr>
      <w:sz w:val="24"/>
      <w:szCs w:val="24"/>
    </w:rPr>
  </w:style>
  <w:style w:type="paragraph" w:styleId="Xl68" w:customStyle="1">
    <w:name w:val="xl68"/>
    <w:basedOn w:val="Normal"/>
    <w:qFormat/>
    <w:rsid w:val="00440c44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4" w:space="0" w:color="000000"/>
      </w:pBdr>
      <w:shd w:val="clear" w:color="000000" w:fill="D9E1F2"/>
      <w:spacing w:beforeAutospacing="1" w:afterAutospacing="1"/>
      <w:textAlignment w:val="center"/>
    </w:pPr>
    <w:rPr>
      <w:b/>
      <w:bCs/>
      <w:sz w:val="24"/>
      <w:szCs w:val="24"/>
    </w:rPr>
  </w:style>
  <w:style w:type="paragraph" w:styleId="Xl69" w:customStyle="1">
    <w:name w:val="xl69"/>
    <w:basedOn w:val="Normal"/>
    <w:qFormat/>
    <w:rsid w:val="00440c44"/>
    <w:pPr>
      <w:pBdr>
        <w:top w:val="single" w:sz="8" w:space="0" w:color="000000"/>
        <w:left w:val="single" w:sz="4" w:space="0" w:color="000000"/>
        <w:bottom w:val="single" w:sz="8" w:space="0" w:color="000000"/>
      </w:pBdr>
      <w:shd w:val="clear" w:color="000000" w:fill="D9E1F2"/>
      <w:spacing w:beforeAutospacing="1" w:afterAutospacing="1"/>
      <w:textAlignment w:val="center"/>
    </w:pPr>
    <w:rPr>
      <w:b/>
      <w:bCs/>
      <w:sz w:val="24"/>
      <w:szCs w:val="24"/>
    </w:rPr>
  </w:style>
  <w:style w:type="paragraph" w:styleId="Xl70" w:customStyle="1">
    <w:name w:val="xl70"/>
    <w:basedOn w:val="Normal"/>
    <w:qFormat/>
    <w:rsid w:val="00440c44"/>
    <w:pPr>
      <w:pBdr>
        <w:top w:val="single" w:sz="8" w:space="0" w:color="000000"/>
        <w:left w:val="single" w:sz="4" w:space="0" w:color="000000"/>
        <w:bottom w:val="single" w:sz="8" w:space="0" w:color="000000"/>
      </w:pBdr>
      <w:shd w:val="clear" w:color="000000" w:fill="D9E1F2"/>
      <w:spacing w:beforeAutospacing="1" w:afterAutospacing="1"/>
      <w:jc w:val="center"/>
      <w:textAlignment w:val="center"/>
    </w:pPr>
    <w:rPr>
      <w:b/>
      <w:bCs/>
      <w:sz w:val="24"/>
      <w:szCs w:val="24"/>
    </w:rPr>
  </w:style>
  <w:style w:type="paragraph" w:styleId="Xl71" w:customStyle="1">
    <w:name w:val="xl71"/>
    <w:basedOn w:val="Normal"/>
    <w:qFormat/>
    <w:rsid w:val="00440c44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hd w:val="clear" w:color="000000" w:fill="D9E1F2"/>
      <w:spacing w:beforeAutospacing="1" w:afterAutospacing="1"/>
      <w:jc w:val="center"/>
      <w:textAlignment w:val="center"/>
    </w:pPr>
    <w:rPr>
      <w:b/>
      <w:bCs/>
      <w:sz w:val="24"/>
      <w:szCs w:val="24"/>
    </w:rPr>
  </w:style>
  <w:style w:type="paragraph" w:styleId="Xl72" w:customStyle="1">
    <w:name w:val="xl72"/>
    <w:basedOn w:val="Normal"/>
    <w:qFormat/>
    <w:rsid w:val="00440c4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sz w:val="24"/>
      <w:szCs w:val="24"/>
    </w:rPr>
  </w:style>
  <w:style w:type="paragraph" w:styleId="Xl73" w:customStyle="1">
    <w:name w:val="xl73"/>
    <w:basedOn w:val="Normal"/>
    <w:qFormat/>
    <w:rsid w:val="00440c44"/>
    <w:pPr>
      <w:pBdr>
        <w:top w:val="single" w:sz="4" w:space="0" w:color="000000"/>
        <w:left w:val="single" w:sz="8" w:space="0" w:color="000000"/>
      </w:pBdr>
      <w:spacing w:beforeAutospacing="1" w:afterAutospacing="1"/>
      <w:jc w:val="center"/>
      <w:textAlignment w:val="center"/>
    </w:pPr>
    <w:rPr>
      <w:sz w:val="24"/>
      <w:szCs w:val="24"/>
    </w:rPr>
  </w:style>
  <w:style w:type="paragraph" w:styleId="Xl74" w:customStyle="1">
    <w:name w:val="xl74"/>
    <w:basedOn w:val="Normal"/>
    <w:qFormat/>
    <w:rsid w:val="00440c44"/>
    <w:pPr>
      <w:pBdr>
        <w:top w:val="single" w:sz="4" w:space="0" w:color="000000"/>
        <w:left w:val="single" w:sz="4" w:space="0" w:color="000000"/>
      </w:pBdr>
      <w:spacing w:beforeAutospacing="1" w:afterAutospacing="1"/>
      <w:textAlignment w:val="center"/>
    </w:pPr>
    <w:rPr>
      <w:sz w:val="24"/>
      <w:szCs w:val="24"/>
    </w:rPr>
  </w:style>
  <w:style w:type="paragraph" w:styleId="Xl75" w:customStyle="1">
    <w:name w:val="xl75"/>
    <w:basedOn w:val="Normal"/>
    <w:qFormat/>
    <w:rsid w:val="00440c44"/>
    <w:pPr>
      <w:pBdr>
        <w:top w:val="single" w:sz="4" w:space="0" w:color="000000"/>
        <w:left w:val="single" w:sz="4" w:space="0" w:color="000000"/>
      </w:pBdr>
      <w:spacing w:beforeAutospacing="1" w:afterAutospacing="1"/>
      <w:jc w:val="center"/>
      <w:textAlignment w:val="center"/>
    </w:pPr>
    <w:rPr>
      <w:sz w:val="24"/>
      <w:szCs w:val="24"/>
    </w:rPr>
  </w:style>
  <w:style w:type="paragraph" w:styleId="Xl76" w:customStyle="1">
    <w:name w:val="xl76"/>
    <w:basedOn w:val="Normal"/>
    <w:qFormat/>
    <w:rsid w:val="00440c44"/>
    <w:pPr>
      <w:pBdr>
        <w:top w:val="single" w:sz="4" w:space="0" w:color="000000"/>
        <w:left w:val="single" w:sz="4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sz w:val="24"/>
      <w:szCs w:val="24"/>
    </w:rPr>
  </w:style>
  <w:style w:type="paragraph" w:styleId="Xl77" w:customStyle="1">
    <w:name w:val="xl77"/>
    <w:basedOn w:val="Normal"/>
    <w:qFormat/>
    <w:rsid w:val="00440c44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</w:pPr>
    <w:rPr>
      <w:b/>
      <w:bCs/>
      <w:sz w:val="24"/>
      <w:szCs w:val="24"/>
    </w:rPr>
  </w:style>
  <w:style w:type="paragraph" w:styleId="Xl78" w:customStyle="1">
    <w:name w:val="xl78"/>
    <w:basedOn w:val="Normal"/>
    <w:qFormat/>
    <w:rsid w:val="00440c44"/>
    <w:pPr>
      <w:pBdr>
        <w:left w:val="single" w:sz="8" w:space="0" w:color="000000"/>
        <w:bottom w:val="single" w:sz="4" w:space="0" w:color="000000"/>
      </w:pBdr>
      <w:spacing w:beforeAutospacing="1" w:afterAutospacing="1"/>
      <w:jc w:val="center"/>
      <w:textAlignment w:val="center"/>
    </w:pPr>
    <w:rPr>
      <w:b/>
      <w:bCs/>
      <w:sz w:val="24"/>
      <w:szCs w:val="24"/>
    </w:rPr>
  </w:style>
  <w:style w:type="paragraph" w:styleId="Xl79" w:customStyle="1">
    <w:name w:val="xl79"/>
    <w:basedOn w:val="Normal"/>
    <w:qFormat/>
    <w:rsid w:val="00440c44"/>
    <w:pPr>
      <w:pBdr>
        <w:bottom w:val="single" w:sz="4" w:space="0" w:color="000000"/>
      </w:pBdr>
      <w:spacing w:beforeAutospacing="1" w:afterAutospacing="1"/>
      <w:jc w:val="center"/>
      <w:textAlignment w:val="center"/>
    </w:pPr>
    <w:rPr>
      <w:b/>
      <w:bCs/>
      <w:sz w:val="24"/>
      <w:szCs w:val="24"/>
    </w:rPr>
  </w:style>
  <w:style w:type="paragraph" w:styleId="Xl80" w:customStyle="1">
    <w:name w:val="xl80"/>
    <w:basedOn w:val="Normal"/>
    <w:qFormat/>
    <w:rsid w:val="00440c44"/>
    <w:pPr>
      <w:pBdr>
        <w:bottom w:val="single" w:sz="4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b/>
      <w:bCs/>
      <w:sz w:val="24"/>
      <w:szCs w:val="24"/>
    </w:rPr>
  </w:style>
  <w:style w:type="paragraph" w:styleId="Xl81" w:customStyle="1">
    <w:name w:val="xl81"/>
    <w:basedOn w:val="Normal"/>
    <w:qFormat/>
    <w:rsid w:val="00440c44"/>
    <w:pPr>
      <w:pBdr>
        <w:top w:val="single" w:sz="8" w:space="0" w:color="000000"/>
        <w:left w:val="single" w:sz="8" w:space="0" w:color="000000"/>
        <w:bottom w:val="single" w:sz="8" w:space="0" w:color="000000"/>
      </w:pBdr>
      <w:spacing w:beforeAutospacing="1" w:afterAutospacing="1"/>
      <w:jc w:val="right"/>
      <w:textAlignment w:val="center"/>
    </w:pPr>
    <w:rPr>
      <w:b/>
      <w:bCs/>
      <w:sz w:val="24"/>
      <w:szCs w:val="24"/>
    </w:rPr>
  </w:style>
  <w:style w:type="paragraph" w:styleId="Xl82" w:customStyle="1">
    <w:name w:val="xl82"/>
    <w:basedOn w:val="Normal"/>
    <w:qFormat/>
    <w:rsid w:val="00440c44"/>
    <w:pPr>
      <w:pBdr>
        <w:top w:val="single" w:sz="8" w:space="0" w:color="000000"/>
        <w:bottom w:val="single" w:sz="8" w:space="0" w:color="000000"/>
      </w:pBdr>
      <w:spacing w:beforeAutospacing="1" w:afterAutospacing="1"/>
      <w:jc w:val="right"/>
      <w:textAlignment w:val="center"/>
    </w:pPr>
    <w:rPr>
      <w:b/>
      <w:bCs/>
      <w:sz w:val="24"/>
      <w:szCs w:val="24"/>
    </w:rPr>
  </w:style>
  <w:style w:type="paragraph" w:styleId="Style34">
    <w:name w:val="Содержимое врезки"/>
    <w:basedOn w:val="Normal"/>
    <w:qFormat/>
    <w:pPr/>
    <w:rPr/>
  </w:style>
  <w:style w:type="paragraph" w:styleId="Style35">
    <w:name w:val="Содержимое таблицы"/>
    <w:basedOn w:val="Normal"/>
    <w:qFormat/>
    <w:pPr>
      <w:widowControl w:val="false"/>
      <w:suppressLineNumbers/>
    </w:pPr>
    <w:rPr/>
  </w:style>
  <w:style w:type="paragraph" w:styleId="Style36">
    <w:name w:val="Заголовок таблицы"/>
    <w:basedOn w:val="Style35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numbering" w:styleId="110" w:customStyle="1">
    <w:name w:val="Стиль1"/>
    <w:uiPriority w:val="99"/>
    <w:qFormat/>
    <w:rsid w:val="00f001e4"/>
  </w:style>
  <w:style w:type="numbering" w:styleId="29" w:customStyle="1">
    <w:name w:val="Стиль2"/>
    <w:uiPriority w:val="99"/>
    <w:qFormat/>
    <w:rsid w:val="006629c9"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0">
    <w:name w:val="Table Grid"/>
    <w:basedOn w:val="a5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c">
    <w:name w:val="Сетка таблицы1"/>
    <w:basedOn w:val="a5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D4437B-9215-4A5F-9104-E0964FB311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2489</TotalTime>
  <Application>AlterOffice/2026.2.0.0$Linux_X86_64 LibreOffice_project/bc4ef1adf80b36c7a6365f8ed6cbf29021361edd</Application>
  <AppVersion>15.0000</AppVersion>
  <Pages>5</Pages>
  <Words>720</Words>
  <Characters>4880</Characters>
  <CharactersWithSpaces>5465</CharactersWithSpaces>
  <Paragraphs>149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2023-06-04T22:23:00Z</dcterms:created>
  <dc:creator>Быстров Олег Геннадьевич</dc:creator>
  <dc:description/>
  <dc:language>ru-RU</dc:language>
  <cp:lastModifiedBy>balabanova_eb</cp:lastModifiedBy>
  <cp:lastPrinted>2025-11-18T08:22:26Z</cp:lastPrinted>
  <dcterms:modified xsi:type="dcterms:W3CDTF">2026-10-02T09:38:37Z</dcterms:modified>
  <cp:revision>756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