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media/image1.wmf" ContentType="image/x-wmf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ind w:left="5245"/>
        <w:rPr>
          <w:sz w:val="24"/>
          <w:szCs w:val="24"/>
        </w:rPr>
      </w:pPr>
      <w:r>
        <w:rPr>
          <w:sz w:val="24"/>
          <w:szCs w:val="24"/>
        </w:rPr>
        <w:t>УТВЕРЖДАЮ:</w:t>
      </w:r>
    </w:p>
    <w:p>
      <w:pPr>
        <w:pStyle w:val="Normal"/>
        <w:spacing w:lineRule="atLeast" w:line="0"/>
        <w:ind w:left="5245"/>
        <w:rPr>
          <w:sz w:val="24"/>
          <w:szCs w:val="24"/>
        </w:rPr>
      </w:pPr>
      <w:r>
        <w:rPr>
          <w:sz w:val="24"/>
          <w:szCs w:val="24"/>
        </w:rPr>
        <w:t>Первый заместитель директора-главный инженер Филиала ПАО «РусГидро»-«Северо-Осетинский филиал»</w:t>
      </w:r>
    </w:p>
    <w:p>
      <w:pPr>
        <w:pStyle w:val="Normal"/>
        <w:spacing w:lineRule="atLeast" w:line="0"/>
        <w:ind w:left="524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ind w:left="5245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 В.В. Дзоблаев</w:t>
      </w:r>
    </w:p>
    <w:p>
      <w:pPr>
        <w:pStyle w:val="Normal"/>
        <w:spacing w:lineRule="atLeast" w:line="0"/>
        <w:ind w:left="5245"/>
        <w:rPr>
          <w:sz w:val="24"/>
          <w:szCs w:val="24"/>
        </w:rPr>
      </w:pPr>
      <w:r>
        <w:rPr>
          <w:sz w:val="24"/>
          <w:szCs w:val="24"/>
        </w:rPr>
        <w:t>« ____ »_____________ 2026г.</w:t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rFonts w:eastAsia="Calibri"/>
          <w:b/>
          <w:color w:val="000000" w:themeColor="text1"/>
          <w:sz w:val="26"/>
          <w:szCs w:val="26"/>
        </w:rPr>
        <w:t xml:space="preserve">Технические требования </w:t>
      </w:r>
      <w:r>
        <w:rPr>
          <w:b/>
          <w:color w:val="000000" w:themeColor="text1"/>
          <w:sz w:val="26"/>
          <w:szCs w:val="26"/>
          <w:shd w:fill="FFFFFF" w:val="clear"/>
        </w:rPr>
        <w:t xml:space="preserve">на поставку МТР. </w:t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  <w:t>по Лоту №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color w:val="000000" w:themeColor="text1"/>
          <w:kern w:val="0"/>
          <w:sz w:val="26"/>
          <w:szCs w:val="26"/>
          <w:lang w:val="ru-RU" w:eastAsia="ru-RU" w:bidi="ar-SA"/>
        </w:rPr>
      </w:pPr>
      <w:r>
        <w:rPr>
          <w:rFonts w:cs="Times New Roman"/>
          <w:color w:val="000000" w:themeColor="text1"/>
          <w:kern w:val="0"/>
          <w:lang w:val="ru-RU" w:eastAsia="ru-RU" w:bidi="ar-SA"/>
        </w:rPr>
        <w:t xml:space="preserve">ОКПД2 </w:t>
      </w:r>
      <w:hyperlink r:id="rId2">
        <w:r>
          <w:rPr>
            <w:rStyle w:val="Hyperlink"/>
            <w:rFonts w:cs="Times New Roman"/>
            <w:bCs/>
            <w:color w:val="000000" w:themeColor="text1"/>
            <w:kern w:val="0"/>
            <w:u w:val="none"/>
            <w:shd w:fill="F8F9FA" w:val="clear"/>
            <w:lang w:val="ru-RU" w:eastAsia="ru-RU" w:bidi="ar-SA"/>
          </w:rPr>
          <w:t>27.11.41</w:t>
        </w:r>
      </w:hyperlink>
      <w:r>
        <w:rPr>
          <w:rFonts w:cs="Times New Roman"/>
          <w:color w:val="000000" w:themeColor="text1"/>
          <w:kern w:val="0"/>
          <w:lang w:val="ru-RU" w:eastAsia="ru-RU" w:bidi="ar-SA"/>
        </w:rPr>
        <w:t xml:space="preserve"> Поставка силового трансформатора типа ТДЦ-230000/330-У1 для нужд Филиала ПАО «РусГидро»- «Северо-Осетинский филиал».Аварийный запас.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1515_3742622322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17_3742622322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19_3742622322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21_3742622322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23_3742622322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25_3742622322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1527_3742622322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29_3742622322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1531_3742622322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33_3742622322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35_3742622322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37_3742622322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78_3512887204">
            <w:r>
              <w:rPr>
                <w:webHidden/>
                <w:rStyle w:val="Style14"/>
                <w:vanish w:val="false"/>
              </w:rPr>
              <w:t xml:space="preserve">3. </w:t>
            </w:r>
            <w:r>
              <w:rPr>
                <w:rStyle w:val="Style14"/>
                <w:i w:val="false"/>
                <w:iCs w:val="false"/>
              </w:rPr>
              <w:t>Требования к документации по ценообразованию</w:t>
            </w:r>
            <w:r>
              <w:rPr>
                <w:rStyle w:val="Style14"/>
              </w:rPr>
              <w:t xml:space="preserve"> на этапе закупки</w:t>
              <w:tab/>
              <w:t>41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39_3742622322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 w:val="false"/>
                <w:iCs/>
              </w:rPr>
              <w:t>Приложения</w:t>
            </w:r>
            <w:r>
              <w:rPr>
                <w:rStyle w:val="Style14"/>
              </w:rPr>
              <w:tab/>
              <w:t>42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RefHeading___Toc11515_3742622322"/>
      <w:bookmarkStart w:id="1" w:name="_Toc75446566"/>
      <w:bookmarkStart w:id="2" w:name="_Toc51339692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11517_3742622322"/>
      <w:bookmarkStart w:id="4" w:name="_Toc75446567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Запасные части и приспособления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6"/>
                <w:szCs w:val="26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государственный стандарт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11519_3742622322"/>
      <w:bookmarkStart w:id="7" w:name="_Toc46743506"/>
      <w:bookmarkStart w:id="8" w:name="_Toc75446568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spacing w:lineRule="atLeast" w:line="0"/>
        <w:rPr/>
      </w:pPr>
      <w:r>
        <w:rPr>
          <w:rStyle w:val="Style8"/>
          <w:b w:val="false"/>
          <w:bCs/>
          <w:iCs/>
          <w:sz w:val="22"/>
          <w:szCs w:val="22"/>
          <w:shd w:fill="auto" w:val="clear"/>
          <w:lang w:val="en-US"/>
        </w:rPr>
        <w:t>Силовой трансформатор типа ТДЦ-230000/330-У1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highlight w:val="none"/>
          <w:shd w:fill="auto" w:val="clear"/>
        </w:rPr>
      </w:pPr>
      <w:bookmarkStart w:id="9" w:name="__RefHeading___Toc11521_3742622322"/>
      <w:bookmarkStart w:id="10" w:name="_Toc75446569"/>
      <w:bookmarkStart w:id="11" w:name="_Toc46743507"/>
      <w:bookmarkEnd w:id="9"/>
      <w:r>
        <w:rPr>
          <w:shd w:fill="auto" w:val="clear"/>
        </w:rPr>
        <w:t xml:space="preserve">Цель </w:t>
      </w:r>
      <w:bookmarkEnd w:id="11"/>
      <w:r>
        <w:rPr>
          <w:shd w:fill="auto" w:val="clear"/>
          <w:lang w:val="ru-RU"/>
        </w:rPr>
        <w:t xml:space="preserve">использования закупаемой продукции </w:t>
      </w:r>
      <w:bookmarkEnd w:id="10"/>
    </w:p>
    <w:p>
      <w:pPr>
        <w:pStyle w:val="Normal"/>
        <w:jc w:val="both"/>
        <w:rPr/>
      </w:pPr>
      <w:r>
        <w:rPr>
          <w:rStyle w:val="Style8"/>
          <w:b w:val="false"/>
          <w:bCs/>
          <w:i/>
          <w:iCs/>
          <w:sz w:val="24"/>
          <w:szCs w:val="24"/>
          <w:shd w:fill="auto" w:val="clear"/>
        </w:rPr>
        <w:t>Настоящие технические требования составлены для пополнения аварийного запаса Филиала.</w:t>
      </w:r>
      <w:bookmarkStart w:id="12" w:name="_Toc46743510"/>
      <w:bookmarkStart w:id="13" w:name="_Toc50125126"/>
      <w:bookmarkStart w:id="14" w:name="_Hlk48209761"/>
      <w:bookmarkEnd w:id="14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highlight w:val="none"/>
          <w:shd w:fill="auto" w:val="clear"/>
        </w:rPr>
      </w:pPr>
      <w:bookmarkStart w:id="15" w:name="__RefHeading___Toc11523_3742622322"/>
      <w:bookmarkStart w:id="16" w:name="_Toc75446573"/>
      <w:bookmarkStart w:id="17" w:name="_Toc51339693"/>
      <w:bookmarkEnd w:id="15"/>
      <w:r>
        <w:rPr>
          <w:iCs/>
          <w:shd w:fill="auto" w:val="clear"/>
        </w:rPr>
        <w:t>Требования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>
          <w:highlight w:val="none"/>
          <w:shd w:fill="auto" w:val="clear"/>
        </w:rPr>
      </w:pPr>
      <w:bookmarkStart w:id="18" w:name="__RefHeading___Toc11525_3742622322"/>
      <w:bookmarkStart w:id="19" w:name="_Toc75446574"/>
      <w:bookmarkEnd w:id="18"/>
      <w:r>
        <w:rPr>
          <w:shd w:fill="auto" w:val="clear"/>
        </w:rPr>
        <w:t xml:space="preserve">Требования к объемам и срокам </w:t>
      </w:r>
      <w:r>
        <w:rPr>
          <w:shd w:fill="auto" w:val="clear"/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rPr>
          <w:highlight w:val="none"/>
          <w:shd w:fill="auto" w:val="clear"/>
        </w:rPr>
      </w:pPr>
      <w:bookmarkStart w:id="20" w:name="__RefHeading___Toc11527_3742622322"/>
      <w:bookmarkStart w:id="21" w:name="_Toc75446575"/>
      <w:bookmarkEnd w:id="20"/>
      <w:r>
        <w:rPr>
          <w:shd w:fill="auto" w:val="clear"/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highlight w:val="none"/>
          <w:shd w:fill="auto" w:val="clear"/>
        </w:rPr>
      </w:pPr>
      <w:bookmarkStart w:id="22" w:name="__RefHeading___Toc11529_3742622322"/>
      <w:bookmarkStart w:id="23" w:name="_Toc75446576"/>
      <w:bookmarkStart w:id="24" w:name="_Toc51339695"/>
      <w:bookmarkEnd w:id="22"/>
      <w:r>
        <w:rPr>
          <w:sz w:val="24"/>
          <w:szCs w:val="24"/>
          <w:shd w:fill="auto" w:val="clear"/>
        </w:rPr>
        <w:t xml:space="preserve">Таблица </w:t>
      </w:r>
      <w:r>
        <w:rPr>
          <w:sz w:val="24"/>
          <w:szCs w:val="24"/>
          <w:shd w:fill="auto" w:val="clear"/>
          <w:lang w:val="ru-RU"/>
        </w:rPr>
        <w:t>1.1</w:t>
      </w:r>
      <w:r>
        <w:rPr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  <w:lang w:val="ru-RU"/>
        </w:rPr>
        <w:t xml:space="preserve">Перечень </w:t>
      </w:r>
      <w:bookmarkEnd w:id="24"/>
      <w:r>
        <w:rPr>
          <w:sz w:val="24"/>
          <w:szCs w:val="24"/>
          <w:shd w:fill="auto" w:val="clear"/>
          <w:lang w:val="ru-RU"/>
        </w:rPr>
        <w:t>и объем закупаемой продукции</w:t>
      </w:r>
      <w:bookmarkEnd w:id="23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140"/>
        <w:gridCol w:w="1427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Наименование продукции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/>
                <w:iCs/>
                <w:sz w:val="22"/>
                <w:szCs w:val="22"/>
                <w:shd w:fill="auto" w:val="clear"/>
                <w:lang w:val="en-US"/>
              </w:rPr>
              <w:t>Силовой трансформатор</w:t>
            </w:r>
            <w:r>
              <w:rPr>
                <w:rStyle w:val="Style8"/>
                <w:rFonts w:eastAsia="Calibri"/>
                <w:b w:val="false"/>
                <w:bCs/>
                <w:i/>
                <w:iCs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rFonts w:eastAsia="Calibri"/>
                <w:b w:val="false"/>
                <w:bCs/>
                <w:i/>
                <w:iCs/>
                <w:sz w:val="22"/>
                <w:szCs w:val="22"/>
                <w:shd w:fill="auto" w:val="clear"/>
                <w:lang w:val="en-US"/>
              </w:rPr>
              <w:t>ТДЦ-230000/330-У1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</w:rPr>
              <w:t>1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/>
            </w:pPr>
            <w:r>
              <w:rPr>
                <w:rStyle w:val="Style8"/>
                <w:b w:val="false"/>
                <w:bCs/>
                <w:iCs/>
                <w:sz w:val="24"/>
                <w:szCs w:val="24"/>
                <w:shd w:fill="auto" w:val="clear"/>
                <w:lang w:val="en-US"/>
              </w:rPr>
              <w:t>ЗИП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iCs/>
                <w:sz w:val="24"/>
                <w:szCs w:val="24"/>
                <w:shd w:fill="auto" w:val="clear"/>
              </w:rPr>
              <w:t>компл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_RefHeading___Toc11531_3742622322"/>
      <w:bookmarkStart w:id="26" w:name="_Toc75446578"/>
      <w:bookmarkStart w:id="27" w:name="_Toc51339696"/>
      <w:bookmarkStart w:id="28" w:name="_Toc75446577"/>
      <w:bookmarkEnd w:id="25"/>
      <w:bookmarkEnd w:id="28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поставки продукции и оказания сопутствующих услуг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9" w:name="__RefHeading___Toc11533_3742622322"/>
      <w:bookmarkStart w:id="30" w:name="_Toc75446579"/>
      <w:bookmarkStart w:id="31" w:name="_Toc51339697"/>
      <w:bookmarkStart w:id="32" w:name="_Toc50125127"/>
      <w:bookmarkEnd w:id="13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3" w:name="_Hlk50465284"/>
      <w:r>
        <w:rPr>
          <w:sz w:val="24"/>
          <w:szCs w:val="24"/>
        </w:rPr>
        <w:t xml:space="preserve">Требования по срокам </w:t>
      </w:r>
      <w:bookmarkEnd w:id="31"/>
      <w:bookmarkEnd w:id="32"/>
      <w:bookmarkEnd w:id="33"/>
      <w:r>
        <w:rPr>
          <w:sz w:val="24"/>
          <w:szCs w:val="24"/>
          <w:lang w:val="ru-RU"/>
        </w:rPr>
        <w:t>поставки продукции</w:t>
      </w:r>
      <w:bookmarkEnd w:id="30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en-US"/>
              </w:rPr>
              <w:t>Силовой трансформатор ТДЦ-230000/330-У1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both"/>
              <w:rPr>
                <w:rFonts w:eastAsia="Calibr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en-US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both"/>
              <w:rPr>
                <w:rFonts w:eastAsia="Calibr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en-US"/>
              </w:rPr>
              <w:t>Не позднее 20.10.2027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Комплект ЗИП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  <w:t>Поставляется совместно с трансформатором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  <w:t>Поставляется совместно с трансформатором</w:t>
            </w:r>
            <w:bookmarkEnd w:id="12"/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4" w:name="__RefHeading___Toc11535_3742622322"/>
      <w:bookmarkStart w:id="35" w:name="_Toc51339698"/>
      <w:bookmarkStart w:id="36" w:name="_Toc75446581"/>
      <w:bookmarkStart w:id="37" w:name="_Toc46743511"/>
      <w:bookmarkEnd w:id="34"/>
      <w:r>
        <w:rPr/>
        <w:t xml:space="preserve">Требования к </w:t>
      </w:r>
      <w:bookmarkEnd w:id="37"/>
      <w:r>
        <w:rPr>
          <w:lang w:val="ru-RU"/>
        </w:rPr>
        <w:t>качеству продукции</w:t>
      </w:r>
      <w:bookmarkEnd w:id="3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38" w:name="__RefHeading___Toc11537_3742622322"/>
      <w:bookmarkEnd w:id="38"/>
      <w:r>
        <w:rPr>
          <w:sz w:val="24"/>
          <w:szCs w:val="24"/>
        </w:rPr>
        <w:t xml:space="preserve"> </w:t>
      </w:r>
      <w:bookmarkStart w:id="39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39"/>
      <w:r>
        <w:rPr>
          <w:sz w:val="24"/>
          <w:szCs w:val="24"/>
        </w:rPr>
        <w:t xml:space="preserve"> </w:t>
      </w:r>
      <w:bookmarkEnd w:id="35"/>
    </w:p>
    <w:p>
      <w:pPr>
        <w:pStyle w:val="Normal"/>
        <w:jc w:val="both"/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jc w:val="both"/>
        <w:rPr/>
      </w:pPr>
      <w:r>
        <w:rPr>
          <w:rStyle w:val="Style8"/>
          <w:b/>
          <w:bCs/>
          <w:i/>
          <w:iCs/>
          <w:color w:val="000000"/>
          <w:sz w:val="24"/>
          <w:szCs w:val="24"/>
          <w:shd w:fill="auto" w:val="clear"/>
        </w:rPr>
        <w:t>Наименование продукции (позиция №_1 и 2 Таблицы 1.1):</w:t>
      </w:r>
      <w:r>
        <w:rPr>
          <w:rStyle w:val="Style8"/>
          <w:rFonts w:cs="Calibri"/>
          <w:b w:val="false"/>
          <w:i/>
          <w:iCs/>
          <w:color w:val="000000"/>
          <w:sz w:val="24"/>
          <w:szCs w:val="24"/>
          <w:shd w:fill="auto" w:val="clear"/>
        </w:rPr>
        <w:t xml:space="preserve"> </w:t>
      </w:r>
      <w:r>
        <w:rPr>
          <w:rStyle w:val="Style8"/>
          <w:rFonts w:eastAsia="Calibri" w:cs="Calibri"/>
          <w:b w:val="false"/>
          <w:i/>
          <w:iCs/>
          <w:color w:val="000000"/>
          <w:sz w:val="22"/>
          <w:szCs w:val="22"/>
          <w:shd w:fill="auto" w:val="clear"/>
          <w:lang w:val="en-US"/>
        </w:rPr>
        <w:t>ТДЦ-230000/330-У1 и ЗИП</w:t>
      </w:r>
      <w:r>
        <w:rPr>
          <w:rStyle w:val="Style8"/>
          <w:rFonts w:eastAsia="Calibri"/>
          <w:b w:val="false"/>
          <w:i/>
          <w:iCs/>
          <w:color w:val="000000"/>
          <w:sz w:val="24"/>
          <w:szCs w:val="24"/>
          <w:shd w:fill="auto" w:val="clear"/>
        </w:rPr>
        <w:t xml:space="preserve"> </w:t>
      </w:r>
    </w:p>
    <w:tbl>
      <w:tblPr>
        <w:tblStyle w:val="af"/>
        <w:tblW w:w="1531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3335"/>
        <w:gridCol w:w="2551"/>
        <w:gridCol w:w="2943"/>
        <w:gridCol w:w="2897"/>
        <w:gridCol w:w="273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33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5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84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3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33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</w:t>
            </w:r>
          </w:p>
        </w:tc>
        <w:tc>
          <w:tcPr>
            <w:tcW w:w="33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Тип</w:t>
            </w:r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en-US" w:bidi="ar-SA"/>
              </w:rPr>
              <w:t>ТДЦ-230000/330-У1</w:t>
            </w:r>
          </w:p>
        </w:tc>
        <w:tc>
          <w:tcPr>
            <w:tcW w:w="29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289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1,2</w:t>
            </w:r>
          </w:p>
        </w:tc>
        <w:tc>
          <w:tcPr>
            <w:tcW w:w="33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Страна изготовитель</w:t>
            </w:r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9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производителя</w:t>
            </w:r>
          </w:p>
        </w:tc>
        <w:tc>
          <w:tcPr>
            <w:tcW w:w="289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33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Производитель</w:t>
            </w:r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9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производителя</w:t>
            </w:r>
          </w:p>
        </w:tc>
        <w:tc>
          <w:tcPr>
            <w:tcW w:w="289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Номинальная мощность, кВА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230000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Номинальное напряжение, 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ВН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НН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330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15,75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Максимальное напряжение, кВ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bidi="ar-SA"/>
              </w:rPr>
              <w:t>НН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363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17,5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1.7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Номинальный ток, А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НН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403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8431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1.8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before="0" w:after="200"/>
              <w:ind w:hanging="284" w:left="284" w:right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Номинальное напряжение</w:t>
            </w:r>
          </w:p>
          <w:p>
            <w:pPr>
              <w:pStyle w:val="Normal"/>
              <w:suppressAutoHyphens w:val="true"/>
              <w:spacing w:before="0" w:after="200"/>
              <w:ind w:hanging="284" w:left="284" w:right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kern w:val="2"/>
                <w:sz w:val="22"/>
                <w:szCs w:val="22"/>
                <w:lang w:val="ru-RU" w:eastAsia="en-US" w:bidi="ar-SA"/>
              </w:rPr>
              <w:t>нейтрали, кВ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35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1.9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Схема и группа соединения обмоток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Ун/Д-11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1.10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Номинальная частота, Гц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50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1.11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Число фаз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bidi="ar-SA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1.12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 xml:space="preserve">Напряжение короткого замыкания по </w:t>
            </w:r>
            <w:r>
              <w:rPr>
                <w:rFonts w:cs="Times New Roman"/>
                <w:kern w:val="2"/>
                <w:sz w:val="24"/>
                <w:szCs w:val="24"/>
                <w:lang w:val="ru-RU" w:eastAsia="en-US" w:bidi="ar-SA"/>
              </w:rPr>
              <w:t>ГОСТ 52719-2007)</w:t>
            </w: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, Uк (%)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kern w:val="0"/>
                <w:position w:val="0"/>
                <w:sz w:val="24"/>
                <w:sz w:val="24"/>
                <w:szCs w:val="24"/>
                <w:vertAlign w:val="baseline"/>
                <w:lang w:val="en-US" w:bidi="ar-SA"/>
              </w:rPr>
              <w:t>11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1.13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 xml:space="preserve">Ток холостого хода по </w:t>
            </w:r>
            <w:r>
              <w:rPr>
                <w:rFonts w:cs="Times New Roman"/>
                <w:kern w:val="2"/>
                <w:sz w:val="24"/>
                <w:szCs w:val="24"/>
                <w:lang w:val="ru-RU" w:eastAsia="en-US" w:bidi="ar-SA"/>
              </w:rPr>
              <w:t>ГОСТ 17544-85</w:t>
            </w: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, %, не более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0,5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1.14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Заземление нейтрали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Глухо заземлена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1.15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Потери короткого замыкания, не более, кВт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700 (</w:t>
            </w: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допускается отклонение не более 10% в соответствии с ГОСТ 52719-2007)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1.16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2"/>
                <w:sz w:val="24"/>
                <w:szCs w:val="22"/>
                <w:lang w:val="ru-RU" w:eastAsia="en-US" w:bidi="ar-SA"/>
              </w:rPr>
              <w:t>Потери холостого хода, не более, кВт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115 (</w:t>
            </w:r>
            <w:r>
              <w:rPr>
                <w:rFonts w:cs="Times New Roman"/>
                <w:kern w:val="0"/>
                <w:sz w:val="24"/>
                <w:szCs w:val="24"/>
                <w:lang w:val="en-US" w:bidi="ar-SA"/>
              </w:rPr>
              <w:t>допускается отклонение не более 15% в соответствии с ГОСТ 52719-2007)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1.17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Допустимое превышение температуры над температурой окружающей среды </w:t>
            </w:r>
            <w:r>
              <w:rPr>
                <w:rFonts w:cs="Times New Roman"/>
                <w:bCs/>
                <w:iCs/>
                <w:sz w:val="24"/>
                <w:szCs w:val="24"/>
              </w:rPr>
              <w:t>Согласно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iCs/>
                <w:sz w:val="24"/>
                <w:szCs w:val="24"/>
              </w:rPr>
              <w:t>ГОСТ 11677-85</w:t>
            </w:r>
            <w:r>
              <w:rPr>
                <w:rFonts w:cs="Times New Roman"/>
                <w:bCs/>
                <w:sz w:val="24"/>
                <w:szCs w:val="24"/>
              </w:rPr>
              <w:t>, ºС: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180" w:left="252" w:righ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 обмотки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180" w:left="252" w:righ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>(измеренное по сопротивлению)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180" w:left="252" w:righ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 наиболее нагретой точки обмотки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180" w:left="252" w:righ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 масла в верхних слоях (измеренное термометром)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180" w:left="252" w:righ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 бака (измеренное инфракрасным термометром)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180" w:left="252" w:righ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  <w:lang w:val="ru-RU" w:bidi="ar-SA"/>
              </w:rPr>
              <w:t>- сердечника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65</w:t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78</w:t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</w:t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75</w:t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75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1.18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Двойная амплитуда вибраций на стенке бака, не более, мкм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более 200 мкм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1.19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highlight w:val="white"/>
              </w:rPr>
              <w:t>Требования к электрической прочности изоляции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Согласно  ГОСТ 55195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1.20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Сторона 330кВ: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Испытательное напряжение грозового импульса, кВ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>- полный импульс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>- срезанный импульс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950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1050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Одноминутное испытательное напряжение 50 Гц, кВ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395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1.21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Сторона 15,75кВ: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Испытательное напряжение грозового импульса, кВ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>- полный импульс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>- срезанный импульс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95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115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Одноминутное испытательное напряжение 50 Гц, кВ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38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1.22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/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Удельная длина пути утечки внешней изоляции, не менее см/кВ,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2,25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1.23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rFonts w:cs="Times New Roman"/>
                <w:bCs/>
                <w:sz w:val="24"/>
                <w:szCs w:val="24"/>
                <w:lang w:val="ru-RU" w:bidi="ar-SA"/>
              </w:rPr>
              <w:t xml:space="preserve">Уровень ЧР при испытании длительным переменным напряжением, равным   </w:t>
            </w:r>
            <w:r>
              <w:rPr>
                <w:rFonts w:cs="Times New Roman"/>
                <w:color w:val="000000"/>
                <w:sz w:val="24"/>
                <w:szCs w:val="24"/>
                <w:lang w:val="ru-RU" w:bidi="ar-SA"/>
              </w:rPr>
              <w:t>1,4</w:t>
            </w:r>
            <w:r>
              <w:rPr/>
              <w:drawing>
                <wp:inline distT="0" distB="0" distL="0" distR="0">
                  <wp:extent cx="485775" cy="228600"/>
                  <wp:effectExtent l="0" t="0" r="0" b="0"/>
                  <wp:docPr id="3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bCs/>
                <w:sz w:val="24"/>
                <w:szCs w:val="24"/>
                <w:lang w:val="ru-RU" w:bidi="ar-SA"/>
              </w:rPr>
              <w:t>,пКл, не более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1.24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bidi w:val="0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по нагрузочной способности. Допустимые систематические нагрузки и аварийные перегрузки по ГОСТ Р 52719, ГОСТ 14209, СТО 56947007-29.180.01.116-2012; согласно Приказа Минэнерго России от 08.02.2019 № 81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1.25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bidi w:val="0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стойкости при коротких замыканиях трансформаторов. Испытание по ГОСТ 20243 или расчетное обоснование по РД 16.431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1.26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Габариты трансформатора в сборе, не более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В соответствии с приложением №1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en-US" w:eastAsia="en-US"/>
              </w:rPr>
              <w:t>Подтвердить чертежом в составе заявки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1.27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Транспортные габариты (ШхВ) не более,мм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3110х3890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en-US" w:eastAsia="en-US"/>
              </w:rPr>
              <w:t>Подтвердить чертежом в составе заявки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1.28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Высота трансформатора, установленного на катки, мм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Не более 8500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en-US" w:eastAsia="en-US"/>
              </w:rPr>
              <w:t>Подтвердить чертежом в составе заявки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1.29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Масса, не более,кг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-транспортная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-полная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-масла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27"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135 000</w:t>
            </w:r>
          </w:p>
          <w:p>
            <w:pPr>
              <w:pStyle w:val="Normal"/>
              <w:widowControl w:val="false"/>
              <w:suppressAutoHyphens w:val="true"/>
              <w:spacing w:lineRule="exact" w:line="227"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190 000</w:t>
            </w:r>
          </w:p>
          <w:p>
            <w:pPr>
              <w:pStyle w:val="Normal"/>
              <w:widowControl w:val="false"/>
              <w:suppressAutoHyphens w:val="true"/>
              <w:spacing w:lineRule="exact" w:line="227"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33 000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1.30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Цвет окраски трансформатора и навесного оборудования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RAL 9002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1.31</w:t>
            </w:r>
          </w:p>
        </w:tc>
        <w:tc>
          <w:tcPr>
            <w:tcW w:w="33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Поставляемое оборудование должно быть новым</w:t>
            </w:r>
          </w:p>
        </w:tc>
        <w:tc>
          <w:tcPr>
            <w:tcW w:w="25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9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firstLine="142" w:left="-117"/>
              <w:contextualSpacing w:val="fals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3335" w:type="dxa"/>
            <w:tcBorders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Требования безопасности и охраны труда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соответствие с ГОСТ 12.2.007.0; 12.2.007.2; 12.4.004-91, требованиями «ПТЭ электрических станций и сетей», «ПТБ», ПУЭ,</w:t>
            </w:r>
          </w:p>
          <w:p>
            <w:pPr>
              <w:pStyle w:val="Normal"/>
              <w:suppressAutoHyphens w:val="true"/>
              <w:rPr/>
            </w:pPr>
            <w:r>
              <w:rPr>
                <w:rFonts w:cs="Times New Roman"/>
                <w:sz w:val="24"/>
                <w:szCs w:val="24"/>
              </w:rPr>
              <w:t xml:space="preserve">Международному сертификату по охране труда и безопасности </w:t>
            </w:r>
            <w:r>
              <w:rPr>
                <w:rFonts w:cs="Times New Roman"/>
                <w:sz w:val="24"/>
                <w:szCs w:val="24"/>
                <w:lang w:val="en-US"/>
              </w:rPr>
              <w:t>ISO</w:t>
            </w:r>
            <w:r>
              <w:rPr>
                <w:rFonts w:cs="Times New Roman"/>
                <w:sz w:val="24"/>
                <w:szCs w:val="24"/>
              </w:rPr>
              <w:t xml:space="preserve">18001 и Экологической безопасности </w:t>
            </w:r>
            <w:r>
              <w:rPr>
                <w:rFonts w:cs="Times New Roman"/>
                <w:sz w:val="24"/>
                <w:szCs w:val="24"/>
                <w:lang w:val="en-US"/>
              </w:rPr>
              <w:t>ISO</w:t>
            </w:r>
            <w:r>
              <w:rPr>
                <w:rFonts w:cs="Times New Roman"/>
                <w:sz w:val="24"/>
                <w:szCs w:val="24"/>
              </w:rPr>
              <w:t>14001.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2.2</w:t>
            </w:r>
          </w:p>
        </w:tc>
        <w:tc>
          <w:tcPr>
            <w:tcW w:w="3335" w:type="dxa"/>
            <w:tcBorders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Стационарная лестница и площадка с поручнями и запорным устройством для осмотра и обслуживания.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Предусмотрен подъем на трансформаторы при помощи стационарных лестниц площадку для обслуживания манометров с поручнями и запорными устройствами препятствующих поднятию на работающий трансформатор.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3335" w:type="dxa"/>
            <w:tcBorders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Заземление бака трансформатора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соответствии с требованиями ГОСТ 12.2.007.0-75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3.1.</w:t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Требования к баку трансформатора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Исполнение бака трансформатора: «колокол» с поддоном 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3.1.2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Уровень разъема бака: поддон-колокол: нижний 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3.1.3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Конструкция бака трансформатора должна соответствовать ГОСТ 3484.4-88 Трансформаторы силовые. Испытания баков на механическую прочность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3.1.4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Конструкция поддона должна иметь достаточную жесткость и обеспечивать строповку и подъем за поддон не менее транспортной массы трансформатора; при погрузочно-разгрузочных работах транспортной массы трансформатора не должно быть прогибов бака, вызывающих нарушение герметичности уплотнений и появление течей масла.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3.1.5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Испытательное избыточное давление бака и системы охлаждения, не менее, кПа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Бак-70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Охладитель ≤300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3.1.6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абсорбционного фильтра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3.1.7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верхних полках нижних ярмовых балок должны быть закреплены в горизонтальном положении шунты (экраны), которые служат для защиты от добавочных потерь в конструкции.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3.1.8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внутренней поверхности боковых стенок верхней части бака закреплены в вертикальном положении магнитные шунты (экраны), которые перекрывают разъем бака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3.1.9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Требования к уплотнительной резине/период выполнения регламентных работ по замене уплотнений (кроме уплотнения разъемного соединения колокола), 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Маслотермостойкая /</w:t>
            </w:r>
          </w:p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лет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3.1.10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Требования к уплотнительной резине / срок службы уплотнительной резины разъемного соединения колокола, не менее, лет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Маслотермостойкая, уложенная в канавку, для исключения выдавливания  /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требуюшей замены на протяжении 30 лет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3.1.11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баке должны иметься приспособления для стропления при подъеме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3.1.12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баке должны иметься приспособления для зачаливания при перемещении в продольном или поперечном направлениях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3.1.13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баке должны иметься площадки для упора головок гидродомкратов при подъеме полностью собранного трасформатора с маслом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3.1.14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баке должна быть предусмотрена возможность отбора проб масла с нижней точки бака трансформатора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3.1.15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 должен быть снабжен устройством сброса давления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Тип XPRD00-00016894 или аналог инерционного типа с направленным выхлопом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3.1.16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устройству и   сброса давления: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-количество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Должна быть предусмотрена возможность действия устройства «на сигнал»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-2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-Контакты сигнализирующие об открытии (срабатывании клапана)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3.1.17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выхлопа масла из устройства сброса давления - вниз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соответствии с Приложением 1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3.1.18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Патрубок для слива донных остатков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3.1.19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Передвижение трансформатора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катках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3.1.20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Форма катков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 ребордой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3.1.21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Колея (мм):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продольная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поперечная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Три рельса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1524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2х2000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3.122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Наличие люков для внутреннего осмотра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3.1.23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Обеспечена возможность подключения к маслопроводу передвижной аппаратуры очистки и доливки масла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3.1.24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Требования к уплотнительной резине/период выполнения регламентных работ по замене уплотнений (кроме уплотнения разъемного соединения колокола), 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Маслотермостойкая /</w:t>
            </w:r>
          </w:p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40 лет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lang w:val="ru-RU" w:eastAsia="ru-RU" w:bidi="ar-SA"/>
              </w:rPr>
              <w:t>3.1.25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Требования к уплотнительной резине / срок службы уплотнительной резины разъемного соединения колокола, не менее, лет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Маслотермостойкая, уложенная в канавку, для исключения выдавливания  /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требуюшей замены на протяжении  не менее 40 лет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3.2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Требования к магнитопроводу трансформатора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Материал провода обмотки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Медь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3.2.2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Нагревостойкость обмотки (класс)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F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3.2.3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Изоляция обмотки от заземленных частей – маслобарьерного типа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Наличие устройств раскрепления активной части в баке от смещения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Заземление активной части на внешней стороне бака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верхних полках нижних ярмовых балок должны быть закреплены в горизонтальном положении шунты (экраны), которые служат для защиты от добавочных потерь в конструкции.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внутренней поверхности боковых стенок верхней части бака закреплены в вертикальном положении магнитные шунты (экраны), которые перекрывают разъем бака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Магнитная система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Изготовлена по схеме </w:t>
            </w:r>
            <w:r>
              <w:rPr>
                <w:sz w:val="24"/>
                <w:szCs w:val="24"/>
                <w:lang w:val="en-US"/>
              </w:rPr>
              <w:t>step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lap</w:t>
            </w:r>
            <w:r>
              <w:rPr>
                <w:sz w:val="24"/>
                <w:szCs w:val="24"/>
              </w:rPr>
              <w:t xml:space="preserve"> (косыми стыками в схемах шихтовки)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Изготовление сердечника.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 сплава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Электротехническая сталь </w:t>
            </w:r>
            <w:r>
              <w:rPr>
                <w:rFonts w:cs="Times New Roman"/>
                <w:sz w:val="24"/>
                <w:szCs w:val="24"/>
                <w:lang w:val="en-US"/>
              </w:rPr>
              <w:t>NV27S105L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Обмотка трансформатора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концентрическая и выполняется из высококачественной меди прямоугольного сечения, намотанной вместе с теплостойкой бумагой с высокой изоляционной способностью.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марку меди и бумаги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Наличие устройства подрисовки обмоток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требующий подпрессовки на протяжении всего срока службы.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Изоляция конечных витков каждой обмотки, примыкающих к выводам трансформатора, усилена для того, чтобы защитить обмотки от волн грозовых и коммутационных перенапряжений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обмотки, волоконные и гигроскопичные материалы, используемые в трансформаторе, высушены под вакуумом и пропитаны горячим маслом.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сердечнике должны быть предусмотрены достаточные осевые каналы охлаждения для обеспечения свободной циркуляции масла и необходимого охлаждения сердечника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3.2.15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exact" w:line="283"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сердечника должны иметь  высококачественную маслостойкую изоляцию (например, из фосфатного силиката магния или аналог). Бумажная изоляция не допустима.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3.3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exact" w:line="283" w:before="120" w:after="120"/>
              <w:ind w:hanging="0" w:right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расширителю трансформатора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3.3.1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 расширителя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 соответствие с ГОСТ 52719-2007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3.3.2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Расширитель  с пленочной защитой, должна исключать непосредственное соприкосновение с окружающим воздухом трансформаторного масла на протяжении всего срока службы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3.3.3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cs="Times New Roman"/>
                <w:strike w:val="false"/>
                <w:dstrike w:val="false"/>
                <w:sz w:val="24"/>
                <w:szCs w:val="24"/>
                <w:shd w:fill="auto" w:val="clear"/>
              </w:rPr>
              <w:t>Трансформатор должен быть снабжен воздухоосушителем, со смотровым окошком для контроля индикаторного селикагеля.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4"/>
                <w:szCs w:val="24"/>
                <w:shd w:fill="auto" w:val="clear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4"/>
                <w:szCs w:val="24"/>
                <w:shd w:fill="auto" w:val="clear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3.3.4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Реле Бухгольца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BF 80/10 (09-1.28.48.60.-0243) или эквивалент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3.3.5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exact" w:line="283"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Газоотборный аппарат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Style w:val="Strong2"/>
                <w:b w:val="false"/>
                <w:bCs w:val="false"/>
                <w:sz w:val="24"/>
                <w:szCs w:val="24"/>
              </w:rPr>
              <w:t>ZG 1.2 производства EMB (90-34.48.-0-10,00м) или эквивалент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3.3.6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exact" w:line="283"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Отсечной клапан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3.4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exact" w:line="283" w:before="120" w:after="120"/>
              <w:ind w:hanging="0" w:right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системе охлаждения трансформатора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 охлаждения. Система охлаждения навесная, включая шкаф управления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Воздушная форсированная система охлаждения с принудительной циркуляцией масла, ДЦ (</w:t>
            </w:r>
            <w:r>
              <w:rPr>
                <w:sz w:val="24"/>
                <w:szCs w:val="24"/>
                <w:lang w:val="en-US"/>
              </w:rPr>
              <w:t>OFAF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охлаждения оснащена съемными радиаторами (змеевики не могут быть использованы).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Соответствующая запорная арматура устанавливается на входе и выходе каждого радиатора, чтобы обеспечить их демонтаж без опорожнения масляного бака. Положения «открыто» и «закрыто» входного и выходного вентиля механически зафиксированы и четко промаркированы. Радиаторы оцинкованы методом горячей гальванизации.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085" w:hRule="atLeast"/>
        </w:trPr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качестве запорной арматуры применены:</w:t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-до ДУ 25 включительно</w:t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-свыше ДУ 25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-шаровые краны</w:t>
            </w:r>
          </w:p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-дисковые затворы с уплотнениями из фторсиликона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маслоохладитель должен быть снабжен электронасосом, для циркуляции масла.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каждым насосом должен быть установлен фильтр для постоянной очистки трансформаторного масла от механических примесей в процессе эксплуатации (принудительная циркуляция масла)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 фильтра должен быть обслуживаемый (при необходимости очистки промывается горячим трансформаторным маслом)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охлаждения допускает отключение для технического обслуживания или выход из строя любого вентилятора или радиатора, при этом потеря общей охлаждающей мощности не будут превышать 20%. Система охлаждения имеет резервные вентиляторы, обеспечивающие охлаждение масла до необходимых параметров при повреждении работающего вентилятора.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вентиляторы работают как одно устройство. Лопасти вентиляторов и подводы воздуха изготовлены из сплава алюминия, нержавеющей стали, оцинкованной стали или другого коррозионно-стойкого металла, при этом конструкция позволяет свести шум и вибрацию к минимуму. Все вентиляторы оснащены сеточными защитными экранами с коррозионно-стойким покрытием, минимальная степень защиты IP20.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Охладители и вентиляторы подобраны таким образом, чтобы, не менее 80% мощности трансформатора сохранялось при выходе из строя одного охладителя или одной группы вентиляторов.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Вентиляторы маслоохладителей должны быть закреплены на рамной конструкции и должны открываться горизонтально для удобства доступа к радиатору маслоохладителя для обслуживания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3.4.12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 входе и выходе каждого маслоохладителя устанавливаются датчики температуры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3.5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Требования к вводам трансформатора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 трансформатора должна позволять подключение к экранированным токопроводам со стороны НН в соответствии с габаритно-присоединительными чертежами (Приложение №1)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BodyText3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Конструкция трансформатора и вводов должна допускать демонтаж и установку вводов без съёма крышки или верхней части бака, выемки активной части из бака и слива масла ниже уровня прессующих колец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Вводы ВН должны обеспечивать механическую и электрическую прочность при предельном угле установки вводов к вертикали 30 геом. град.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Тип линейных вводов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Герметичного исполнения с твердой (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RIP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) изоляцией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Материал покрышки вводов ВВ, НН и нейтрали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полимер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Наличие измерительного вывода от изоляции вводов для возможности их технической диагностики и постоянного подключения измерительных цепей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Для вводов ВН, НН и нейтрали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Допустимые нагрузки на зажимы линейного ввода, кН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ВН-6,3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/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Тип нейтрального ввода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Герметичного исполнения с твердой изоляцией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/>
            </w:pPr>
            <w:r>
              <w:rPr>
                <w:rFonts w:cs="Times New Roman"/>
                <w:sz w:val="24"/>
                <w:szCs w:val="24"/>
                <w:lang w:val="ru-RU" w:bidi="ar-SA"/>
              </w:rPr>
              <w:t>вводы НН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Герметичного исполнения с твердой изоляцией (допускается подключение экранированных токопроводов)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rStyle w:val="Strong1"/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Длина пути тока утечки ввода ВН, номинальное/минимальное, не менее мм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12861/12345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BodyText3"/>
              <w:widowControl w:val="false"/>
              <w:suppressAutoHyphens w:val="true"/>
              <w:bidi w:val="0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rStyle w:val="Strong1"/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Степень загрязнения установленных на трансформатор (автотрансформатор) высоковольтных вводов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BodyText3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Не менее II – средняя 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3.5.12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BodyText3"/>
              <w:widowControl w:val="false"/>
              <w:suppressAutoHyphens w:val="true"/>
              <w:bidi w:val="0"/>
              <w:spacing w:before="0" w:after="0"/>
              <w:ind w:hanging="0" w:left="0"/>
              <w:contextualSpacing/>
              <w:jc w:val="left"/>
              <w:rPr>
                <w:sz w:val="24"/>
                <w:szCs w:val="24"/>
                <w:lang w:val="ru-RU" w:bidi="ar-SA"/>
              </w:rPr>
            </w:pPr>
            <w:r>
              <w:rPr>
                <w:sz w:val="24"/>
                <w:szCs w:val="24"/>
                <w:lang w:val="ru-RU" w:bidi="ar-SA"/>
              </w:rPr>
              <w:t>Опорные изоляторы для подключения нулевого вывода к заземляющему контуру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BodyText3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ОСК-10-35-3 УХЛ1 или эквивалент с полимерной покрышкой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3.6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Общие требования к трансформатору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/>
            </w:pPr>
            <w:r>
              <w:rPr>
                <w:rFonts w:cs="Times New Roman"/>
                <w:sz w:val="24"/>
                <w:szCs w:val="24"/>
              </w:rPr>
              <w:t>Сейсмостойкость поставляемого оборудования</w:t>
            </w:r>
            <w:r>
              <w:rPr>
                <w:rFonts w:cs="Times New Roman"/>
                <w:bCs/>
                <w:sz w:val="24"/>
                <w:szCs w:val="24"/>
              </w:rPr>
              <w:t>, баллов по шкале MSK</w:t>
            </w:r>
          </w:p>
          <w:p>
            <w:pPr>
              <w:pStyle w:val="Style36"/>
              <w:widowControl/>
              <w:suppressAutoHyphens w:val="true"/>
              <w:spacing w:before="0" w:after="0"/>
              <w:jc w:val="left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Обязательно: на этапе проведения закупки представить расчет о соответствии поставляемого оборудования сейсмостойкости 9.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расчета осуществляется с использованием </w:t>
            </w:r>
            <w:r>
              <w:rPr>
                <w:color w:val="000000"/>
                <w:sz w:val="24"/>
                <w:szCs w:val="24"/>
              </w:rPr>
              <w:t>лицензионной</w:t>
            </w:r>
            <w:r>
              <w:rPr>
                <w:color w:val="1F497D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универсальной </w:t>
            </w:r>
            <w:r>
              <w:rPr>
                <w:sz w:val="24"/>
                <w:szCs w:val="24"/>
              </w:rPr>
              <w:t>программной системы конечно-элементного анализа. Допускается представление расчета в системе  ранее изготовленных трехфазных блочных трансформаторов мощностью 200МВА и выше, напряжением 330кВ и выше.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Внешние маслопроводы систем охлаждения (поставляемые изготовителем трансформатора) выполнены из нержавеющей стали или материалов, устойчивых к коррозии.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</w:rPr>
              <w:t>Граничные значения концентраций растворенных в масле газов при нормальной эксплуатации трансформатора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должно превышать значений указанных в Приложении №5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</w:rPr>
              <w:t xml:space="preserve"> в течение всего срока службы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Установка над уровнем моря, 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Разрешается установка на высоте  1010.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Номинальные напряжения вспомогательных устройств трансформатора, В:</w:t>
            </w:r>
          </w:p>
          <w:p>
            <w:pPr>
              <w:pStyle w:val="Normal"/>
              <w:suppressAutoHyphens w:val="true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- электродвигателей и электронасосов системы охлаждения</w:t>
            </w:r>
          </w:p>
          <w:p>
            <w:pPr>
              <w:pStyle w:val="Normal"/>
              <w:suppressAutoHyphens w:val="true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- цепей управления</w:t>
            </w:r>
          </w:p>
          <w:p>
            <w:pPr>
              <w:pStyle w:val="Normal"/>
              <w:suppressAutoHyphens w:val="true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- цепей сигнализации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suppressAutoHyphens w:val="tru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suppressAutoHyphens w:val="tru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suppressAutoHyphens w:val="tru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suppressAutoHyphens w:val="true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~380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~220</w:t>
            </w:r>
          </w:p>
          <w:p>
            <w:pPr>
              <w:pStyle w:val="Normal"/>
              <w:suppressAutoHyphens w:val="true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=220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Установка над уровнем моря, 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Разрешается установка на высоте  1010м.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3.6.7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Новое, ранее не бывшее в эксплуатации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  <w:t>3.7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Требования к трансформаторам тока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kern w:val="0"/>
                <w:sz w:val="24"/>
                <w:szCs w:val="24"/>
                <w:lang w:bidi="ar-SA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bidi="ar-SA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Трансформаторы тока на стороне 330кВ (1000/1)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Изготовитель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тороидальный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 изоляции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бумажная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Вторичный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Устойчивость к перегрузке, %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3.7.1.9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Сердечники трансформаторов тока 330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-//-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а) Сердечник 1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Защита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б) Сердечник 2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Защита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в) Сердечник 3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Защита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3.7.1.19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3.7.1.20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3.7.1.21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3.7.1.22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г) Сердечник 4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Защита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3.7.1.23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3.7.1.24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3.7.1.25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eastAsia="Calibri"/>
                <w:lang w:val="en-US" w:eastAsia="en-US"/>
              </w:rPr>
            </w:pPr>
            <w:r>
              <w:rPr>
                <w:rFonts w:cs="Times New Roman"/>
                <w:sz w:val="24"/>
                <w:szCs w:val="24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3.7.2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Трансформаторы тока на стороне 330кВ (600-1000/1)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Изготовитель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тороидальный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 изоляции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бумажная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600-1000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Вторичный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Устойчивость к перегрузке, %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3.7.2.9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Сердечники трансформаторов тока 330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-//-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3.7.2.10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а) Сердечник 1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Мониторинг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3.7.2.11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  <w:lang w:val="en-US"/>
              </w:rPr>
              <w:t>0,2</w:t>
            </w:r>
            <w:r>
              <w:rPr>
                <w:rFonts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3.7.2.12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3.7.2.13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3.7.3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Трансформаторы тока на стороне 330кВ (500/5)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Изготовитель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тороидальный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 изоляции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бумажная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Вторичный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Устойчивость к перегрузке, %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120%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3.7.3.9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Сердечники трансформаторов тока 330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-//-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3.7.3.10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а) Сердечник 1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Мониторинг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3.7.3.11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0,2S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3.7.3.12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3.7.4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Трансформаторы тока на стороне 15,75кВ (12000/5)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Изготовитель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тороидальный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 изоляции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бумажная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12000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Вторичный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Устойчивость к перегрузке, %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120%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Сердечники трансформаторов тока 15,75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-//-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а) Сердечник 1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Мониторинг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0,2S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3.7.4.13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3.7.5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Трансформаторы тока на нулевом выводе (600/1)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Изготовитель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/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Конструкция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тороидальный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 изоляции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бумажная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Вторичный ток, 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3.7.5.8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Устойчивость к перегрузке, %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120%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3.7.5.9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Сердечники трансформаторов тока 15,75 кВ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-//-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3.7.5.10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а) Сердечник 1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Защита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3.7.5.11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5Р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3.7.5.12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3.7.5.13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3.7.5.14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б) Сердечник 2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Защита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3.7.5.15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Класс точности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5Р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3.7.5.16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нагрузка, ВА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30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eastAsia="ru-RU" w:bidi="ar-SA"/>
              </w:rPr>
              <w:t>3.7.5.17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Номинальная предельная кратность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3.8</w:t>
            </w:r>
          </w:p>
        </w:tc>
        <w:tc>
          <w:tcPr>
            <w:tcW w:w="588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auto" w:val="clear"/>
              </w:rPr>
              <w:t>Требования к измерительным устройствам трансформатора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3.8.1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Все приборы, устройства и датчики применяемые для измерения параметров и защиты трансформатора должны иметь возможность интеграции с существующей системой мониторинга (Приложение №2), шкафом управления охлаждения трансформатора (Приложение №3), системой контроля изоляции вводов (Приложение№4) защитами трансформатора  (Приложением №6)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3.8.2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Измерение температуры масла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АКМ 34 OTI 34/4/05/15X/10 TD111 или эквивалент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3.8.3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Измерение температуры обмотки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АКМ 35 WTI 34/4/05/15X/10 TD111 или эквивалент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3.8.4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Маслоуказатель должен быть стрелочного типа (удобным для визуального осмотра с поверхности земли без применения приборов) и включать в себя датчики минимального и максимального уровней масла с возможностью выдачи «сухими контактами» и сигналов в АСУ ТП станции по стандартным протоколам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3.8.5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Измерение температуры: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-верхних слоев масла, шт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-нижних слоев масла, шт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7</w:t>
            </w:r>
          </w:p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3.8.6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Система контроля изоляции высоковольтных вводов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Типа R1500/6, TDM или эквивалент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3.8.7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Хроматограф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Типа 7Х с генератором азота в комплекте или эквивалент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bidi="ar-SA"/>
              </w:rPr>
              <w:t>Указать значение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57" w:left="-57" w:righ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4.1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Категория размещения и климатическое исполнение трансформатора</w:t>
            </w:r>
          </w:p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 ГОСТ 15150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У1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57" w:left="-57" w:righ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  <w:t>4.2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Клеммники для подключения контрольных кабелей с бака трансформатора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Навесной на баке трансформатора, </w:t>
            </w:r>
          </w:p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 xml:space="preserve">У1, степень защиты не менее </w:t>
            </w:r>
            <w:r>
              <w:rPr>
                <w:rFonts w:cs="Times New Roman"/>
                <w:sz w:val="24"/>
                <w:szCs w:val="24"/>
                <w:lang w:val="en-US"/>
              </w:rPr>
              <w:t>IP</w:t>
            </w:r>
            <w:r>
              <w:rPr>
                <w:rFonts w:cs="Times New Roman"/>
                <w:sz w:val="24"/>
                <w:szCs w:val="24"/>
              </w:rPr>
              <w:t>54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РСО-Алания, Алагирский район, г.Алагир. Склад Заказчика.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Каждое транспортное место должно быть промаркировано несмываемой краской по трафарету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5.3</w:t>
            </w:r>
          </w:p>
        </w:tc>
        <w:tc>
          <w:tcPr>
            <w:tcW w:w="3335" w:type="dxa"/>
            <w:tcBorders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транспортное место должно иметь упаковочную ведомость, закрепленную на упаковке. Ведомость должна быть надежна защищена от атмосферных осадков.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5.4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до места поставки, разгрузка и перемещение по территории склада заказчика осуществляется Поставщиком.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5.5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Допустимое время хранения трансформатора (от отгрузки с завода до поставки на склад Заказчика, мес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60 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5.6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 случае невозможности выполнить требование по сроку хранения, указанному в п.5.4 Поставщик берет на себя обязанность по выполнению технических и иных мероприятий до истечении срока указанного в п.5,4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5.7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На этапе проведения закупки, участник закупки должен представить требования к условиям хранения каждой составной части трансформатора (расширитель, маслоохладители, ввода и т.д.) 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значения или представить в виде отдельного перечня.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5.8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 транспортировочном состоянии бак должен быть заполнен азотом и снабжен системой подкачки азота в бак трансформатора на время хранения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5.9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Максимально допустимый срок нахождения трансформатора в транспортном состоянии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срок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5.10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Мероприятия по поддержанию сохранности трансформатора в транспортном состоянии в случае превышения максимально допустимого срока нахождения трансформатора в транспортном состоянии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120" w:after="120"/>
              <w:ind w:hanging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этапе проведения закупки представить инструкцию </w:t>
            </w:r>
            <w:r>
              <w:rPr>
                <w:rFonts w:cs="Times New Roman"/>
                <w:color w:val="000000"/>
                <w:sz w:val="24"/>
                <w:szCs w:val="24"/>
              </w:rPr>
              <w:t>по поддержанию сохранности трансформатора в транспортном состоянии (инструкция должна содержать подробное описание воздействий, применяемого оборудования и материалов)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Доливка масла в течение срока эксплуатации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требующий доливки масла на протяжении всего срока службы.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паспорте на трансформатор должна быть отражена информация о содержании (весе) черного металла, электротехничесой стали, цветного металла и драгоценных металлов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</w:tcPr>
          <w:p>
            <w:pPr>
              <w:pStyle w:val="Normal"/>
              <w:suppressAutoHyphens w:val="true"/>
              <w:rPr/>
            </w:pPr>
            <w:r>
              <w:rPr>
                <w:rFonts w:cs="Times New Roman"/>
                <w:sz w:val="24"/>
                <w:szCs w:val="24"/>
              </w:rPr>
              <w:t>Гарантийный срок на поставляемое оборудование, мес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менее 60 с даты подписания ТОРГ-12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8.1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трансформатора поставляются следующие запасные части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перечень ЗИП: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-Ввод ВН-1шт;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-Ввод НН-1шт;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-Ввод нулевого вывода-1шт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-Воздухоохладитель в сборе-1шт;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-Электронасос циркуляции масла-1шт;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-ЗИП для ремонта электронасоса циркуляции масла-3шт;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-Электродвигатель обдува-2шт;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-Реле Бухгольца — 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-Отсечной клапан-1шт;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-Предохранительный клапан- 1шт;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-датчик температуры верхних и нижних слоев масла -5шт;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-термометр манометрический температуры масла- 1шт;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-термометр манометрический температуры обмотки 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-краны и задвижки- не менее 2шт каждого вида;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-трансформаторы тока- не менее 1шт каждого вида;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изолятор для подключения нейтрального вывода тр-ра -1шт;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-указатель уровня масла — 1 компл;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-комплект РТИ, метизов и иных изделий  рекомендуемых заводом-изготовителем на период эксплуатации -1 компл.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-материалы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ЗИП к системам, поставляемым в комплекте с трансформатором.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-Сменные баллоны заполненные азотом для азотной системы-1 компл.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-Комплект материалов указанных в инструкции, указанной в  п.5.10 Таб. № ТТ — 1 компл.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значение.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8.2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Новое, ранее не бывшее в эксплуатации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8.3</w:t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к составу документации на трансформатор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8.3.1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Декларация соответствия ГОСТ Р на трансформатор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pacing w:lineRule="atLeast" w:line="0"/>
              <w:jc w:val="center"/>
              <w:rPr>
                <w:sz w:val="24"/>
                <w:szCs w:val="24"/>
              </w:rPr>
            </w:pPr>
            <w:r>
              <w:rPr>
                <w:rFonts w:eastAsia="F1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 xml:space="preserve">Представить на этапе проведения отборочных процедур 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8.3.2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поставляемая вместе с трансформатором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pacing w:lineRule="atLeast" w:line="0"/>
              <w:jc w:val="left"/>
              <w:rPr/>
            </w:pPr>
            <w:r>
              <w:rPr>
                <w:sz w:val="24"/>
                <w:szCs w:val="24"/>
              </w:rPr>
              <w:t>На все поставляемое оборудование и составные части оборудования должны предоставляться технические паспорта, инструкции по монтажу и эксплуатации, протоколы испытаний, монтажные и принципиальные схемы, сборочные чертежи и спецификации. Свидетельства об утверждении типа средства измерений и свидетельства о первичной поверке на трансформаторы тока и остальную измерительную аппаратуру.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8.3.3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виду предоставляемой документации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pacing w:lineRule="atLeast" w: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Вся документация поставляемое оборудование и составные части оборудования должна  предоставляться: </w:t>
            </w:r>
          </w:p>
          <w:p>
            <w:pPr>
              <w:pStyle w:val="Normal"/>
              <w:spacing w:lineRule="atLeast" w: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-на бумажном носителе — 3 экземпляра </w:t>
            </w:r>
          </w:p>
          <w:p>
            <w:pPr>
              <w:pStyle w:val="Normal"/>
              <w:spacing w:lineRule="atLeast" w:line="0"/>
              <w:jc w:val="left"/>
              <w:rPr/>
            </w:pPr>
            <w:r>
              <w:rPr>
                <w:sz w:val="24"/>
                <w:szCs w:val="24"/>
              </w:rPr>
              <w:t>-на электронном ностителе в нередактируемом формате *PDF и редактируемом формате:</w:t>
            </w:r>
          </w:p>
          <w:p>
            <w:pPr>
              <w:pStyle w:val="Normal"/>
              <w:spacing w:lineRule="atLeast" w:line="0"/>
              <w:jc w:val="left"/>
              <w:rPr/>
            </w:pPr>
            <w:r>
              <w:rPr>
                <w:sz w:val="24"/>
                <w:szCs w:val="24"/>
              </w:rPr>
              <w:t>- для таблиц (MS Word,</w:t>
            </w:r>
            <w:r>
              <w:rPr/>
              <w:t xml:space="preserve"> Excel) </w:t>
            </w:r>
          </w:p>
          <w:p>
            <w:pPr>
              <w:pStyle w:val="Normal"/>
              <w:spacing w:lineRule="atLeast" w:line="0"/>
              <w:jc w:val="left"/>
              <w:rPr/>
            </w:pPr>
            <w:r>
              <w:rPr>
                <w:sz w:val="24"/>
                <w:szCs w:val="24"/>
              </w:rPr>
              <w:t xml:space="preserve">- для чертежей и схем (Visio и </w:t>
            </w:r>
            <w:r>
              <w:rPr>
                <w:rStyle w:val="Strong"/>
                <w:b w:val="false"/>
                <w:bCs w:val="false"/>
                <w:sz w:val="24"/>
                <w:szCs w:val="24"/>
              </w:rPr>
              <w:t>AutoCAD)</w:t>
            </w:r>
            <w:r>
              <w:rPr/>
              <w:t> 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8.3.4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Документация должна быть составлена в соответствии с 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pacing w:lineRule="atLeast" w: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 ГОСТ 2.610-2006 Единая система конструкторской документации (ЕСКД). Правила выполнения эксплуатационных документов</w:t>
            </w:r>
          </w:p>
          <w:p>
            <w:pPr>
              <w:pStyle w:val="Normal"/>
              <w:spacing w:lineRule="atLeast" w: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eastAsia="en-US"/>
              </w:rPr>
              <w:t>ГОСТ 2.102-2013 Единая система конструкторской документации (ЕСКД). Виды и комплектность конструкторских документов.</w:t>
            </w:r>
          </w:p>
          <w:p>
            <w:pPr>
              <w:pStyle w:val="Normal"/>
              <w:spacing w:lineRule="atLeast" w: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eastAsia="en-US"/>
              </w:rPr>
              <w:t xml:space="preserve"> ГОСТ 2.105-95 ЕСКД. Общие требования к текстовым документам (с Изменением N 1)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8.3.5</w:t>
            </w:r>
          </w:p>
        </w:tc>
        <w:tc>
          <w:tcPr>
            <w:tcW w:w="333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Вся документация должна быть на Русском языке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spacing w:lineRule="atLeast" w: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быть изготовлено и испытано в соответствие с: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-Г</w:t>
            </w:r>
            <w:r>
              <w:rPr>
                <w:sz w:val="24"/>
                <w:szCs w:val="24"/>
                <w:lang w:eastAsia="en-US"/>
              </w:rPr>
              <w:t>ОСТ 1516.3-96 Электрооборудование переменного тока на напряжения от 1 до 750кВ. Требования к электрической прочности изоляции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--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ГОСТ 8865-93 (МЭК 85-84) Системы электрической изоляции. Оценка нагревостойкости и классификация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-ГОСТ 21130-75 Изделия электротехнические. Зажимы заземляющие и знаки заземления. Конструкция и размеры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ГОСТ 9920-89. Электроустановки переменного тока на напряжение от 3 до 750кВ. Длина пути утечки внешней изоляции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-ГОСТ 11677-85 Трансформаторы силовые. Общие технические условия (с Изменениями N 1, 2, 3, 4)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-ГОСТ Р 52719-2007 Трансформаторы силовые. Общие технические условия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-Соответствие</w:t>
            </w:r>
            <w:r>
              <w:rPr>
                <w:rFonts w:eastAsia="Calibri"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ГОСТ 3484.1-88 Трансформаторы силовые. Методы электромагнитных испытаний (с Изменением N 1)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-Соответствие</w:t>
            </w:r>
            <w:r>
              <w:rPr>
                <w:rFonts w:eastAsia="Calibri"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ГОСТ 3484.3-88. Трансформаторы силовые. Методы измерений диэлектрических параметров изоляции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-Соответствие</w:t>
            </w:r>
            <w:r>
              <w:rPr>
                <w:rFonts w:eastAsia="Calibri"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ГОСТ 3484.4-88. Трансформаторы силовые. Испытания баков на механическую прочность.</w:t>
            </w:r>
          </w:p>
          <w:p>
            <w:pPr>
              <w:pStyle w:val="Normal"/>
              <w:spacing w:lineRule="atLeast" w: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-Соответствие ГОСТ 3484.5-88 Трансформаторы силовые. Испытания баков на герметичность.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Необходимость проведения капитального ремонта трансформатора в течение всего срока эксплуатации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Необходимость проведения среднего ремонта трансформатора в течение всего срока эксплуатации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Необходимость проведения текущего ремонта трансформатора </w:t>
            </w:r>
            <w:r>
              <w:rPr>
                <w:rFonts w:cs="Times New Roman"/>
                <w:sz w:val="24"/>
                <w:szCs w:val="24"/>
              </w:rPr>
              <w:t>в течение всего срока эксплуатации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Необходимость проведения технического обслуживания трансформатора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реже 1 раза в год.</w:t>
            </w:r>
          </w:p>
        </w:tc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9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10.5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suppressAutoHyphens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 службы, не менее,  лет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менее 40 лет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8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перечень проводимых испытаний трансформатора: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1.Испытание и измерение обмоток: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-Измерение сопротивления изоляции обмоток;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-Измерение тангенса угла диэлектрических потерь (tg) изоляции обмоток;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-Оценка состояния бумажной изоляции обмоток (по наличию фурановых соединений в масле);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-Испытание изоляции повышенным напряжением частоты 50 Гц;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-Измерение сопротивления обмоток постоянному току нерегулируемых обмоток;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-Измерения коэффициента абсорбции.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-Степень полимеризации бумажной изоляции трансформатора;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-Значения пофазного измерения сопротивления Zk во всех режимах;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-Первичные нормограммы низковольтных измерений (НВИ);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-Данные по прессовке обмоток;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2.Проверка группы соединения обмоток;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3.Измерение потерь и тока холостого хода;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4.Измерение гармонического состава тока холостого хода;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5.Измерение потерь и напряжения короткого замыкания;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6.Измерение сопротивления нулевой последовательности;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7.Испытания на нагрев трансформатора;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8.Вибрационное  обследование электродвигателей  обдува  радиаторов трансформатора;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9.Функциональные испытания, измерения изоляции цепей  вентиляторов обдува  (автоматики, сигнализации, температурного контроля, управления вентиляционным оборудованием охлаждения трансформатора;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10.Испытания бака трансформатора на механическую прочность;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11.Испытание вводов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Измерение сопротивления изоляции измерительного конденсатора ПИН и слоев изоляции мегаомметром на 2500 В.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Измерение tg и емкости изоляции измерительного конденсатора ПИН и слоев изоляции при напряжении 5кВ;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Испытание повышенным напряжением частоты 50 Гц;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12.Испытание маслоподпорных вводов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 xml:space="preserve">Измерение сопротивления изоляции мегомметром на 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2500В. Испытание повышенным напряжением частоты 50Гц;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13.Испытание повышенным напряжением изоляции вторичных обмоток встроенных трансформаторов тока;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14.Функциональные испытания газовых, струйных реле  Измерения изоляции вторичных цепей реле;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15.Функциональные испытания предохранительных клапанов.  Измерения изоляции вторичных цепей;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16.Измерение сопротивления короткого замыкания (Zк) трансформатора (желательное требование);</w:t>
            </w:r>
          </w:p>
          <w:p>
            <w:pPr>
              <w:pStyle w:val="Normal"/>
              <w:spacing w:lineRule="atLeast" w:line="0"/>
              <w:jc w:val="both"/>
              <w:rPr>
                <w:sz w:val="20"/>
                <w:szCs w:val="20"/>
              </w:rPr>
            </w:pPr>
            <w:r>
              <w:rPr>
                <w:rFonts w:eastAsia="F1"/>
                <w:sz w:val="20"/>
                <w:szCs w:val="20"/>
                <w:lang w:eastAsia="en-US"/>
              </w:rPr>
              <w:t>17.Испытание баков на герметичность;</w:t>
            </w:r>
          </w:p>
        </w:tc>
        <w:tc>
          <w:tcPr>
            <w:tcW w:w="29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28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ind w:hanging="556" w:left="1276"/>
        <w:rPr>
          <w:lang w:val="ru-RU"/>
        </w:rPr>
      </w:pPr>
      <w:r>
        <w:rPr/>
        <w:t>* Примечание: 1. В техническом предложении Участника должны быть указаны наименование и марка предлагаемой продукции с подробным описанием технических параметров по всем позициям (за исключением позиций со способом подтверждения - согласие) Таблица 3. «Требования к продукции» Технических требований на поставку МТР.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40" w:name="__RefHeading___Toc4078_3512887204"/>
      <w:bookmarkStart w:id="41" w:name="_Toc53393312"/>
      <w:bookmarkStart w:id="42" w:name="_Toc75446162"/>
      <w:bookmarkStart w:id="43" w:name="_Toc53393312_Копия_1"/>
      <w:bookmarkEnd w:id="40"/>
      <w:r>
        <w:rPr>
          <w:rStyle w:val="Style8"/>
          <w:rFonts w:eastAsia="Calibri" w:cs="Times New Roman"/>
          <w:b/>
          <w:bCs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x-none" w:bidi="ar-SA"/>
        </w:rPr>
        <w:t>Требования к документации по ценообразованию</w:t>
      </w:r>
      <w:bookmarkStart w:id="44" w:name="_Toc75446583"/>
      <w:bookmarkEnd w:id="41"/>
      <w:bookmarkEnd w:id="42"/>
      <w:bookmarkEnd w:id="43"/>
      <w:r>
        <w:rPr>
          <w:shd w:fill="auto" w:val="clear"/>
          <w:lang w:val="ru-RU"/>
        </w:rPr>
        <w:t xml:space="preserve"> на э</w:t>
      </w:r>
      <w:r>
        <w:rPr>
          <w:lang w:val="ru-RU"/>
        </w:rPr>
        <w:t>тапе закупки</w:t>
      </w:r>
      <w:bookmarkEnd w:id="4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3.1.В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3.2.Дополнительные документы по ценообразованию в состав заявки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                                                          </w:t>
      </w:r>
      <w:r>
        <w:rPr>
          <w:b/>
        </w:rPr>
        <w:t>Спецификация поставляемого оборудования/МТР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9"/>
        <w:gridCol w:w="530"/>
        <w:gridCol w:w="991"/>
        <w:gridCol w:w="961"/>
        <w:gridCol w:w="980"/>
        <w:gridCol w:w="979"/>
        <w:gridCol w:w="979"/>
        <w:gridCol w:w="1117"/>
        <w:gridCol w:w="980"/>
        <w:gridCol w:w="1215"/>
        <w:gridCol w:w="661"/>
        <w:gridCol w:w="952"/>
        <w:gridCol w:w="707"/>
        <w:gridCol w:w="710"/>
        <w:gridCol w:w="30"/>
        <w:gridCol w:w="1099"/>
        <w:gridCol w:w="1273"/>
        <w:gridCol w:w="30"/>
      </w:tblGrid>
      <w:tr>
        <w:trPr>
          <w:trHeight w:val="1134" w:hRule="atLeast"/>
          <w:cantSplit w:val="true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 xml:space="preserve">№ </w:t>
            </w:r>
            <w:r>
              <w:rPr>
                <w:bCs/>
                <w:sz w:val="20"/>
              </w:rPr>
              <w:t>пар</w:t>
            </w:r>
            <w:r>
              <w:rPr>
                <w:bCs/>
                <w:sz w:val="20"/>
                <w:lang w:val="en-US"/>
              </w:rPr>
              <w:t>-</w:t>
            </w:r>
            <w:r>
              <w:rPr>
                <w:bCs/>
                <w:sz w:val="20"/>
              </w:rPr>
              <w:t>тии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 xml:space="preserve">№ </w:t>
            </w:r>
            <w:r>
              <w:rPr>
                <w:bCs/>
                <w:sz w:val="20"/>
              </w:rPr>
              <w:t>поз.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Наиме</w:t>
            </w:r>
            <w:r>
              <w:rPr>
                <w:bCs/>
                <w:sz w:val="20"/>
                <w:lang w:val="en-US"/>
              </w:rPr>
              <w:t>-</w:t>
            </w:r>
            <w:r>
              <w:rPr>
                <w:bCs/>
                <w:sz w:val="20"/>
              </w:rPr>
              <w:t>нование Товара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Артикул, тип, марка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Завод изгото</w:t>
            </w:r>
            <w:r>
              <w:rPr>
                <w:bCs/>
                <w:sz w:val="20"/>
                <w:lang w:val="en-US"/>
              </w:rPr>
              <w:t>-</w:t>
            </w:r>
            <w:r>
              <w:rPr>
                <w:bCs/>
                <w:sz w:val="20"/>
              </w:rPr>
              <w:t>витель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Страна проис-хожде-ния Товара</w:t>
            </w:r>
            <w:r>
              <w:rPr>
                <w:rStyle w:val="FootnoteReference"/>
                <w:bCs/>
                <w:sz w:val="20"/>
              </w:rPr>
              <w:footnoteReference w:id="2"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Страна регис-трации произ-водителя Товара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Код ОКПД 2 (с наиме-нованием)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Единица измере</w:t>
            </w:r>
            <w:r>
              <w:rPr>
                <w:bCs/>
                <w:sz w:val="20"/>
                <w:lang w:val="en-US"/>
              </w:rPr>
              <w:t>-</w:t>
            </w:r>
            <w:r>
              <w:rPr>
                <w:bCs/>
                <w:sz w:val="20"/>
              </w:rPr>
              <w:t>ния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bCs/>
                <w:sz w:val="20"/>
              </w:rPr>
              <w:t>Порядковый номер реестровой (ых) записи(ей)</w:t>
            </w:r>
            <w:r>
              <w:rPr>
                <w:rStyle w:val="FootnoteReference"/>
                <w:bCs/>
                <w:sz w:val="20"/>
              </w:rPr>
              <w:footnoteReference w:id="3"/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Кол-во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Цена за единицу, руб. без НДС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Цена, руб. без НДС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НДС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(%) руб.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Стоимость, руб., с НДС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sz w:val="20"/>
              </w:rPr>
              <w:t>Перечень сопро-води-тельных доку-ментов (в том числе подтвер-ждающих качество Товара)</w:t>
            </w:r>
          </w:p>
        </w:tc>
        <w:tc>
          <w:tcPr>
            <w:tcW w:w="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Cs/>
              </w:rPr>
              <w:t>1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</w:rPr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124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</w:rPr>
              <w:t>Итого стоимость партии Товара №1, руб. с НДС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Cs/>
              </w:rPr>
              <w:t>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</w:rPr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124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Итого стоимость партии Товара №2, руб. с НДС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>
          <w:trHeight w:val="397" w:hRule="exact"/>
        </w:trPr>
        <w:tc>
          <w:tcPr>
            <w:tcW w:w="124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Итого стоимость всего Товара (с учетом доставки), руб. с НДС: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</w:tbl>
    <w:p>
      <w:pPr>
        <w:pStyle w:val="Heading1"/>
        <w:keepLines/>
        <w:numPr>
          <w:ilvl w:val="0"/>
          <w:numId w:val="0"/>
        </w:numPr>
        <w:ind w:hanging="0" w:left="357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/>
      </w:r>
    </w:p>
    <w:p>
      <w:pPr>
        <w:pStyle w:val="Normal"/>
        <w:rPr>
          <w:rFonts w:ascii="Times New Roman" w:hAnsi="Times New Roman"/>
          <w:i/>
          <w:i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3.2.1. Инструкции по заполнению</w:t>
      </w:r>
    </w:p>
    <w:p>
      <w:pPr>
        <w:pStyle w:val="Style21"/>
        <w:spacing w:lineRule="exact" w:line="283"/>
        <w:rPr/>
      </w:pPr>
      <w:r>
        <w:rPr>
          <w:b w:val="false"/>
          <w:bCs w:val="false"/>
          <w:i w:val="false"/>
          <w:iCs w:val="false"/>
          <w:sz w:val="24"/>
          <w:szCs w:val="24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21"/>
        <w:tabs>
          <w:tab w:val="clear" w:pos="1134"/>
        </w:tabs>
        <w:spacing w:lineRule="exact" w:line="283"/>
        <w:rPr/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Все расчеты округляются до двух знаков после запятой. </w:t>
      </w:r>
    </w:p>
    <w:p>
      <w:pPr>
        <w:pStyle w:val="Normal"/>
        <w:spacing w:lineRule="exact" w:line="283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en-US"/>
        </w:rPr>
        <w:t>MicrosoftExcelSheet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(*.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en-US"/>
        </w:rPr>
        <w:t>xls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)).</w:t>
      </w:r>
    </w:p>
    <w:p>
      <w:pPr>
        <w:pStyle w:val="Normal"/>
        <w:spacing w:lineRule="exact" w:line="283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/>
      </w:pPr>
      <w:bookmarkStart w:id="45" w:name="__RefHeading___Toc11539_3742622322"/>
      <w:bookmarkStart w:id="46" w:name="_Toc51339699"/>
      <w:bookmarkStart w:id="47" w:name="_Toc46743519"/>
      <w:bookmarkStart w:id="48" w:name="_Toc75446585"/>
      <w:bookmarkEnd w:id="45"/>
      <w:r>
        <w:rPr>
          <w:rStyle w:val="Style8"/>
          <w:b/>
          <w:bCs/>
          <w:i w:val="false"/>
          <w:iCs/>
          <w:sz w:val="28"/>
          <w:szCs w:val="28"/>
          <w:shd w:fill="auto" w:val="clear"/>
        </w:rPr>
        <w:t>Приложения</w:t>
      </w:r>
      <w:bookmarkEnd w:id="46"/>
      <w:bookmarkEnd w:id="47"/>
      <w:bookmarkEnd w:id="4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№1 Габаритно-присоединительные чертежи трансформатора;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№2 Система мониторинга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№3 Шкаф управления охлаждением трансформатора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 w:val="false"/>
          <w:bCs/>
          <w:iCs/>
          <w:sz w:val="24"/>
          <w:szCs w:val="24"/>
        </w:rPr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№4 Система контроля изоляции вводов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 w:val="false"/>
          <w:bCs/>
          <w:iCs/>
          <w:sz w:val="24"/>
          <w:szCs w:val="24"/>
        </w:rPr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№5 Граничные концентрации растворенных в масле газов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 w:val="false"/>
          <w:bCs/>
          <w:iCs/>
          <w:sz w:val="24"/>
          <w:szCs w:val="24"/>
        </w:rPr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№6 Схемы существующей релейной защиты и автоматики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Составил: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Инженер гр.ЭТО ПТС                      _______________/Козлихин В.В./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Согласовал: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Начальник ПТС                                 _______________/Хугаев В.Р./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Начальник СПСР                              _______________/Бураев А.Т./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Начальник ОЗ                                    _______________/Демурова В.В/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Начальник СРЗАиМ                          _______________/Кучиев А.А./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Начальник СМОиГТС/                      _______________/Бабенко Д.А./</w:t>
      </w:r>
    </w:p>
    <w:sectPr>
      <w:headerReference w:type="default" r:id="rId9"/>
      <w:headerReference w:type="first" r:id="rId10"/>
      <w:footnotePr>
        <w:numFmt w:val="decimal"/>
      </w:footnotePr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ab/>
        <w:t xml:space="preserve"> 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3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ab/>
        <w:t xml:space="preserve"> </w:t>
      </w:r>
      <w:r>
        <w:rPr>
          <w:bCs/>
        </w:rPr>
        <w:t>Порядковый номер (номера) реестровой записи (реестровых записей), под которой (которыми) Оборудование включено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либо иным нормативно-правовым актом, устанавливающим защитные меры в соответствии с законодательством о Национальном режиме.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Текст"/>
    <w:basedOn w:val="Normal"/>
    <w:qFormat/>
    <w:pPr>
      <w:spacing w:lineRule="auto" w:line="240" w:before="0" w:after="0"/>
    </w:pPr>
    <w:rPr>
      <w:rFonts w:ascii="Courier New" w:hAnsi="Courier New" w:cs="Courier New"/>
      <w:sz w:val="20"/>
      <w:szCs w:val="20"/>
      <w:lang w:val="ru-RU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lassifikators.ru/okpd/27.11.41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image" Target="media/image1.wmf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header" Target="header7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D4B86-1D49-4C4B-AED9-20C80537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Application>AlterOffice/2026.2.0.0$Linux_X86_64 LibreOffice_project/bc4ef1adf80b36c7a6365f8ed6cbf29021361edd</Application>
  <AppVersion>15.0000</AppVersion>
  <Pages>42</Pages>
  <Words>4951</Words>
  <Characters>33860</Characters>
  <CharactersWithSpaces>37718</CharactersWithSpaces>
  <Paragraphs>1289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kozlihinvv@corp.gidroogk.com</cp:lastModifiedBy>
  <cp:lastPrinted>2006-07-26T14:04:00Z</cp:lastPrinted>
  <dcterms:modified xsi:type="dcterms:W3CDTF">2026-10-13T14:40:26Z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