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sz w:val="24"/>
          <w:szCs w:val="24"/>
        </w:rPr>
      </w:pPr>
      <w:bookmarkStart w:id="0" w:name="__RefHeading___Toc7951_1636178337"/>
      <w:bookmarkEnd w:id="0"/>
      <w:r>
        <w:rPr>
          <w:i w:val="false"/>
          <w:iCs w:val="false"/>
          <w:sz w:val="24"/>
          <w:szCs w:val="24"/>
        </w:rPr>
        <w:t>Утверждаю: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sz w:val="24"/>
          <w:szCs w:val="24"/>
        </w:rPr>
      </w:pPr>
      <w:bookmarkStart w:id="1" w:name="__RefHeading___Toc7953_1636178337"/>
      <w:bookmarkEnd w:id="1"/>
      <w:r>
        <w:rPr>
          <w:i w:val="false"/>
          <w:iCs w:val="false"/>
          <w:sz w:val="24"/>
          <w:szCs w:val="24"/>
        </w:rPr>
        <w:t>И.о. директора Центрального филиала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sz w:val="24"/>
          <w:szCs w:val="24"/>
        </w:rPr>
      </w:pPr>
      <w:bookmarkStart w:id="2" w:name="__RefHeading___Toc7955_1636178337"/>
      <w:bookmarkEnd w:id="2"/>
      <w:r>
        <w:rPr>
          <w:i w:val="false"/>
          <w:iCs w:val="false"/>
          <w:sz w:val="24"/>
          <w:szCs w:val="24"/>
        </w:rPr>
        <w:t>АО «ТК РусГидро»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  <w:bookmarkStart w:id="3" w:name="__RefHeading___Toc7957_1636178337"/>
      <w:bookmarkStart w:id="4" w:name="__RefHeading___Toc7957_1636178337"/>
      <w:bookmarkEnd w:id="4"/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sz w:val="24"/>
          <w:szCs w:val="24"/>
        </w:rPr>
      </w:pPr>
      <w:bookmarkStart w:id="5" w:name="__RefHeading___Toc7959_1636178337"/>
      <w:bookmarkEnd w:id="5"/>
      <w:r>
        <w:rPr>
          <w:i w:val="false"/>
          <w:iCs w:val="false"/>
          <w:sz w:val="24"/>
          <w:szCs w:val="24"/>
        </w:rPr>
        <w:t>«____»______________2026 г.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>ОКПД2 22.11.13.110  Поставка шин для автобусов и самосвалов  для нужд Загорского строительного участка Центрального филиала АО "ТК РусГидро"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sz w:val="24"/>
              <w:szCs w:val="24"/>
              <w:vanish w:val="false"/>
            </w:rPr>
            <w:fldChar w:fldCharType="separate"/>
          </w:r>
          <w:hyperlink w:anchor="__RefHeading___Toc7961_1636178337">
            <w:r>
              <w:rPr>
                <w:webHidden/>
                <w:rStyle w:val="Style14"/>
                <w:vanish w:val="false"/>
                <w:sz w:val="24"/>
                <w:szCs w:val="2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963_1636178337">
            <w:r>
              <w:rPr>
                <w:webHidden/>
                <w:rStyle w:val="Style14"/>
                <w:vanish w:val="false"/>
                <w:sz w:val="24"/>
                <w:szCs w:val="2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965_1636178337">
            <w:r>
              <w:rPr>
                <w:webHidden/>
                <w:rStyle w:val="Style14"/>
                <w:vanish w:val="false"/>
                <w:sz w:val="24"/>
                <w:szCs w:val="2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967_1636178337">
            <w:r>
              <w:rPr>
                <w:webHidden/>
                <w:rStyle w:val="Style14"/>
                <w:vanish w:val="false"/>
                <w:sz w:val="24"/>
                <w:szCs w:val="24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969_1636178337">
            <w:r>
              <w:rPr>
                <w:webHidden/>
                <w:rStyle w:val="Style14"/>
                <w:vanish w:val="false"/>
                <w:sz w:val="24"/>
                <w:szCs w:val="24"/>
              </w:rPr>
              <w:t>1.4.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971_1636178337">
            <w:r>
              <w:rPr>
                <w:webHidden/>
                <w:rStyle w:val="Style14"/>
                <w:vanish w:val="false"/>
                <w:sz w:val="24"/>
                <w:szCs w:val="24"/>
              </w:rPr>
              <w:t>1.5. Иные требования и сведения общего характера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7973_1636178337">
            <w:r>
              <w:rPr>
                <w:webHidden/>
                <w:rStyle w:val="Style14"/>
                <w:vanish w:val="false"/>
                <w:sz w:val="24"/>
                <w:szCs w:val="24"/>
              </w:rPr>
              <w:t xml:space="preserve">2. </w:t>
            </w:r>
            <w:r>
              <w:rPr>
                <w:rStyle w:val="Style14"/>
                <w:iCs/>
                <w:sz w:val="24"/>
                <w:szCs w:val="24"/>
              </w:rPr>
              <w:t>Требования к продукции</w:t>
            </w:r>
            <w:r>
              <w:rPr>
                <w:rStyle w:val="Style14"/>
                <w:sz w:val="24"/>
                <w:szCs w:val="24"/>
              </w:rPr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975_1636178337">
            <w:r>
              <w:rPr>
                <w:webHidden/>
                <w:rStyle w:val="Style14"/>
                <w:vanish w:val="false"/>
                <w:sz w:val="24"/>
                <w:szCs w:val="24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977_1636178337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7979_1636178337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981_1636178337">
            <w:r>
              <w:rPr>
                <w:webHidden/>
                <w:rStyle w:val="Style14"/>
                <w:vanish w:val="false"/>
                <w:sz w:val="24"/>
                <w:szCs w:val="24"/>
              </w:rPr>
              <w:t>2.1.2. Требования к срокам поставки продукции и оказания сопутствующих услуг</w:t>
              <w:tab/>
              <w:t>5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7983_1636178337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 Требования по срокам поставки продукции</w:t>
              <w:tab/>
              <w:t>5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985_1636178337">
            <w:r>
              <w:rPr>
                <w:webHidden/>
                <w:rStyle w:val="Style14"/>
                <w:vanish w:val="false"/>
                <w:sz w:val="24"/>
                <w:szCs w:val="24"/>
              </w:rPr>
              <w:t>2.2.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7987_1636178337">
            <w:r>
              <w:rPr>
                <w:webHidden/>
                <w:rStyle w:val="Style14"/>
                <w:vanish w:val="false"/>
                <w:sz w:val="24"/>
                <w:szCs w:val="24"/>
              </w:rPr>
              <w:t xml:space="preserve"> </w:t>
            </w:r>
            <w:r>
              <w:rPr>
                <w:rStyle w:val="Style14"/>
                <w:sz w:val="24"/>
                <w:szCs w:val="24"/>
              </w:rPr>
              <w:t>Таблица 3. Требования к продукции</w:t>
              <w:tab/>
              <w:t>5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7989_1636178337">
            <w:r>
              <w:rPr>
                <w:webHidden/>
                <w:rStyle w:val="Style14"/>
                <w:vanish w:val="false"/>
                <w:sz w:val="24"/>
                <w:szCs w:val="24"/>
              </w:rPr>
              <w:t xml:space="preserve">Наименование услуг/этапа услуг (позиция № 1-14 Таблицы 1.): </w:t>
            </w:r>
            <w:r>
              <w:rPr>
                <w:rStyle w:val="Style14"/>
                <w:i w:val="false"/>
                <w:iCs w:val="false"/>
                <w:sz w:val="24"/>
                <w:szCs w:val="24"/>
              </w:rPr>
              <w:t>ОКПД2 22.11.13.110 Поставка шин для нужд Загорского строительного участка Центрального филиала АО "ТК РусГидро"</w:t>
            </w:r>
            <w:r>
              <w:rPr>
                <w:rStyle w:val="Style14"/>
                <w:sz w:val="24"/>
                <w:szCs w:val="24"/>
              </w:rPr>
              <w:tab/>
              <w:t>5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7991_1636178337">
            <w:r>
              <w:rPr>
                <w:webHidden/>
                <w:rStyle w:val="Style14"/>
                <w:vanish w:val="false"/>
                <w:sz w:val="24"/>
                <w:szCs w:val="24"/>
              </w:rPr>
              <w:t>3. Требования к документации по ценообразованию на этапе закупки</w:t>
              <w:tab/>
              <w:t>7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993_1636178337">
            <w:r>
              <w:rPr>
                <w:webHidden/>
                <w:rStyle w:val="Style14"/>
                <w:vanish w:val="false"/>
                <w:sz w:val="24"/>
                <w:szCs w:val="24"/>
              </w:rPr>
              <w:t xml:space="preserve"> </w:t>
            </w:r>
            <w:r>
              <w:rPr>
                <w:rStyle w:val="Style14"/>
                <w:sz w:val="24"/>
                <w:szCs w:val="24"/>
              </w:rPr>
      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        <w:tab/>
              <w:t>7</w:t>
            </w:r>
          </w:hyperlink>
          <w:r>
            <w:rPr>
              <w:rStyle w:val="Style14"/>
              <w:sz w:val="24"/>
              <w:szCs w:val="24"/>
            </w:rPr>
            <w:fldChar w:fldCharType="end"/>
          </w:r>
        </w:p>
      </w:sdtContent>
    </w:sdt>
    <w:p>
      <w:pPr>
        <w:pStyle w:val="TOC1"/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4"/>
          <w:szCs w:val="24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4"/>
          <w:szCs w:val="24"/>
        </w:rPr>
      </w:r>
    </w:p>
    <w:p>
      <w:pPr>
        <w:pStyle w:val="TOC1"/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4"/>
          <w:szCs w:val="24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4"/>
          <w:szCs w:val="24"/>
        </w:rPr>
      </w:r>
    </w:p>
    <w:p>
      <w:pPr>
        <w:pStyle w:val="Heading2"/>
        <w:tabs>
          <w:tab w:val="clear" w:pos="0"/>
        </w:tabs>
        <w:ind w:hanging="0" w:left="0"/>
        <w:rPr>
          <w:b w:val="false"/>
          <w:i/>
          <w:i/>
          <w:sz w:val="24"/>
          <w:szCs w:val="24"/>
        </w:rPr>
      </w:pPr>
      <w:r>
        <w:rPr>
          <w:b w:val="false"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sz w:val="24"/>
          <w:szCs w:val="24"/>
        </w:rPr>
      </w:pPr>
      <w:bookmarkStart w:id="6" w:name="__RefHeading___Toc7961_1636178337"/>
      <w:bookmarkStart w:id="7" w:name="_Toc190866817"/>
      <w:bookmarkStart w:id="8" w:name="_Toc51339692"/>
      <w:bookmarkEnd w:id="6"/>
      <w:r>
        <w:rPr>
          <w:sz w:val="24"/>
          <w:szCs w:val="24"/>
          <w:lang w:val="ru-RU"/>
        </w:rPr>
        <w:t>Общие сведения</w:t>
      </w:r>
      <w:bookmarkEnd w:id="7"/>
      <w:bookmarkEnd w:id="8"/>
    </w:p>
    <w:p>
      <w:pPr>
        <w:pStyle w:val="Heading4"/>
        <w:numPr>
          <w:ilvl w:val="1"/>
          <w:numId w:val="3"/>
        </w:numPr>
        <w:ind w:hanging="432" w:left="574"/>
        <w:rPr>
          <w:sz w:val="24"/>
          <w:szCs w:val="24"/>
        </w:rPr>
      </w:pPr>
      <w:bookmarkStart w:id="9" w:name="__RefHeading___Toc7963_1636178337"/>
      <w:bookmarkStart w:id="10" w:name="_Toc46743505"/>
      <w:bookmarkStart w:id="11" w:name="_Toc190866818"/>
      <w:bookmarkEnd w:id="9"/>
      <w:r>
        <w:rPr>
          <w:sz w:val="24"/>
          <w:szCs w:val="24"/>
        </w:rPr>
        <w:t>Обозначения и сокращения</w:t>
      </w:r>
      <w:bookmarkEnd w:id="10"/>
      <w:bookmarkEnd w:id="11"/>
    </w:p>
    <w:p>
      <w:pPr>
        <w:pStyle w:val="Normal"/>
        <w:rPr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35"/>
        <w:gridCol w:w="8144"/>
      </w:tblGrid>
      <w:tr>
        <w:trPr>
          <w:trHeight w:val="358" w:hRule="atLeast"/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trHeight w:val="251" w:hRule="atLeast"/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</w:t>
            </w:r>
          </w:p>
        </w:tc>
      </w:tr>
      <w:tr>
        <w:trPr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</w:t>
            </w:r>
          </w:p>
        </w:tc>
      </w:tr>
      <w:tr>
        <w:trPr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Р 52899-2007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Шины пневматические для грузовых механических транспортных средств и прицепов. Технические условия</w:t>
            </w:r>
          </w:p>
        </w:tc>
      </w:tr>
      <w:tr>
        <w:trPr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Р 8430-2003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Шины пневматические для строительных, дорожных, подъемно-транспортных и рудничных машин. Технические условия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432" w:left="574"/>
        <w:rPr>
          <w:sz w:val="24"/>
          <w:szCs w:val="24"/>
        </w:rPr>
      </w:pPr>
      <w:bookmarkStart w:id="12" w:name="__RefHeading___Toc7965_1636178337"/>
      <w:bookmarkStart w:id="13" w:name="_Toc190866819"/>
      <w:bookmarkEnd w:id="12"/>
      <w:r>
        <w:rPr>
          <w:sz w:val="24"/>
          <w:szCs w:val="24"/>
        </w:rPr>
        <w:t>Наименование закупаемой продукции</w:t>
      </w:r>
      <w:bookmarkEnd w:id="13"/>
    </w:p>
    <w:p>
      <w:pPr>
        <w:pStyle w:val="Normal"/>
        <w:jc w:val="both"/>
        <w:rPr/>
      </w:pPr>
      <w:r>
        <w:rPr>
          <w:rStyle w:val="Strong1"/>
          <w:rFonts w:eastAsia="Times New Roman" w:cs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lang w:val="ru-RU" w:eastAsia="ru-RU" w:bidi="ar-SA"/>
        </w:rPr>
        <w:t>ОКПД2 22.11.13.110  Поставка шин для автобусов и самосвалов для нужд Загорского строительного участка Центрального филиала АО "ТК РусГидро"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>
          <w:sz w:val="24"/>
          <w:szCs w:val="24"/>
        </w:rPr>
      </w:pPr>
      <w:bookmarkStart w:id="14" w:name="__RefHeading___Toc7967_1636178337"/>
      <w:bookmarkStart w:id="15" w:name="_Toc190866820"/>
      <w:bookmarkStart w:id="16" w:name="_Toc46743507"/>
      <w:bookmarkEnd w:id="14"/>
      <w:r>
        <w:rPr>
          <w:sz w:val="24"/>
          <w:szCs w:val="24"/>
        </w:rPr>
        <w:t xml:space="preserve">Цель </w:t>
      </w:r>
      <w:bookmarkEnd w:id="16"/>
      <w:r>
        <w:rPr>
          <w:sz w:val="24"/>
          <w:szCs w:val="24"/>
          <w:lang w:val="ru-RU"/>
        </w:rPr>
        <w:t>использования закупаемой продукции</w:t>
      </w:r>
      <w:bookmarkEnd w:id="15"/>
      <w:r>
        <w:rPr>
          <w:sz w:val="24"/>
          <w:szCs w:val="24"/>
          <w:lang w:val="ru-RU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Обеспечение и доукомплектация транспортных средств шинами, для бесперебойной работы транспортных средств Центрального филиала АО «ТК РусГидро» (далее – Товар).</w:t>
      </w:r>
    </w:p>
    <w:p>
      <w:pPr>
        <w:pStyle w:val="Heading4"/>
        <w:numPr>
          <w:ilvl w:val="1"/>
          <w:numId w:val="3"/>
        </w:numPr>
        <w:ind w:hanging="0" w:left="0"/>
        <w:rPr>
          <w:sz w:val="24"/>
          <w:szCs w:val="24"/>
        </w:rPr>
      </w:pPr>
      <w:bookmarkStart w:id="17" w:name="__RefHeading___Toc7969_1636178337"/>
      <w:bookmarkStart w:id="18" w:name="_Hlk49857604"/>
      <w:bookmarkStart w:id="19" w:name="_Toc46743509"/>
      <w:bookmarkStart w:id="20" w:name="_Toc190866821"/>
      <w:bookmarkEnd w:id="17"/>
      <w:r>
        <w:rPr>
          <w:sz w:val="24"/>
          <w:szCs w:val="24"/>
        </w:rPr>
        <w:t xml:space="preserve">Информация в отношении исполнения договора, </w:t>
      </w:r>
      <w:bookmarkStart w:id="21" w:name="_Hlk46492347"/>
      <w:r>
        <w:rPr>
          <w:sz w:val="24"/>
          <w:szCs w:val="24"/>
        </w:rPr>
        <w:t xml:space="preserve">которая должна быть учтена при подготовке заявки </w:t>
      </w:r>
      <w:bookmarkEnd w:id="21"/>
      <w:r>
        <w:rPr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sz w:val="24"/>
          <w:szCs w:val="24"/>
          <w:lang w:val="ru-RU"/>
        </w:rPr>
        <w:t>заказчиком</w:t>
      </w:r>
      <w:r>
        <w:rPr>
          <w:sz w:val="24"/>
          <w:szCs w:val="24"/>
        </w:rPr>
        <w:t xml:space="preserve"> на этапе исполнения договора)</w:t>
      </w:r>
      <w:bookmarkEnd w:id="18"/>
      <w:bookmarkEnd w:id="19"/>
      <w:bookmarkEnd w:id="20"/>
    </w:p>
    <w:p>
      <w:pPr>
        <w:pStyle w:val="Normal"/>
        <w:jc w:val="both"/>
        <w:rPr/>
      </w:pPr>
      <w:r>
        <w:rPr>
          <w:rStyle w:val="Strong1"/>
          <w:b w:val="false"/>
          <w:sz w:val="24"/>
          <w:szCs w:val="24"/>
        </w:rPr>
        <w:t>1.4.1 Продукция должна быть новая, не бывшая в употреблении (не восстановленная). Продукция должна быть произведена не ранее второго полугодия 2026г. Не допускается поставка выставочных образцов.</w:t>
      </w:r>
    </w:p>
    <w:p>
      <w:pPr>
        <w:pStyle w:val="Normal"/>
        <w:jc w:val="both"/>
        <w:rPr/>
      </w:pPr>
      <w:r>
        <w:rPr>
          <w:rStyle w:val="Strong1"/>
          <w:b w:val="false"/>
          <w:sz w:val="24"/>
          <w:szCs w:val="24"/>
        </w:rPr>
        <w:t>1.4.2 Комплектность: в комплект камерной шины входит покрышка, камера с вентилем,  снабженным колпачком или колпачком-ключиком, ободная лента. В комплект бескамерной шины – покрышка</w:t>
      </w:r>
    </w:p>
    <w:p>
      <w:pPr>
        <w:pStyle w:val="Heading4"/>
        <w:numPr>
          <w:ilvl w:val="1"/>
          <w:numId w:val="3"/>
        </w:numPr>
        <w:ind w:hanging="432" w:left="574"/>
        <w:rPr>
          <w:sz w:val="24"/>
          <w:szCs w:val="24"/>
        </w:rPr>
      </w:pPr>
      <w:bookmarkStart w:id="22" w:name="__RefHeading___Toc7971_1636178337"/>
      <w:bookmarkStart w:id="23" w:name="_Toc190866822"/>
      <w:bookmarkEnd w:id="22"/>
      <w:r>
        <w:rPr>
          <w:sz w:val="24"/>
          <w:szCs w:val="24"/>
        </w:rPr>
        <w:t>Иные требования и сведения общего характера</w:t>
      </w:r>
      <w:bookmarkEnd w:id="23"/>
    </w:p>
    <w:p>
      <w:pPr>
        <w:pStyle w:val="Normal"/>
        <w:rPr>
          <w:sz w:val="24"/>
          <w:szCs w:val="24"/>
        </w:rPr>
      </w:pPr>
      <w:r>
        <w:rPr>
          <w:sz w:val="24"/>
          <w:szCs w:val="24"/>
          <w:lang w:eastAsia="x-none"/>
        </w:rPr>
        <w:t xml:space="preserve">1.5.1   Место поставки: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  <w:lang w:eastAsia="x-none"/>
        </w:rPr>
        <w:t>Место поставки: Московская область, Сергиево-Посадский городской округ, пгт. Богородское.</w:t>
      </w:r>
      <w:bookmarkStart w:id="24" w:name="_GoBack"/>
      <w:bookmarkEnd w:id="24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1.5.2 Перед поставкой, Поставщик предоставляет документы, подтверждающие качество поставляемой продукции.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1.5.3 Маркировка, упаковка должны соответствовать требованиям технических регламентов, стандартов, технических условий, устанавливающих обязательные требования к маркировке, и упаковке данного вида продукции. Упаковка продукции должна обеспечивать ее сохранность при транспортировке и хранении.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1.5.4 Приемка продукции осуществляется на основании отгрузочных документов Поставщика. Покупатель обязан принять продукцию путем её проверки на соответствие сопроводительным документам, в момент передачи продукции. При обнаружении несоответствия продукции сопроводительным документам, а также в случае несоблюдения Поставщиком условия о количестве/качестве продукции, сторонами составляется Акт рекламации.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1.5.5 В случае получения продукции в дефектной упаковке Покупатель имеет право не принимать такую продукцию.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1.5.6 В случае получения продукции с недостатками, которые выявлены в процессе установки на транспортное средство (скрытые недостатки) Покупатель имеет право направить Продавцу претензию и требовать возврат денежных средств за некачественную продукцию.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sz w:val="24"/>
          <w:szCs w:val="24"/>
        </w:rPr>
      </w:pPr>
      <w:bookmarkStart w:id="25" w:name="__RefHeading___Toc7973_1636178337"/>
      <w:bookmarkStart w:id="26" w:name="_Toc51339693"/>
      <w:bookmarkStart w:id="27" w:name="_Toc190866823"/>
      <w:bookmarkEnd w:id="25"/>
      <w:r>
        <w:rPr>
          <w:iCs/>
          <w:sz w:val="24"/>
          <w:szCs w:val="24"/>
        </w:rPr>
        <w:t>Требования к продукции</w:t>
      </w:r>
      <w:bookmarkEnd w:id="26"/>
      <w:bookmarkEnd w:id="27"/>
    </w:p>
    <w:p>
      <w:pPr>
        <w:pStyle w:val="Heading4"/>
        <w:numPr>
          <w:ilvl w:val="1"/>
          <w:numId w:val="3"/>
        </w:numPr>
        <w:ind w:hanging="432" w:left="574"/>
        <w:rPr>
          <w:sz w:val="24"/>
          <w:szCs w:val="24"/>
        </w:rPr>
      </w:pPr>
      <w:bookmarkStart w:id="28" w:name="__RefHeading___Toc7975_1636178337"/>
      <w:bookmarkStart w:id="29" w:name="_Toc190866824"/>
      <w:bookmarkEnd w:id="28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поставки</w:t>
      </w:r>
      <w:bookmarkEnd w:id="29"/>
    </w:p>
    <w:p>
      <w:pPr>
        <w:pStyle w:val="Heading3"/>
        <w:numPr>
          <w:ilvl w:val="2"/>
          <w:numId w:val="3"/>
        </w:numPr>
        <w:rPr>
          <w:sz w:val="24"/>
          <w:szCs w:val="24"/>
        </w:rPr>
      </w:pPr>
      <w:bookmarkStart w:id="30" w:name="__RefHeading___Toc7977_1636178337"/>
      <w:bookmarkStart w:id="31" w:name="_Toc190866825"/>
      <w:bookmarkEnd w:id="30"/>
      <w:r>
        <w:rPr>
          <w:sz w:val="24"/>
          <w:szCs w:val="24"/>
          <w:lang w:val="ru-RU"/>
        </w:rPr>
        <w:t>Перечень и объем закупаемой продукции</w:t>
      </w:r>
      <w:bookmarkEnd w:id="31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32" w:name="__RefHeading___Toc7979_1636178337"/>
      <w:bookmarkStart w:id="33" w:name="_Toc190866826"/>
      <w:bookmarkStart w:id="34" w:name="_Toc51339695"/>
      <w:bookmarkEnd w:id="3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4"/>
      <w:r>
        <w:rPr>
          <w:sz w:val="24"/>
          <w:szCs w:val="24"/>
          <w:lang w:val="ru-RU"/>
        </w:rPr>
        <w:t>и объем закупаемой продукции</w:t>
      </w:r>
      <w:bookmarkEnd w:id="33"/>
    </w:p>
    <w:tbl>
      <w:tblPr>
        <w:tblW w:w="10200" w:type="dxa"/>
        <w:jc w:val="left"/>
        <w:tblInd w:w="-1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4"/>
        <w:gridCol w:w="4985"/>
        <w:gridCol w:w="1531"/>
        <w:gridCol w:w="2840"/>
      </w:tblGrid>
      <w:tr>
        <w:trPr>
          <w:tblHeader w:val="true"/>
          <w:trHeight w:val="848" w:hRule="atLeast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Кол-во</w:t>
            </w:r>
          </w:p>
        </w:tc>
      </w:tr>
      <w:tr>
        <w:trPr>
          <w:trHeight w:val="445" w:hRule="atLeast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9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Автомобильная грузовая шина  R20 8.25/ 130/128K TT 12PR универсальная  с камерой и ободной лентой,  всесезонная.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Шт.</w:t>
            </w:r>
          </w:p>
        </w:tc>
        <w:tc>
          <w:tcPr>
            <w:tcW w:w="28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</w:tr>
      <w:tr>
        <w:trPr>
          <w:trHeight w:val="759" w:hRule="atLeast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9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Автомобильная грузовая карьерная шина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315/80 R22,5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Шт.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16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  <w:lang w:val="en-US" w:eastAsia="x-none"/>
        </w:rPr>
        <w:tab/>
      </w:r>
    </w:p>
    <w:p>
      <w:pPr>
        <w:pStyle w:val="Heading3"/>
        <w:numPr>
          <w:ilvl w:val="2"/>
          <w:numId w:val="3"/>
        </w:numPr>
        <w:rPr>
          <w:sz w:val="24"/>
          <w:szCs w:val="24"/>
        </w:rPr>
      </w:pPr>
      <w:bookmarkStart w:id="35" w:name="__RefHeading___Toc7981_1636178337"/>
      <w:bookmarkStart w:id="36" w:name="_Toc190866827"/>
      <w:bookmarkStart w:id="37" w:name="_Toc51339696"/>
      <w:bookmarkEnd w:id="35"/>
      <w:r>
        <w:rPr>
          <w:sz w:val="24"/>
          <w:szCs w:val="24"/>
          <w:lang w:val="ru-RU"/>
        </w:rPr>
        <w:t xml:space="preserve">Требования </w:t>
      </w:r>
      <w:bookmarkEnd w:id="37"/>
      <w:r>
        <w:rPr>
          <w:sz w:val="24"/>
          <w:szCs w:val="24"/>
          <w:lang w:val="ru-RU"/>
        </w:rPr>
        <w:t>к срокам поставки продукции и оказания сопутствующих услуг</w:t>
      </w:r>
      <w:bookmarkEnd w:id="36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38" w:name="__RefHeading___Toc7983_1636178337"/>
      <w:bookmarkStart w:id="39" w:name="_Toc190866828"/>
      <w:bookmarkStart w:id="40" w:name="_Toc51339697"/>
      <w:bookmarkStart w:id="41" w:name="_Toc50125127"/>
      <w:bookmarkStart w:id="42" w:name="_Toc50125126"/>
      <w:bookmarkEnd w:id="38"/>
      <w:bookmarkEnd w:id="4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43" w:name="_Hlk50465284"/>
      <w:r>
        <w:rPr>
          <w:sz w:val="24"/>
          <w:szCs w:val="24"/>
        </w:rPr>
        <w:t xml:space="preserve">Требования по срокам </w:t>
      </w:r>
      <w:bookmarkEnd w:id="40"/>
      <w:bookmarkEnd w:id="41"/>
      <w:bookmarkEnd w:id="43"/>
      <w:r>
        <w:rPr>
          <w:sz w:val="24"/>
          <w:szCs w:val="24"/>
          <w:lang w:val="ru-RU"/>
        </w:rPr>
        <w:t>поставки продукции</w:t>
      </w:r>
      <w:bookmarkEnd w:id="39"/>
      <w:r>
        <w:rPr>
          <w:sz w:val="24"/>
          <w:szCs w:val="24"/>
          <w:lang w:val="ru-RU"/>
        </w:rPr>
        <w:t xml:space="preserve"> </w:t>
      </w:r>
    </w:p>
    <w:tbl>
      <w:tblPr>
        <w:tblW w:w="10208" w:type="dxa"/>
        <w:jc w:val="left"/>
        <w:tblInd w:w="-1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9"/>
        <w:gridCol w:w="2970"/>
        <w:gridCol w:w="2978"/>
        <w:gridCol w:w="3260"/>
      </w:tblGrid>
      <w:tr>
        <w:trPr/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действия Договора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22.11.13.110  Поставка шин для автобусов и самосвалов  для нужд Загорского строительного участка Центрального филиала АО "ТК РусГидро"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 поставки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 (двенадцати) месяцев, либо до исчерпания предельной суммы по Договору</w:t>
            </w:r>
          </w:p>
        </w:tc>
      </w:tr>
      <w:tr>
        <w:trPr/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поставки Товара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22.11.13.110  Поставка шин для автобусов и самосвалов  для нужд Загорского строительного участка Центрального филиала АО "ТК РусГидро"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предоставления Покупателем заявки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10 (десяти) календарных дней</w:t>
            </w:r>
          </w:p>
        </w:tc>
      </w:tr>
    </w:tbl>
    <w:p>
      <w:pPr>
        <w:pStyle w:val="Heading4"/>
        <w:numPr>
          <w:ilvl w:val="1"/>
          <w:numId w:val="3"/>
        </w:numPr>
        <w:ind w:hanging="432" w:left="574"/>
        <w:rPr>
          <w:sz w:val="24"/>
          <w:szCs w:val="24"/>
        </w:rPr>
      </w:pPr>
      <w:bookmarkStart w:id="44" w:name="__RefHeading___Toc7985_1636178337"/>
      <w:bookmarkStart w:id="45" w:name="_Toc51339698"/>
      <w:bookmarkStart w:id="46" w:name="_Toc190866829"/>
      <w:bookmarkStart w:id="47" w:name="_Toc46743511"/>
      <w:bookmarkEnd w:id="44"/>
      <w:r>
        <w:rPr>
          <w:sz w:val="24"/>
          <w:szCs w:val="24"/>
        </w:rPr>
        <w:t xml:space="preserve">Требования к </w:t>
      </w:r>
      <w:bookmarkEnd w:id="47"/>
      <w:r>
        <w:rPr>
          <w:sz w:val="24"/>
          <w:szCs w:val="24"/>
          <w:lang w:val="ru-RU"/>
        </w:rPr>
        <w:t>качеству продукции</w:t>
      </w:r>
      <w:bookmarkEnd w:id="46"/>
    </w:p>
    <w:p>
      <w:pPr>
        <w:pStyle w:val="Heading1"/>
        <w:keepNext w:val="true"/>
        <w:keepLines/>
        <w:widowControl/>
        <w:tabs>
          <w:tab w:val="clear" w:pos="0"/>
        </w:tabs>
        <w:suppressAutoHyphens w:val="true"/>
        <w:bidi w:val="0"/>
        <w:spacing w:before="240" w:after="60"/>
        <w:ind w:hanging="0" w:left="0" w:right="0"/>
        <w:jc w:val="left"/>
        <w:rPr>
          <w:sz w:val="24"/>
          <w:szCs w:val="24"/>
        </w:rPr>
      </w:pPr>
      <w:bookmarkStart w:id="48" w:name="__RefHeading___Toc7987_1636178337"/>
      <w:bookmarkEnd w:id="48"/>
      <w:r>
        <w:rPr>
          <w:sz w:val="24"/>
          <w:szCs w:val="24"/>
        </w:rPr>
        <w:t xml:space="preserve"> </w:t>
      </w:r>
      <w:bookmarkStart w:id="49" w:name="_Toc19086683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49"/>
      <w:r>
        <w:rPr>
          <w:sz w:val="24"/>
          <w:szCs w:val="24"/>
        </w:rPr>
        <w:t xml:space="preserve"> </w:t>
      </w:r>
      <w:bookmarkEnd w:id="45"/>
    </w:p>
    <w:p>
      <w:pPr>
        <w:pStyle w:val="Heading1"/>
        <w:tabs>
          <w:tab w:val="clear" w:pos="0"/>
        </w:tabs>
        <w:ind w:hanging="0" w:left="0"/>
        <w:rPr/>
      </w:pPr>
      <w:bookmarkStart w:id="50" w:name="__RefHeading___Toc7989_1636178337"/>
      <w:bookmarkEnd w:id="50"/>
      <w:r>
        <w:rPr>
          <w:b/>
          <w:bCs/>
          <w:sz w:val="24"/>
          <w:szCs w:val="24"/>
          <w:shd w:fill="auto" w:val="clear"/>
          <w:lang w:val="ru-RU"/>
        </w:rPr>
        <w:t xml:space="preserve">Наименование </w:t>
      </w:r>
      <w:r>
        <w:rPr>
          <w:b/>
          <w:bCs/>
          <w:sz w:val="24"/>
          <w:szCs w:val="24"/>
          <w:shd w:fill="auto" w:val="clear"/>
          <w:lang w:val="ru-RU"/>
        </w:rPr>
        <w:t xml:space="preserve">продукции </w:t>
      </w:r>
      <w:r>
        <w:rPr>
          <w:b/>
          <w:bCs/>
          <w:sz w:val="24"/>
          <w:szCs w:val="24"/>
          <w:shd w:fill="auto" w:val="clear"/>
          <w:lang w:val="ru-RU"/>
        </w:rPr>
        <w:t xml:space="preserve">(позиция </w:t>
      </w:r>
      <w:r>
        <w:rPr>
          <w:rFonts w:eastAsia="Calibri" w:cs="Times New Roman"/>
          <w:b/>
          <w:bCs/>
          <w:color w:val="000000"/>
          <w:kern w:val="0"/>
          <w:sz w:val="24"/>
          <w:szCs w:val="24"/>
          <w:shd w:fill="auto" w:val="clear"/>
          <w:lang w:val="ru-RU" w:eastAsia="x-none" w:bidi="ar-SA"/>
        </w:rPr>
        <w:t>№ 1-2</w:t>
      </w:r>
      <w:r>
        <w:rPr>
          <w:rStyle w:val="Style8"/>
          <w:rFonts w:eastAsia="Calibri" w:cs="Times New Roman"/>
          <w:b/>
          <w:bCs/>
          <w:color w:val="000000"/>
          <w:kern w:val="0"/>
          <w:sz w:val="24"/>
          <w:szCs w:val="24"/>
          <w:shd w:fill="auto" w:val="clear"/>
          <w:lang w:val="ru-RU" w:eastAsia="x-none" w:bidi="ar-SA"/>
        </w:rPr>
        <w:t xml:space="preserve"> </w:t>
      </w:r>
      <w:r>
        <w:rPr>
          <w:rFonts w:eastAsia="Calibri" w:cs="Times New Roman"/>
          <w:b/>
          <w:bCs/>
          <w:color w:val="000000"/>
          <w:kern w:val="0"/>
          <w:sz w:val="24"/>
          <w:szCs w:val="24"/>
          <w:shd w:fill="auto" w:val="clear"/>
          <w:lang w:val="ru-RU" w:eastAsia="x-none" w:bidi="ar-SA"/>
        </w:rPr>
        <w:t>Таб</w:t>
      </w:r>
      <w:r>
        <w:rPr>
          <w:b/>
          <w:bCs/>
          <w:sz w:val="24"/>
          <w:szCs w:val="24"/>
          <w:shd w:fill="auto" w:val="clear"/>
          <w:lang w:val="ru-RU"/>
        </w:rPr>
        <w:t>л</w:t>
      </w:r>
      <w:r>
        <w:rPr>
          <w:b/>
          <w:bCs/>
          <w:sz w:val="24"/>
          <w:szCs w:val="24"/>
          <w:lang w:val="ru-RU"/>
        </w:rPr>
        <w:t xml:space="preserve">ицы 1.): 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val="ru-RU"/>
        </w:rPr>
        <w:t>ОКПД2 22.11.13.110  Поставка шин для автобусов и самосвалов  для нужд Загорского строительного участка Центрального филиала АО "ТК РусГидро"</w:t>
      </w:r>
    </w:p>
    <w:tbl>
      <w:tblPr>
        <w:tblStyle w:val="affff8"/>
        <w:tblW w:w="10260" w:type="dxa"/>
        <w:jc w:val="left"/>
        <w:tblInd w:w="-16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2142"/>
        <w:gridCol w:w="118"/>
        <w:gridCol w:w="3127"/>
        <w:gridCol w:w="1640"/>
        <w:gridCol w:w="1300"/>
        <w:gridCol w:w="1364"/>
      </w:tblGrid>
      <w:tr>
        <w:trPr/>
        <w:tc>
          <w:tcPr>
            <w:tcW w:w="56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0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294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3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0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6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3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6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3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8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6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8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2260" w:type="dxa"/>
            <w:gridSpan w:val="2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</w:t>
            </w:r>
          </w:p>
        </w:tc>
        <w:tc>
          <w:tcPr>
            <w:tcW w:w="3127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Характеристика</w:t>
            </w:r>
          </w:p>
        </w:tc>
        <w:tc>
          <w:tcPr>
            <w:tcW w:w="16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60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Автомобильная грузовая шина  R20 8.25/ 130/128K TT 12PR универсальная с камерой и ободной лентой,  всесезонная.</w:t>
            </w:r>
          </w:p>
        </w:tc>
        <w:tc>
          <w:tcPr>
            <w:tcW w:w="31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шины: Грузовая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Исполнение: TTF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Сезонность: всесезонная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Типоразмер:  8.25 R20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Индекс скорости: не менее 128/К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Индекс нагрузки: не менее 130</w:t>
              <w:br/>
              <w:t xml:space="preserve">Слойность: не менее 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>12PR</w:t>
            </w:r>
          </w:p>
        </w:tc>
        <w:tc>
          <w:tcPr>
            <w:tcW w:w="16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3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36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0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Автомобильная грузовая карьерная шина 315/80 R22,5</w:t>
            </w:r>
          </w:p>
        </w:tc>
        <w:tc>
          <w:tcPr>
            <w:tcW w:w="31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шины: Грузовая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Исполнение: бескамерная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Сезонность: всесезонная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Типоразмер: 315/80 R22,5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Индекс скорости: не менее 152/L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Индекс нагрузки: не менее 156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Слойность: не менее  20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>PR</w:t>
            </w:r>
          </w:p>
        </w:tc>
        <w:tc>
          <w:tcPr>
            <w:tcW w:w="164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30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364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387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6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6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387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службы шин в соответствии ГОСТ Р 52899 – 2007 «Шины пневматические для грузовых механических транспортных средств и прицепов. Технические условия» должен составлять не менее 5 лет с даты изготовления, с учетом пунктов 10.1 вышеуказанных стандартов</w:t>
            </w:r>
          </w:p>
        </w:tc>
        <w:tc>
          <w:tcPr>
            <w:tcW w:w="16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30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36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387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6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6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21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324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 качества, товарно-транспортная накладная</w:t>
            </w:r>
          </w:p>
        </w:tc>
        <w:tc>
          <w:tcPr>
            <w:tcW w:w="16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30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36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numPr>
          <w:ilvl w:val="0"/>
          <w:numId w:val="3"/>
        </w:numPr>
        <w:ind w:hanging="426" w:left="426"/>
        <w:rPr>
          <w:sz w:val="24"/>
          <w:szCs w:val="24"/>
        </w:rPr>
      </w:pPr>
      <w:bookmarkStart w:id="51" w:name="__RefHeading___Toc7991_1636178337"/>
      <w:bookmarkStart w:id="52" w:name="_Toc190866831"/>
      <w:bookmarkEnd w:id="51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52"/>
    </w:p>
    <w:p>
      <w:pPr>
        <w:pStyle w:val="Heading4"/>
        <w:ind w:hanging="0" w:left="0"/>
        <w:jc w:val="both"/>
        <w:rPr>
          <w:sz w:val="24"/>
          <w:szCs w:val="24"/>
        </w:rPr>
      </w:pPr>
      <w:bookmarkStart w:id="53" w:name="__RefHeading___Toc7993_1636178337"/>
      <w:bookmarkEnd w:id="53"/>
      <w:r>
        <w:rPr>
          <w:b w:val="false"/>
          <w:sz w:val="24"/>
          <w:szCs w:val="24"/>
        </w:rPr>
        <w:t xml:space="preserve">   </w:t>
      </w:r>
      <w:r>
        <w:rPr>
          <w:b w:val="false"/>
          <w:sz w:val="24"/>
          <w:szCs w:val="24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ind w:hanging="0" w:left="0"/>
        <w:jc w:val="both"/>
        <w:rPr>
          <w:sz w:val="24"/>
          <w:szCs w:val="24"/>
        </w:rPr>
      </w:pPr>
      <w:r>
        <w:rPr>
          <w:b w:val="false"/>
          <w:sz w:val="24"/>
          <w:szCs w:val="24"/>
        </w:rPr>
        <w:t xml:space="preserve">      </w:t>
      </w:r>
      <w:r>
        <w:rPr>
          <w:rFonts w:eastAsia="Calibri" w:cs="Times New Roman"/>
          <w:b w:val="false"/>
          <w:bCs/>
          <w:color w:val="auto"/>
          <w:kern w:val="0"/>
          <w:sz w:val="24"/>
          <w:szCs w:val="24"/>
          <w:lang w:val="x-none" w:eastAsia="x-none" w:bidi="ar-SA"/>
        </w:rPr>
        <w:t xml:space="preserve">  </w:t>
      </w:r>
      <w:r>
        <w:rPr>
          <w:rFonts w:eastAsia="Calibri" w:cs="Times New Roman"/>
          <w:b w:val="false"/>
          <w:bCs/>
          <w:color w:val="auto"/>
          <w:kern w:val="0"/>
          <w:sz w:val="24"/>
          <w:szCs w:val="24"/>
          <w:lang w:val="x-none" w:eastAsia="x-none" w:bidi="ar-SA"/>
        </w:rPr>
        <w:t>3.2. Дополнительные документы по ценообразованию в состав заявки не включаются.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clear" w:pos="708"/>
          <w:tab w:val="left" w:pos="6660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82578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82578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2e318d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" w:customStyle="1">
    <w:name w:val="caption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c82578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8D5D6-4E4E-401A-9660-D62630505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2780</TotalTime>
  <Application>AlterOffice/2026.2.0.0$Linux_X86_64 LibreOffice_project/bc4ef1adf80b36c7a6365f8ed6cbf29021361edd</Application>
  <AppVersion>15.0000</AppVersion>
  <Pages>6</Pages>
  <Words>982</Words>
  <Characters>6570</Characters>
  <CharactersWithSpaces>7425</CharactersWithSpaces>
  <Paragraphs>159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2024-08-06T06:52:00Z</dcterms:created>
  <dc:creator>Быстров Олег Геннадьевич</dc:creator>
  <dc:description/>
  <dc:language>ru-RU</dc:language>
  <cp:lastModifiedBy>netysaa@corp.gidroogk.com</cp:lastModifiedBy>
  <cp:lastPrinted>2025-01-28T10:13:00Z</cp:lastPrinted>
  <dcterms:modified xsi:type="dcterms:W3CDTF">2026-10-15T11:43:12Z</dcterms:modified>
  <cp:revision>217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