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tabs>
          <w:tab w:val="clear" w:pos="708"/>
          <w:tab w:val="left" w:pos="6926" w:leader="none"/>
        </w:tabs>
        <w:ind w:firstLine="709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«УТВЕРЖДАЮ»</w:t>
      </w:r>
    </w:p>
    <w:p>
      <w:pPr>
        <w:pStyle w:val="Normal"/>
        <w:shd w:val="clear" w:color="auto" w:fill="FFFFFF"/>
        <w:tabs>
          <w:tab w:val="clear" w:pos="708"/>
          <w:tab w:val="left" w:pos="6926" w:leader="none"/>
        </w:tabs>
        <w:ind w:firstLine="709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Директор Центрального филиала </w:t>
      </w:r>
    </w:p>
    <w:p>
      <w:pPr>
        <w:pStyle w:val="Normal"/>
        <w:shd w:val="clear" w:color="auto" w:fill="FFFFFF"/>
        <w:tabs>
          <w:tab w:val="clear" w:pos="708"/>
          <w:tab w:val="left" w:pos="6926" w:leader="none"/>
        </w:tabs>
        <w:ind w:firstLine="709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АО «ТК РусГидро»</w:t>
      </w:r>
    </w:p>
    <w:p>
      <w:pPr>
        <w:pStyle w:val="Normal"/>
        <w:shd w:val="clear" w:color="auto" w:fill="FFFFFF"/>
        <w:tabs>
          <w:tab w:val="clear" w:pos="708"/>
          <w:tab w:val="left" w:pos="6926" w:leader="none"/>
        </w:tabs>
        <w:ind w:firstLine="709"/>
        <w:jc w:val="right"/>
        <w:rPr>
          <w:bCs/>
          <w:sz w:val="22"/>
          <w:szCs w:val="22"/>
        </w:rPr>
      </w:pPr>
      <w:r>
        <w:rPr>
          <w:bCs/>
          <w:sz w:val="24"/>
          <w:szCs w:val="24"/>
        </w:rPr>
        <w:t xml:space="preserve">____________ Нешев М.В.    </w:t>
      </w:r>
      <w:r>
        <w:rPr>
          <w:bCs/>
          <w:sz w:val="22"/>
          <w:szCs w:val="22"/>
        </w:rPr>
        <w:t xml:space="preserve">                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ОКПД2 </w:t>
      </w:r>
      <w:r>
        <w:rPr>
          <w:rFonts w:eastAsia="Calibri" w:ascii="Times New Roman;serif" w:hAnsi="Times New Roman;serif"/>
          <w:sz w:val="24"/>
          <w:szCs w:val="24"/>
        </w:rPr>
        <w:t xml:space="preserve">29.32.30.390 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 w:ascii="Times New Roman;serif" w:hAnsi="Times New Roman;serif"/>
        </w:rPr>
        <w:t>Поставка запасных частей для нужд Московского представительства Центрального филиала АО "ТК РусГидро"</w:t>
      </w:r>
      <w:r>
        <w:rPr>
          <w:rFonts w:eastAsia="Calibri" w:ascii="Times New Roman;serif" w:hAnsi="Times New Roman;serif"/>
          <w:sz w:val="24"/>
          <w:szCs w:val="24"/>
        </w:rPr>
        <w:t xml:space="preserve"> </w:t>
      </w:r>
      <w:r>
        <w:rPr>
          <w:rFonts w:eastAsia="Calibri" w:ascii="Times New Roman;serif" w:hAnsi="Times New Roman;serif"/>
        </w:rPr>
        <w:t>с использованием интернет-площадок с публичными расценками</w:t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sz w:val="24"/>
          <w:szCs w:val="24"/>
        </w:rPr>
        <w:t>ЛОТ № 7039-ЭКСП ПРОД-2027-ТК_Центр_фил</w:t>
      </w:r>
      <w:bookmarkStart w:id="0" w:name="_GoBack"/>
      <w:bookmarkEnd w:id="0"/>
    </w:p>
    <w:p>
      <w:pPr>
        <w:pStyle w:val="Normal"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tabs>
          <w:tab w:val="clear" w:pos="708"/>
          <w:tab w:val="left" w:pos="560" w:leader="none"/>
          <w:tab w:val="right" w:pos="9911" w:leader="dot"/>
        </w:tabs>
        <w:suppressAutoHyphens w:val="false"/>
        <w:spacing w:before="120" w:after="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hyperlink w:anchor="_Toc128681773">
        <w:r>
          <w:rPr>
            <w:rFonts w:cs="Calibri Light (Заголовки)"/>
            <w:b/>
            <w:bCs/>
            <w:sz w:val="24"/>
            <w:szCs w:val="24"/>
          </w:rPr>
          <w:t>1.</w:t>
        </w:r>
        <w:r>
          <w:rPr>
            <w:rFonts w:eastAsia="" w:cs="" w:ascii="Calibri" w:hAnsi="Calibri" w:asciiTheme="minorHAnsi" w:cstheme="minorBidi" w:eastAsiaTheme="minorEastAsia" w:hAnsiTheme="minorHAnsi"/>
            <w:sz w:val="22"/>
            <w:szCs w:val="22"/>
          </w:rPr>
          <w:tab/>
        </w:r>
        <w:r>
          <w:rPr>
            <w:rFonts w:cs="Calibri Light (Заголовки)"/>
            <w:b/>
            <w:bCs/>
            <w:sz w:val="24"/>
            <w:szCs w:val="24"/>
          </w:rPr>
          <w:t>Общие сведения</w:t>
        </w:r>
        <w:r>
          <w:rPr>
            <w:rFonts w:cs="Calibri Light (Заголовки)"/>
            <w:b/>
            <w:bCs/>
            <w:vanish/>
            <w:sz w:val="24"/>
            <w:szCs w:val="24"/>
          </w:rPr>
          <w:tab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_Toc128681773 \h</w:instrText>
        </w:r>
        <w:r>
          <w:rPr>
            <w:webHidden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  <w:fldChar w:fldCharType="begin"/>
        </w:r>
        <w:r>
          <w:rPr>
            <w:webHidden/>
          </w:rPr>
          <w:fldChar w:fldCharType="end"/>
        </w:r>
        <w:r>
          <w:rPr>
            <w:sz w:val="24"/>
            <w:b/>
            <w:szCs w:val="24"/>
            <w:bCs/>
            <w:vanish/>
            <w:rFonts w:cs="Calibri Light (Заголовки)"/>
          </w:rPr>
          <w:instrText xml:space="preserve"> PAGEREF _Toc128681773 \h </w:instrText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sz w:val="24"/>
            <w:b/>
            <w:szCs w:val="24"/>
            <w:bCs/>
            <w:vanish/>
            <w:rFonts w:cs="Calibri Light (Заголовки)"/>
          </w:rPr>
          <w:t>3</w:t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</w:hyperlink>
    </w:p>
    <w:p>
      <w:pPr>
        <w:pStyle w:val="Normal"/>
        <w:tabs>
          <w:tab w:val="clear" w:pos="708"/>
          <w:tab w:val="left" w:pos="1120" w:leader="none"/>
          <w:tab w:val="right" w:pos="9911" w:leader="dot"/>
        </w:tabs>
        <w:suppressAutoHyphens w:val="false"/>
        <w:ind w:left="56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hyperlink w:anchor="_Toc128681774">
        <w:r>
          <w:rPr>
            <w:rFonts w:cs="Calibri" w:cstheme="minorHAnsi"/>
            <w:iCs/>
            <w:sz w:val="20"/>
            <w:szCs w:val="20"/>
          </w:rPr>
          <w:t>1.1.</w:t>
        </w:r>
        <w:r>
          <w:rPr>
            <w:rFonts w:eastAsia="" w:cs="" w:ascii="Calibri" w:hAnsi="Calibri" w:asciiTheme="minorHAnsi" w:cstheme="minorBidi" w:eastAsiaTheme="minorEastAsia" w:hAnsiTheme="minorHAnsi"/>
            <w:sz w:val="22"/>
            <w:szCs w:val="22"/>
          </w:rPr>
          <w:tab/>
        </w:r>
        <w:r>
          <w:rPr>
            <w:rFonts w:cs="Calibri" w:cstheme="minorHAnsi"/>
            <w:sz w:val="20"/>
            <w:szCs w:val="20"/>
          </w:rPr>
          <w:t>Обозначения и сокращения</w:t>
        </w:r>
        <w:r>
          <w:rPr>
            <w:rFonts w:cs="Calibri" w:cstheme="minorHAnsi"/>
            <w:vanish/>
            <w:sz w:val="20"/>
            <w:szCs w:val="20"/>
          </w:rPr>
          <w:tab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_Toc128681774 \h</w:instrText>
        </w:r>
        <w:r>
          <w:rPr>
            <w:webHidden/>
          </w:rPr>
          <w:fldChar w:fldCharType="separate"/>
        </w:r>
        <w:r>
          <w:rPr>
            <w:rFonts w:cs="Calibri"/>
            <w:vanish/>
            <w:sz w:val="20"/>
            <w:szCs w:val="20"/>
          </w:rPr>
          <w:fldChar w:fldCharType="begin"/>
        </w:r>
        <w:r>
          <w:rPr>
            <w:webHidden/>
          </w:rPr>
          <w:fldChar w:fldCharType="end"/>
        </w:r>
        <w:r>
          <w:rPr>
            <w:sz w:val="20"/>
            <w:szCs w:val="20"/>
            <w:vanish/>
            <w:rFonts w:cs="Calibri"/>
          </w:rPr>
          <w:instrText xml:space="preserve"> PAGEREF _Toc128681774 \h </w:instrText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sz w:val="20"/>
            <w:szCs w:val="20"/>
            <w:vanish/>
            <w:rFonts w:cs="Calibri"/>
          </w:rPr>
          <w:t>3</w:t>
        </w:r>
        <w:r>
          <w:rPr>
            <w:sz w:val="20"/>
            <w:szCs w:val="20"/>
            <w:vanish/>
            <w:rFonts w:cs="Calibri"/>
          </w:rPr>
          <w:fldChar w:fldCharType="end"/>
        </w:r>
      </w:hyperlink>
    </w:p>
    <w:p>
      <w:pPr>
        <w:pStyle w:val="Normal"/>
        <w:tabs>
          <w:tab w:val="clear" w:pos="708"/>
          <w:tab w:val="left" w:pos="1120" w:leader="none"/>
          <w:tab w:val="right" w:pos="9911" w:leader="dot"/>
        </w:tabs>
        <w:suppressAutoHyphens w:val="false"/>
        <w:ind w:left="56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hyperlink w:anchor="_Toc128681775">
        <w:r>
          <w:rPr>
            <w:rFonts w:cs="Calibri" w:cstheme="minorHAnsi"/>
            <w:iCs/>
            <w:sz w:val="20"/>
            <w:szCs w:val="20"/>
          </w:rPr>
          <w:t>1.2.</w:t>
        </w:r>
        <w:r>
          <w:rPr>
            <w:rFonts w:eastAsia="" w:cs="" w:ascii="Calibri" w:hAnsi="Calibri" w:asciiTheme="minorHAnsi" w:cstheme="minorBidi" w:eastAsiaTheme="minorEastAsia" w:hAnsiTheme="minorHAnsi"/>
            <w:sz w:val="22"/>
            <w:szCs w:val="22"/>
          </w:rPr>
          <w:tab/>
        </w:r>
        <w:r>
          <w:rPr>
            <w:rFonts w:cs="Calibri" w:cstheme="minorHAnsi"/>
            <w:sz w:val="20"/>
            <w:szCs w:val="20"/>
          </w:rPr>
          <w:t>Наименование закупаемой продукции</w:t>
        </w:r>
        <w:r>
          <w:rPr>
            <w:rFonts w:cs="Calibri" w:cstheme="minorHAnsi"/>
            <w:vanish/>
            <w:sz w:val="20"/>
            <w:szCs w:val="20"/>
          </w:rPr>
          <w:tab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_Toc128681775 \h</w:instrText>
        </w:r>
        <w:r>
          <w:rPr>
            <w:webHidden/>
          </w:rPr>
          <w:fldChar w:fldCharType="separate"/>
        </w:r>
        <w:r>
          <w:rPr>
            <w:rFonts w:cs="Calibri"/>
            <w:vanish/>
            <w:sz w:val="20"/>
            <w:szCs w:val="20"/>
          </w:rPr>
          <w:fldChar w:fldCharType="begin"/>
        </w:r>
        <w:r>
          <w:rPr>
            <w:webHidden/>
          </w:rPr>
          <w:fldChar w:fldCharType="end"/>
        </w:r>
        <w:r>
          <w:rPr>
            <w:sz w:val="20"/>
            <w:szCs w:val="20"/>
            <w:vanish/>
            <w:rFonts w:cs="Calibri"/>
          </w:rPr>
          <w:instrText xml:space="preserve"> PAGEREF _Toc128681775 \h </w:instrText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sz w:val="20"/>
            <w:szCs w:val="20"/>
            <w:vanish/>
            <w:rFonts w:cs="Calibri"/>
          </w:rPr>
          <w:t>3</w:t>
        </w:r>
        <w:r>
          <w:rPr>
            <w:sz w:val="20"/>
            <w:szCs w:val="20"/>
            <w:vanish/>
            <w:rFonts w:cs="Calibri"/>
          </w:rPr>
          <w:fldChar w:fldCharType="end"/>
        </w:r>
      </w:hyperlink>
    </w:p>
    <w:p>
      <w:pPr>
        <w:pStyle w:val="Normal"/>
        <w:tabs>
          <w:tab w:val="clear" w:pos="708"/>
          <w:tab w:val="left" w:pos="1120" w:leader="none"/>
          <w:tab w:val="right" w:pos="9911" w:leader="dot"/>
        </w:tabs>
        <w:suppressAutoHyphens w:val="false"/>
        <w:ind w:left="56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hyperlink w:anchor="_Toc128681776">
        <w:r>
          <w:rPr>
            <w:rFonts w:cs="Calibri" w:cstheme="minorHAnsi"/>
            <w:iCs/>
            <w:sz w:val="20"/>
            <w:szCs w:val="20"/>
          </w:rPr>
          <w:t>1.3.</w:t>
        </w:r>
        <w:r>
          <w:rPr>
            <w:rFonts w:eastAsia="" w:cs="" w:ascii="Calibri" w:hAnsi="Calibri" w:asciiTheme="minorHAnsi" w:cstheme="minorBidi" w:eastAsiaTheme="minorEastAsia" w:hAnsiTheme="minorHAnsi"/>
            <w:sz w:val="22"/>
            <w:szCs w:val="22"/>
          </w:rPr>
          <w:tab/>
        </w:r>
        <w:r>
          <w:rPr>
            <w:rFonts w:cs="Calibri" w:cstheme="minorHAnsi"/>
            <w:sz w:val="20"/>
            <w:szCs w:val="20"/>
          </w:rPr>
          <w:t>Цель использования закупаемой продукции</w:t>
        </w:r>
        <w:r>
          <w:rPr>
            <w:rFonts w:cs="Calibri" w:cstheme="minorHAnsi"/>
            <w:vanish/>
            <w:sz w:val="20"/>
            <w:szCs w:val="20"/>
          </w:rPr>
          <w:tab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_Toc128681776 \h</w:instrText>
        </w:r>
        <w:r>
          <w:rPr>
            <w:webHidden/>
          </w:rPr>
          <w:fldChar w:fldCharType="separate"/>
        </w:r>
        <w:r>
          <w:rPr>
            <w:rFonts w:cs="Calibri"/>
            <w:vanish/>
            <w:sz w:val="20"/>
            <w:szCs w:val="20"/>
          </w:rPr>
          <w:fldChar w:fldCharType="begin"/>
        </w:r>
        <w:r>
          <w:rPr>
            <w:webHidden/>
          </w:rPr>
          <w:fldChar w:fldCharType="end"/>
        </w:r>
        <w:r>
          <w:rPr>
            <w:sz w:val="20"/>
            <w:szCs w:val="20"/>
            <w:vanish/>
            <w:rFonts w:cs="Calibri"/>
          </w:rPr>
          <w:instrText xml:space="preserve"> PAGEREF _Toc128681776 \h </w:instrText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sz w:val="20"/>
            <w:szCs w:val="20"/>
            <w:vanish/>
            <w:rFonts w:cs="Calibri"/>
          </w:rPr>
          <w:t>3</w:t>
        </w:r>
        <w:r>
          <w:rPr>
            <w:sz w:val="20"/>
            <w:szCs w:val="20"/>
            <w:vanish/>
            <w:rFonts w:cs="Calibri"/>
          </w:rPr>
          <w:fldChar w:fldCharType="end"/>
        </w:r>
      </w:hyperlink>
    </w:p>
    <w:p>
      <w:pPr>
        <w:pStyle w:val="Normal"/>
        <w:tabs>
          <w:tab w:val="clear" w:pos="708"/>
          <w:tab w:val="left" w:pos="1120" w:leader="none"/>
          <w:tab w:val="right" w:pos="9911" w:leader="dot"/>
        </w:tabs>
        <w:suppressAutoHyphens w:val="false"/>
        <w:ind w:left="56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hyperlink w:anchor="_Toc128681777">
        <w:r>
          <w:rPr>
            <w:rFonts w:cs="Calibri" w:cstheme="minorHAnsi"/>
            <w:iCs/>
            <w:sz w:val="20"/>
            <w:szCs w:val="20"/>
          </w:rPr>
          <w:t>1.4.</w:t>
        </w:r>
        <w:r>
          <w:rPr>
            <w:rFonts w:eastAsia="" w:cs="" w:ascii="Calibri" w:hAnsi="Calibri" w:asciiTheme="minorHAnsi" w:cstheme="minorBidi" w:eastAsiaTheme="minorEastAsia" w:hAnsiTheme="minorHAnsi"/>
            <w:sz w:val="22"/>
            <w:szCs w:val="22"/>
          </w:rPr>
          <w:tab/>
        </w:r>
        <w:r>
          <w:rPr>
            <w:rFonts w:cs="Calibri" w:cstheme="minorHAnsi"/>
            <w:sz w:val="20"/>
            <w:szCs w:val="20"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>
          <w:rPr>
            <w:rFonts w:cs="Calibri" w:cstheme="minorHAnsi"/>
            <w:vanish/>
            <w:sz w:val="20"/>
            <w:szCs w:val="20"/>
          </w:rPr>
          <w:tab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_Toc128681777 \h</w:instrText>
        </w:r>
        <w:r>
          <w:rPr>
            <w:webHidden/>
          </w:rPr>
          <w:fldChar w:fldCharType="separate"/>
        </w:r>
        <w:r>
          <w:rPr>
            <w:rFonts w:cs="Calibri"/>
            <w:vanish/>
            <w:sz w:val="20"/>
            <w:szCs w:val="20"/>
          </w:rPr>
          <w:fldChar w:fldCharType="begin"/>
        </w:r>
        <w:r>
          <w:rPr>
            <w:webHidden/>
          </w:rPr>
          <w:fldChar w:fldCharType="end"/>
        </w:r>
        <w:r>
          <w:rPr>
            <w:sz w:val="20"/>
            <w:szCs w:val="20"/>
            <w:vanish/>
            <w:rFonts w:cs="Calibri"/>
          </w:rPr>
          <w:instrText xml:space="preserve"> PAGEREF _Toc128681777 \h </w:instrText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sz w:val="20"/>
            <w:szCs w:val="20"/>
            <w:vanish/>
            <w:rFonts w:cs="Calibri"/>
          </w:rPr>
          <w:t>3</w:t>
        </w:r>
        <w:r>
          <w:rPr>
            <w:sz w:val="20"/>
            <w:szCs w:val="20"/>
            <w:vanish/>
            <w:rFonts w:cs="Calibri"/>
          </w:rPr>
          <w:fldChar w:fldCharType="end"/>
        </w:r>
      </w:hyperlink>
    </w:p>
    <w:p>
      <w:pPr>
        <w:pStyle w:val="Normal"/>
        <w:tabs>
          <w:tab w:val="clear" w:pos="708"/>
          <w:tab w:val="left" w:pos="1120" w:leader="none"/>
          <w:tab w:val="right" w:pos="9911" w:leader="dot"/>
        </w:tabs>
        <w:suppressAutoHyphens w:val="false"/>
        <w:ind w:left="56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hyperlink w:anchor="_Toc128681778">
        <w:r>
          <w:rPr>
            <w:rFonts w:cs="Calibri" w:cstheme="minorHAnsi"/>
            <w:iCs/>
            <w:sz w:val="20"/>
            <w:szCs w:val="20"/>
          </w:rPr>
          <w:t>1.5.</w:t>
        </w:r>
        <w:r>
          <w:rPr>
            <w:rFonts w:eastAsia="" w:cs="" w:ascii="Calibri" w:hAnsi="Calibri" w:asciiTheme="minorHAnsi" w:cstheme="minorBidi" w:eastAsiaTheme="minorEastAsia" w:hAnsiTheme="minorHAnsi"/>
            <w:sz w:val="22"/>
            <w:szCs w:val="22"/>
          </w:rPr>
          <w:tab/>
        </w:r>
        <w:r>
          <w:rPr>
            <w:rFonts w:cs="Calibri" w:cstheme="minorHAnsi"/>
            <w:sz w:val="20"/>
            <w:szCs w:val="20"/>
          </w:rPr>
          <w:t>Иные требования и сведения общего характера</w:t>
        </w:r>
        <w:r>
          <w:rPr>
            <w:rFonts w:cs="Calibri" w:cstheme="minorHAnsi"/>
            <w:vanish/>
            <w:sz w:val="20"/>
            <w:szCs w:val="20"/>
          </w:rPr>
          <w:tab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_Toc128681778 \h</w:instrText>
        </w:r>
        <w:r>
          <w:rPr>
            <w:webHidden/>
          </w:rPr>
          <w:fldChar w:fldCharType="separate"/>
        </w:r>
        <w:r>
          <w:rPr>
            <w:rFonts w:cs="Calibri"/>
            <w:vanish/>
            <w:sz w:val="20"/>
            <w:szCs w:val="20"/>
          </w:rPr>
          <w:fldChar w:fldCharType="begin"/>
        </w:r>
        <w:r>
          <w:rPr>
            <w:webHidden/>
          </w:rPr>
          <w:fldChar w:fldCharType="end"/>
        </w:r>
        <w:r>
          <w:rPr>
            <w:sz w:val="20"/>
            <w:szCs w:val="20"/>
            <w:vanish/>
            <w:rFonts w:cs="Calibri"/>
          </w:rPr>
          <w:instrText xml:space="preserve"> PAGEREF _Toc128681778 \h </w:instrText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sz w:val="20"/>
            <w:szCs w:val="20"/>
            <w:vanish/>
            <w:rFonts w:cs="Calibri"/>
          </w:rPr>
          <w:t>3</w:t>
        </w:r>
        <w:r>
          <w:rPr>
            <w:sz w:val="20"/>
            <w:szCs w:val="20"/>
            <w:vanish/>
            <w:rFonts w:cs="Calibri"/>
          </w:rPr>
          <w:fldChar w:fldCharType="end"/>
        </w:r>
      </w:hyperlink>
    </w:p>
    <w:p>
      <w:pPr>
        <w:pStyle w:val="Normal"/>
        <w:tabs>
          <w:tab w:val="clear" w:pos="708"/>
          <w:tab w:val="left" w:pos="560" w:leader="none"/>
          <w:tab w:val="right" w:pos="9911" w:leader="dot"/>
        </w:tabs>
        <w:suppressAutoHyphens w:val="false"/>
        <w:spacing w:before="120" w:after="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hyperlink w:anchor="_Toc128681779">
        <w:r>
          <w:rPr>
            <w:rFonts w:cs="Calibri Light (Заголовки)"/>
            <w:b/>
            <w:bCs/>
            <w:sz w:val="24"/>
            <w:szCs w:val="24"/>
          </w:rPr>
          <w:t>2.</w:t>
        </w:r>
        <w:r>
          <w:rPr>
            <w:rFonts w:eastAsia="" w:cs="" w:ascii="Calibri" w:hAnsi="Calibri" w:asciiTheme="minorHAnsi" w:cstheme="minorBidi" w:eastAsiaTheme="minorEastAsia" w:hAnsiTheme="minorHAnsi"/>
            <w:sz w:val="22"/>
            <w:szCs w:val="22"/>
          </w:rPr>
          <w:tab/>
        </w:r>
        <w:r>
          <w:rPr>
            <w:rFonts w:cs="Calibri Light (Заголовки)"/>
            <w:b/>
            <w:bCs/>
            <w:iCs/>
            <w:sz w:val="24"/>
            <w:szCs w:val="24"/>
          </w:rPr>
          <w:t>Требования к продукции</w:t>
        </w:r>
        <w:r>
          <w:rPr>
            <w:rFonts w:cs="Calibri Light (Заголовки)"/>
            <w:b/>
            <w:bCs/>
            <w:vanish/>
            <w:sz w:val="24"/>
            <w:szCs w:val="24"/>
          </w:rPr>
          <w:tab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_Toc128681779 \h</w:instrText>
        </w:r>
        <w:r>
          <w:rPr>
            <w:webHidden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  <w:fldChar w:fldCharType="begin"/>
        </w:r>
        <w:r>
          <w:rPr>
            <w:webHidden/>
          </w:rPr>
          <w:fldChar w:fldCharType="end"/>
        </w:r>
        <w:r>
          <w:rPr>
            <w:sz w:val="24"/>
            <w:b/>
            <w:szCs w:val="24"/>
            <w:bCs/>
            <w:vanish/>
            <w:rFonts w:cs="Calibri Light (Заголовки)"/>
          </w:rPr>
          <w:instrText xml:space="preserve"> PAGEREF _Toc128681779 \h </w:instrText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sz w:val="24"/>
            <w:b/>
            <w:szCs w:val="24"/>
            <w:bCs/>
            <w:vanish/>
            <w:rFonts w:cs="Calibri Light (Заголовки)"/>
          </w:rPr>
          <w:t>4</w:t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</w:hyperlink>
    </w:p>
    <w:p>
      <w:pPr>
        <w:pStyle w:val="Normal"/>
        <w:tabs>
          <w:tab w:val="clear" w:pos="708"/>
          <w:tab w:val="left" w:pos="1120" w:leader="none"/>
          <w:tab w:val="right" w:pos="9911" w:leader="dot"/>
        </w:tabs>
        <w:suppressAutoHyphens w:val="false"/>
        <w:ind w:left="56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hyperlink w:anchor="_Toc128681780">
        <w:r>
          <w:rPr>
            <w:rFonts w:cs="Calibri" w:cstheme="minorHAnsi"/>
            <w:iCs/>
            <w:sz w:val="20"/>
            <w:szCs w:val="20"/>
          </w:rPr>
          <w:t>2.1.</w:t>
        </w:r>
        <w:r>
          <w:rPr>
            <w:rFonts w:eastAsia="" w:cs="" w:ascii="Calibri" w:hAnsi="Calibri" w:asciiTheme="minorHAnsi" w:cstheme="minorBidi" w:eastAsiaTheme="minorEastAsia" w:hAnsiTheme="minorHAnsi"/>
            <w:sz w:val="22"/>
            <w:szCs w:val="22"/>
          </w:rPr>
          <w:tab/>
        </w:r>
        <w:r>
          <w:rPr>
            <w:rFonts w:cs="Calibri" w:cstheme="minorHAnsi"/>
            <w:sz w:val="20"/>
            <w:szCs w:val="20"/>
          </w:rPr>
          <w:t>Требования к объемам и срокам поставки</w:t>
        </w:r>
        <w:r>
          <w:rPr>
            <w:rFonts w:cs="Calibri" w:cstheme="minorHAnsi"/>
            <w:vanish/>
            <w:sz w:val="20"/>
            <w:szCs w:val="20"/>
          </w:rPr>
          <w:tab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_Toc128681780 \h</w:instrText>
        </w:r>
        <w:r>
          <w:rPr>
            <w:webHidden/>
          </w:rPr>
          <w:fldChar w:fldCharType="separate"/>
        </w:r>
        <w:r>
          <w:rPr>
            <w:rFonts w:cs="Calibri"/>
            <w:vanish/>
            <w:sz w:val="20"/>
            <w:szCs w:val="20"/>
          </w:rPr>
          <w:fldChar w:fldCharType="begin"/>
        </w:r>
        <w:r>
          <w:rPr>
            <w:webHidden/>
          </w:rPr>
          <w:fldChar w:fldCharType="end"/>
        </w:r>
        <w:r>
          <w:rPr>
            <w:sz w:val="20"/>
            <w:szCs w:val="20"/>
            <w:vanish/>
            <w:rFonts w:cs="Calibri"/>
          </w:rPr>
          <w:instrText xml:space="preserve"> PAGEREF _Toc128681780 \h </w:instrText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sz w:val="20"/>
            <w:szCs w:val="20"/>
            <w:vanish/>
            <w:rFonts w:cs="Calibri"/>
          </w:rPr>
          <w:t>4</w:t>
        </w:r>
        <w:r>
          <w:rPr>
            <w:sz w:val="20"/>
            <w:szCs w:val="20"/>
            <w:vanish/>
            <w:rFonts w:cs="Calibri"/>
          </w:rPr>
          <w:fldChar w:fldCharType="end"/>
        </w:r>
      </w:hyperlink>
    </w:p>
    <w:p>
      <w:pPr>
        <w:pStyle w:val="Normal"/>
        <w:tabs>
          <w:tab w:val="clear" w:pos="708"/>
          <w:tab w:val="left" w:pos="1120" w:leader="none"/>
          <w:tab w:val="right" w:pos="9911" w:leader="dot"/>
        </w:tabs>
        <w:suppressAutoHyphens w:val="false"/>
        <w:ind w:left="28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r>
        <w:rPr>
          <w:rFonts w:cs="Calibri" w:cstheme="minorHAnsi"/>
          <w:sz w:val="20"/>
          <w:szCs w:val="20"/>
        </w:rPr>
        <w:t xml:space="preserve">      </w:t>
      </w:r>
      <w:hyperlink w:anchor="_Toc128681781">
        <w:r>
          <w:rPr>
            <w:rFonts w:cs="Calibri" w:cstheme="minorHAnsi"/>
            <w:sz w:val="20"/>
            <w:szCs w:val="20"/>
          </w:rPr>
          <w:t>2.1.1.</w:t>
        </w:r>
        <w:r>
          <w:rPr>
            <w:rFonts w:eastAsia="" w:cs="" w:ascii="Calibri" w:hAnsi="Calibri" w:asciiTheme="minorHAnsi" w:cstheme="minorBidi" w:eastAsiaTheme="minorEastAsia" w:hAnsiTheme="minorHAnsi"/>
            <w:sz w:val="22"/>
            <w:szCs w:val="22"/>
          </w:rPr>
          <w:tab/>
        </w:r>
        <w:r>
          <w:rPr>
            <w:rFonts w:cs="Calibri" w:cstheme="minorHAnsi"/>
            <w:sz w:val="20"/>
            <w:szCs w:val="20"/>
          </w:rPr>
          <w:t>Перечень и объем закупаемой продукции</w:t>
        </w:r>
        <w:r>
          <w:rPr>
            <w:rFonts w:cs="Calibri" w:cstheme="minorHAnsi"/>
            <w:vanish/>
            <w:sz w:val="20"/>
            <w:szCs w:val="20"/>
          </w:rPr>
          <w:tab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_Toc128681781 \h</w:instrText>
        </w:r>
        <w:r>
          <w:rPr>
            <w:webHidden/>
          </w:rPr>
          <w:fldChar w:fldCharType="separate"/>
        </w:r>
        <w:r>
          <w:rPr>
            <w:rFonts w:cs="Calibri"/>
            <w:vanish/>
            <w:sz w:val="20"/>
            <w:szCs w:val="20"/>
          </w:rPr>
          <w:fldChar w:fldCharType="begin"/>
        </w:r>
        <w:r>
          <w:rPr>
            <w:webHidden/>
          </w:rPr>
          <w:fldChar w:fldCharType="end"/>
        </w:r>
        <w:r>
          <w:rPr>
            <w:sz w:val="20"/>
            <w:szCs w:val="20"/>
            <w:vanish/>
            <w:rFonts w:cs="Calibri"/>
          </w:rPr>
          <w:instrText xml:space="preserve"> PAGEREF _Toc128681781 \h </w:instrText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sz w:val="20"/>
            <w:szCs w:val="20"/>
            <w:vanish/>
            <w:rFonts w:cs="Calibri"/>
          </w:rPr>
          <w:t>4</w:t>
        </w:r>
        <w:r>
          <w:rPr>
            <w:sz w:val="20"/>
            <w:szCs w:val="20"/>
            <w:vanish/>
            <w:rFonts w:cs="Calibri"/>
          </w:rPr>
          <w:fldChar w:fldCharType="end"/>
        </w:r>
      </w:hyperlink>
    </w:p>
    <w:p>
      <w:pPr>
        <w:pStyle w:val="Normal"/>
        <w:tabs>
          <w:tab w:val="clear" w:pos="708"/>
          <w:tab w:val="left" w:pos="560" w:leader="none"/>
          <w:tab w:val="right" w:pos="9911" w:leader="dot"/>
        </w:tabs>
        <w:suppressAutoHyphens w:val="false"/>
        <w:spacing w:before="120" w:after="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hyperlink w:anchor="_Toc128681782">
        <w:r>
          <w:rPr>
            <w:rFonts w:cs="Calibri Light (Заголовки)"/>
            <w:b/>
            <w:bCs/>
            <w:sz w:val="24"/>
            <w:szCs w:val="24"/>
          </w:rPr>
          <w:t>Таблица 1. Перечень и объем закупаемой продукции</w:t>
        </w:r>
        <w:r>
          <w:rPr>
            <w:rFonts w:cs="Calibri Light (Заголовки)"/>
            <w:b/>
            <w:bCs/>
            <w:vanish/>
            <w:sz w:val="24"/>
            <w:szCs w:val="24"/>
          </w:rPr>
          <w:tab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_Toc128681782 \h</w:instrText>
        </w:r>
        <w:r>
          <w:rPr>
            <w:webHidden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  <w:fldChar w:fldCharType="begin"/>
        </w:r>
        <w:r>
          <w:rPr>
            <w:webHidden/>
          </w:rPr>
          <w:fldChar w:fldCharType="end"/>
        </w:r>
        <w:r>
          <w:rPr>
            <w:sz w:val="24"/>
            <w:b/>
            <w:szCs w:val="24"/>
            <w:bCs/>
            <w:vanish/>
            <w:rFonts w:cs="Calibri Light (Заголовки)"/>
          </w:rPr>
          <w:instrText xml:space="preserve"> PAGEREF _Toc128681782 \h </w:instrText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sz w:val="24"/>
            <w:b/>
            <w:szCs w:val="24"/>
            <w:bCs/>
            <w:vanish/>
            <w:rFonts w:cs="Calibri Light (Заголовки)"/>
          </w:rPr>
          <w:t>4</w:t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</w:hyperlink>
    </w:p>
    <w:p>
      <w:pPr>
        <w:pStyle w:val="Normal"/>
        <w:tabs>
          <w:tab w:val="clear" w:pos="708"/>
          <w:tab w:val="left" w:pos="1120" w:leader="none"/>
          <w:tab w:val="right" w:pos="9911" w:leader="dot"/>
        </w:tabs>
        <w:suppressAutoHyphens w:val="false"/>
        <w:ind w:left="28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r>
        <w:rPr>
          <w:rFonts w:cs="Calibri" w:cstheme="minorHAnsi"/>
          <w:sz w:val="20"/>
          <w:szCs w:val="20"/>
        </w:rPr>
        <w:t xml:space="preserve">      </w:t>
      </w:r>
      <w:hyperlink w:anchor="_Toc128681783">
        <w:r>
          <w:rPr>
            <w:rFonts w:cs="Calibri" w:cstheme="minorHAnsi"/>
            <w:sz w:val="20"/>
            <w:szCs w:val="20"/>
          </w:rPr>
          <w:t>2.1.2.</w:t>
        </w:r>
        <w:r>
          <w:rPr>
            <w:rFonts w:eastAsia="" w:cs="" w:ascii="Calibri" w:hAnsi="Calibri" w:asciiTheme="minorHAnsi" w:cstheme="minorBidi" w:eastAsiaTheme="minorEastAsia" w:hAnsiTheme="minorHAnsi"/>
            <w:sz w:val="22"/>
            <w:szCs w:val="22"/>
          </w:rPr>
          <w:tab/>
        </w:r>
        <w:r>
          <w:rPr>
            <w:rFonts w:cs="Calibri" w:cstheme="minorHAnsi"/>
            <w:sz w:val="20"/>
            <w:szCs w:val="20"/>
          </w:rPr>
          <w:t>Требования к срокам поставки продукции и оказания сопутствующих услуг</w:t>
        </w:r>
        <w:r>
          <w:rPr>
            <w:rFonts w:cs="Calibri" w:cstheme="minorHAnsi"/>
            <w:vanish/>
            <w:sz w:val="20"/>
            <w:szCs w:val="20"/>
          </w:rPr>
          <w:tab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_Toc128681783 \h</w:instrText>
        </w:r>
        <w:r>
          <w:rPr>
            <w:webHidden/>
          </w:rPr>
          <w:fldChar w:fldCharType="separate"/>
        </w:r>
        <w:r>
          <w:rPr>
            <w:rFonts w:cs="Calibri"/>
            <w:vanish/>
            <w:sz w:val="20"/>
            <w:szCs w:val="20"/>
          </w:rPr>
          <w:fldChar w:fldCharType="begin"/>
        </w:r>
        <w:r>
          <w:rPr>
            <w:webHidden/>
          </w:rPr>
          <w:fldChar w:fldCharType="end"/>
        </w:r>
        <w:r>
          <w:rPr>
            <w:sz w:val="20"/>
            <w:szCs w:val="20"/>
            <w:vanish/>
            <w:rFonts w:cs="Calibri"/>
          </w:rPr>
          <w:instrText xml:space="preserve"> PAGEREF _Toc128681783 \h </w:instrText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sz w:val="20"/>
            <w:szCs w:val="20"/>
            <w:vanish/>
            <w:rFonts w:cs="Calibri"/>
          </w:rPr>
          <w:t>4</w:t>
        </w:r>
        <w:r>
          <w:rPr>
            <w:sz w:val="20"/>
            <w:szCs w:val="20"/>
            <w:vanish/>
            <w:rFonts w:cs="Calibri"/>
          </w:rPr>
          <w:fldChar w:fldCharType="end"/>
        </w:r>
      </w:hyperlink>
    </w:p>
    <w:p>
      <w:pPr>
        <w:pStyle w:val="Normal"/>
        <w:tabs>
          <w:tab w:val="clear" w:pos="708"/>
          <w:tab w:val="left" w:pos="560" w:leader="none"/>
          <w:tab w:val="right" w:pos="9911" w:leader="dot"/>
        </w:tabs>
        <w:suppressAutoHyphens w:val="false"/>
        <w:spacing w:before="120" w:after="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hyperlink w:anchor="_Toc128681784">
        <w:r>
          <w:rPr>
            <w:rFonts w:cs="Calibri Light (Заголовки)"/>
            <w:b/>
            <w:bCs/>
            <w:sz w:val="24"/>
            <w:szCs w:val="24"/>
          </w:rPr>
          <w:t>Таблица 2. Требования по срокам поставки продукции</w:t>
        </w:r>
        <w:r>
          <w:rPr>
            <w:rFonts w:cs="Calibri Light (Заголовки)"/>
            <w:b/>
            <w:bCs/>
            <w:vanish/>
            <w:sz w:val="24"/>
            <w:szCs w:val="24"/>
          </w:rPr>
          <w:tab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_Toc128681784 \h</w:instrText>
        </w:r>
        <w:r>
          <w:rPr>
            <w:webHidden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  <w:fldChar w:fldCharType="begin"/>
        </w:r>
        <w:r>
          <w:rPr>
            <w:webHidden/>
          </w:rPr>
          <w:fldChar w:fldCharType="end"/>
        </w:r>
        <w:r>
          <w:rPr>
            <w:sz w:val="24"/>
            <w:b/>
            <w:szCs w:val="24"/>
            <w:bCs/>
            <w:vanish/>
            <w:rFonts w:cs="Calibri Light (Заголовки)"/>
          </w:rPr>
          <w:instrText xml:space="preserve"> PAGEREF _Toc128681784 \h </w:instrText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sz w:val="24"/>
            <w:b/>
            <w:szCs w:val="24"/>
            <w:bCs/>
            <w:vanish/>
            <w:rFonts w:cs="Calibri Light (Заголовки)"/>
          </w:rPr>
          <w:t>4</w:t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</w:hyperlink>
    </w:p>
    <w:p>
      <w:pPr>
        <w:pStyle w:val="Normal"/>
        <w:tabs>
          <w:tab w:val="clear" w:pos="708"/>
          <w:tab w:val="left" w:pos="1120" w:leader="none"/>
          <w:tab w:val="right" w:pos="9911" w:leader="dot"/>
        </w:tabs>
        <w:suppressAutoHyphens w:val="false"/>
        <w:ind w:left="56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hyperlink w:anchor="_Toc128681785">
        <w:r>
          <w:rPr>
            <w:rFonts w:cs="Calibri" w:cstheme="minorHAnsi"/>
            <w:iCs/>
            <w:sz w:val="20"/>
            <w:szCs w:val="20"/>
          </w:rPr>
          <w:t>2.2.</w:t>
        </w:r>
        <w:r>
          <w:rPr>
            <w:rFonts w:eastAsia="" w:cs="" w:ascii="Calibri" w:hAnsi="Calibri" w:asciiTheme="minorHAnsi" w:cstheme="minorBidi" w:eastAsiaTheme="minorEastAsia" w:hAnsiTheme="minorHAnsi"/>
            <w:sz w:val="22"/>
            <w:szCs w:val="22"/>
          </w:rPr>
          <w:tab/>
        </w:r>
        <w:r>
          <w:rPr>
            <w:rFonts w:cs="Calibri" w:cstheme="minorHAnsi"/>
            <w:sz w:val="20"/>
            <w:szCs w:val="20"/>
          </w:rPr>
          <w:t>Требования к качеству продукции</w:t>
        </w:r>
        <w:r>
          <w:rPr>
            <w:rFonts w:cs="Calibri" w:cstheme="minorHAnsi"/>
            <w:vanish/>
            <w:sz w:val="20"/>
            <w:szCs w:val="20"/>
          </w:rPr>
          <w:tab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fldChar w:fldCharType="begin"/>
        </w:r>
        <w:r>
          <w:rPr>
            <w:sz w:val="20"/>
            <w:szCs w:val="20"/>
            <w:vanish/>
            <w:rFonts w:cs="Calibri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rFonts w:cs="Calibri" w:cstheme="minorHAnsi"/>
            <w:vanish/>
            <w:sz w:val="20"/>
            <w:szCs w:val="20"/>
          </w:rPr>
        </w:r>
        <w:r>
          <w:rPr>
            <w:sz w:val="20"/>
            <w:szCs w:val="20"/>
            <w:vanish/>
            <w:rFonts w:cs="Calibri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_Toc128681785 \h</w:instrText>
        </w:r>
        <w:r>
          <w:rPr>
            <w:webHidden/>
          </w:rPr>
          <w:fldChar w:fldCharType="separate"/>
        </w:r>
        <w:r>
          <w:rPr>
            <w:rFonts w:cs="Calibri"/>
            <w:vanish/>
            <w:sz w:val="20"/>
            <w:szCs w:val="20"/>
          </w:rPr>
          <w:fldChar w:fldCharType="begin"/>
        </w:r>
        <w:r>
          <w:rPr>
            <w:webHidden/>
          </w:rPr>
          <w:fldChar w:fldCharType="end"/>
        </w:r>
        <w:r>
          <w:rPr>
            <w:sz w:val="20"/>
            <w:szCs w:val="20"/>
            <w:vanish/>
            <w:rFonts w:cs="Calibri"/>
          </w:rPr>
          <w:instrText xml:space="preserve"> PAGEREF _Toc128681785 \h </w:instrText>
        </w:r>
        <w:r>
          <w:rPr>
            <w:sz w:val="20"/>
            <w:szCs w:val="20"/>
            <w:vanish/>
            <w:rFonts w:cs="Calibri"/>
          </w:rPr>
          <w:fldChar w:fldCharType="separate"/>
        </w:r>
        <w:r>
          <w:rPr>
            <w:sz w:val="20"/>
            <w:szCs w:val="20"/>
            <w:vanish/>
            <w:rFonts w:cs="Calibri"/>
          </w:rPr>
          <w:t>5</w:t>
        </w:r>
        <w:r>
          <w:rPr>
            <w:sz w:val="20"/>
            <w:szCs w:val="20"/>
            <w:vanish/>
            <w:rFonts w:cs="Calibri"/>
          </w:rPr>
          <w:fldChar w:fldCharType="end"/>
        </w:r>
      </w:hyperlink>
    </w:p>
    <w:p>
      <w:pPr>
        <w:pStyle w:val="Normal"/>
        <w:tabs>
          <w:tab w:val="clear" w:pos="708"/>
          <w:tab w:val="left" w:pos="560" w:leader="none"/>
          <w:tab w:val="right" w:pos="9911" w:leader="dot"/>
        </w:tabs>
        <w:suppressAutoHyphens w:val="false"/>
        <w:spacing w:before="120" w:after="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hyperlink w:anchor="_Toc128681786">
        <w:r>
          <w:rPr>
            <w:rFonts w:cs="Calibri Light (Заголовки)"/>
            <w:b/>
            <w:bCs/>
            <w:sz w:val="24"/>
            <w:szCs w:val="24"/>
          </w:rPr>
          <w:t>Таблица 3. Требования к продукции</w:t>
        </w:r>
        <w:r>
          <w:rPr>
            <w:rFonts w:cs="Calibri Light (Заголовки)"/>
            <w:b/>
            <w:bCs/>
            <w:vanish/>
            <w:sz w:val="24"/>
            <w:szCs w:val="24"/>
          </w:rPr>
          <w:tab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vanish/>
            <w:rFonts w:cs="Calibri Light (Заголовки)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rFonts w:cs="Calibri Light (Заголовки)"/>
            <w:b/>
            <w:bCs/>
            <w:vanish/>
            <w:sz w:val="24"/>
            <w:szCs w:val="24"/>
          </w:rPr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_Toc128681786 \h</w:instrText>
        </w:r>
        <w:r>
          <w:rPr>
            <w:webHidden/>
          </w:rPr>
          <w:fldChar w:fldCharType="separate"/>
        </w:r>
        <w:r>
          <w:rPr>
            <w:rFonts w:cs="Calibri Light (Заголовки)"/>
            <w:b/>
            <w:bCs/>
            <w:vanish/>
            <w:sz w:val="24"/>
            <w:szCs w:val="24"/>
          </w:rPr>
          <w:fldChar w:fldCharType="begin"/>
        </w:r>
        <w:r>
          <w:rPr>
            <w:webHidden/>
          </w:rPr>
          <w:fldChar w:fldCharType="end"/>
        </w:r>
        <w:r>
          <w:rPr>
            <w:sz w:val="24"/>
            <w:b/>
            <w:szCs w:val="24"/>
            <w:bCs/>
            <w:vanish/>
            <w:rFonts w:cs="Calibri Light (Заголовки)"/>
          </w:rPr>
          <w:instrText xml:space="preserve"> PAGEREF _Toc128681786 \h </w:instrText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separate"/>
        </w:r>
        <w:r>
          <w:rPr>
            <w:sz w:val="24"/>
            <w:b/>
            <w:szCs w:val="24"/>
            <w:bCs/>
            <w:vanish/>
            <w:rFonts w:cs="Calibri Light (Заголовки)"/>
          </w:rPr>
          <w:t>5</w:t>
        </w:r>
        <w:r>
          <w:rPr>
            <w:sz w:val="24"/>
            <w:b/>
            <w:szCs w:val="24"/>
            <w:bCs/>
            <w:vanish/>
            <w:rFonts w:cs="Calibri Light (Заголовки)"/>
          </w:rPr>
          <w:fldChar w:fldCharType="end"/>
        </w:r>
      </w:hyperlink>
    </w:p>
    <w:p>
      <w:pPr>
        <w:pStyle w:val="Normal"/>
        <w:tabs>
          <w:tab w:val="clear" w:pos="708"/>
          <w:tab w:val="left" w:pos="560" w:leader="none"/>
          <w:tab w:val="right" w:pos="9911" w:leader="dot"/>
        </w:tabs>
        <w:suppressAutoHyphens w:val="false"/>
        <w:spacing w:before="120" w:after="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hyperlink w:anchor="_Toc128681787">
        <w:r>
          <w:rPr>
            <w:rFonts w:cs="Calibri Light (Заголовки)"/>
            <w:b/>
            <w:bCs/>
            <w:sz w:val="24"/>
            <w:szCs w:val="24"/>
          </w:rPr>
          <w:t>3.</w:t>
        </w:r>
        <w:r>
          <w:rPr>
            <w:rFonts w:eastAsia="" w:cs="" w:ascii="Calibri" w:hAnsi="Calibri" w:asciiTheme="minorHAnsi" w:cstheme="minorBidi" w:eastAsiaTheme="minorEastAsia" w:hAnsiTheme="minorHAnsi"/>
            <w:sz w:val="22"/>
            <w:szCs w:val="22"/>
          </w:rPr>
          <w:tab/>
        </w:r>
        <w:r>
          <w:rPr>
            <w:rFonts w:cs="Calibri Light (Заголовки)"/>
            <w:b/>
            <w:bCs/>
            <w:sz w:val="24"/>
            <w:szCs w:val="24"/>
          </w:rPr>
          <w:t>Требования к документации по ценообразованию на этапе закупки</w:t>
        </w:r>
        <w:r>
          <w:fldChar w:fldCharType="begin"/>
        </w:r>
        <w:r>
          <w:rPr>
            <w:sz w:val="24"/>
            <w:b/>
            <w:szCs w:val="24"/>
            <w:bCs/>
            <w:rFonts w:cs="Calibri Light (Заголовки)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rFonts w:cs="Calibri Light (Заголовки)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rFonts w:cs="Calibri Light (Заголовки)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rFonts w:cs="Calibri Light (Заголовки)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rFonts w:cs="Calibri Light (Заголовки)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rFonts w:cs="Calibri Light (Заголовки)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rFonts w:cs="Calibri Light (Заголовки)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rFonts w:cs="Calibri Light (Заголовки)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end"/>
        </w:r>
        <w:r>
          <w:fldChar w:fldCharType="begin"/>
        </w:r>
        <w:r>
          <w:rPr>
            <w:sz w:val="24"/>
            <w:b/>
            <w:szCs w:val="24"/>
            <w:bCs/>
            <w:rFonts w:cs="Calibri Light (Заголовки)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separate"/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rFonts w:cs="Calibri Light (Заголовки)"/>
            <w:b/>
            <w:bCs/>
            <w:sz w:val="24"/>
            <w:szCs w:val="24"/>
          </w:rPr>
        </w:r>
        <w:r>
          <w:rPr>
            <w:sz w:val="24"/>
            <w:b/>
            <w:szCs w:val="24"/>
            <w:bCs/>
            <w:rFonts w:cs="Calibri Light (Заголовки)"/>
          </w:rPr>
          <w:fldChar w:fldCharType="end"/>
        </w:r>
        <w:r>
          <w:rPr>
            <w:webHidden/>
          </w:rPr>
          <w:fldChar w:fldCharType="begin"/>
        </w:r>
        <w:r>
          <w:rPr>
            <w:webHidden/>
          </w:rPr>
          <w:instrText xml:space="preserve">PAGEREF _Toc128681787 \h</w:instrText>
        </w:r>
        <w:r>
          <w:rPr>
            <w:webHidden/>
          </w:rPr>
          <w:fldChar w:fldCharType="separate"/>
        </w:r>
        <w:r>
          <w:rPr>
            <w:vanish/>
          </w:rPr>
          <w:fldChar w:fldCharType="begin"/>
        </w:r>
        <w:r>
          <w:rPr>
            <w:webHidden/>
          </w:rPr>
          <w:fldChar w:fldCharType="end"/>
        </w:r>
        <w:r>
          <w:rPr>
            <w:vanish/>
          </w:rPr>
          <w:instrText xml:space="preserve"> PAGEREF _Toc128681787 \h </w:instrText>
        </w:r>
        <w:r>
          <w:rPr>
            <w:vanish/>
          </w:rPr>
          <w:fldChar w:fldCharType="separate"/>
        </w:r>
        <w:r>
          <w:rPr>
            <w:vanish/>
          </w:rPr>
          <w:t>Ошибка: источник перекрёстной ссылки не найден</w:t>
        </w:r>
        <w:r>
          <w:rPr>
            <w:vanish/>
          </w:rPr>
          <w:fldChar w:fldCharType="end"/>
        </w:r>
      </w:hyperlink>
    </w:p>
    <w:p>
      <w:pPr>
        <w:pStyle w:val="Normal"/>
        <w:tabs>
          <w:tab w:val="clear" w:pos="708"/>
          <w:tab w:val="left" w:pos="1120" w:leader="none"/>
          <w:tab w:val="right" w:pos="9911" w:leader="dot"/>
        </w:tabs>
        <w:suppressAutoHyphens w:val="false"/>
        <w:ind w:left="56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r>
        <w:rPr>
          <w:rFonts w:eastAsia="" w:cs="" w:cstheme="minorBidi" w:eastAsiaTheme="minorEastAsi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560" w:leader="none"/>
          <w:tab w:val="right" w:pos="9911" w:leader="dot"/>
        </w:tabs>
        <w:suppressAutoHyphens w:val="false"/>
        <w:spacing w:before="120" w:after="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r>
        <w:rPr>
          <w:rFonts w:eastAsia="" w:cs="" w:cstheme="minorBidi" w:eastAsiaTheme="minorEastAsia" w:ascii="Calibri" w:hAnsi="Calibri"/>
          <w:sz w:val="22"/>
          <w:szCs w:val="22"/>
        </w:rPr>
      </w:r>
    </w:p>
    <w:p>
      <w:pPr>
        <w:pStyle w:val="Normal"/>
        <w:tabs>
          <w:tab w:val="clear" w:pos="708"/>
          <w:tab w:val="left" w:pos="560" w:leader="none"/>
          <w:tab w:val="right" w:pos="9911" w:leader="dot"/>
        </w:tabs>
        <w:suppressAutoHyphens w:val="false"/>
        <w:spacing w:before="120" w:after="0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r>
        <w:rPr>
          <w:rFonts w:eastAsia="" w:cs="" w:cstheme="minorBidi" w:eastAsiaTheme="minorEastAsia" w:ascii="Calibri" w:hAnsi="Calibri"/>
          <w:sz w:val="22"/>
          <w:szCs w:val="22"/>
        </w:rPr>
      </w:r>
    </w:p>
    <w:p>
      <w:pPr>
        <w:pStyle w:val="TOC1"/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1" w:name="_Toc128681773"/>
      <w:bookmarkStart w:id="2" w:name="_Toc51339692"/>
      <w:r>
        <w:rPr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/>
      </w:pPr>
      <w:bookmarkStart w:id="3" w:name="_Toc128681774"/>
      <w:bookmarkStart w:id="4" w:name="_Toc46743505"/>
      <w:r>
        <w:rPr/>
        <w:t>Обозначения и сокращения</w:t>
      </w:r>
      <w:bookmarkEnd w:id="3"/>
      <w:bookmarkEnd w:id="4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268"/>
        <w:gridCol w:w="7514"/>
      </w:tblGrid>
      <w:tr>
        <w:trPr>
          <w:trHeight w:val="358" w:hRule="atLeast"/>
          <w:cantSplit w:val="true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251" w:hRule="atLeast"/>
          <w:cantSplit w:val="true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ПД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</w:t>
            </w:r>
          </w:p>
        </w:tc>
      </w:tr>
      <w:tr>
        <w:trPr>
          <w:cantSplit w:val="true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</w:tr>
      <w:tr>
        <w:trPr>
          <w:trHeight w:val="803" w:hRule="atLeast"/>
          <w:cantSplit w:val="true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tabs>
                <w:tab w:val="clear" w:pos="0"/>
                <w:tab w:val="left" w:pos="426" w:leader="none"/>
              </w:tabs>
              <w:spacing w:before="120" w:after="120"/>
              <w:ind w:hanging="0" w:left="1224"/>
              <w:jc w:val="both"/>
              <w:rPr/>
            </w:pPr>
            <w:r>
              <w:rPr>
                <w:b w:val="false"/>
                <w:color w:val="000000"/>
                <w:sz w:val="24"/>
                <w:szCs w:val="24"/>
              </w:rPr>
              <w:t>ГОСТ Р 53602-2009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color w:val="000000"/>
                <w:sz w:val="27"/>
              </w:rPr>
            </w:pPr>
            <w:r>
              <w:rPr>
                <w:color w:val="000000"/>
                <w:sz w:val="24"/>
                <w:szCs w:val="24"/>
              </w:rPr>
              <w:t>Составные части транспортных средств. Маркировка. Общие технические требования.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5" w:name="_Toc128681775"/>
      <w:r>
        <w:rPr/>
        <w:t>Наименование закупаемой продукции</w:t>
      </w:r>
      <w:bookmarkEnd w:id="5"/>
      <w:r>
        <w:rPr>
          <w:lang w:val="ru-RU"/>
        </w:rPr>
        <w:t>: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rFonts w:eastAsia="Calibri" w:ascii="Times New Roman;serif" w:hAnsi="Times New Roman;serif"/>
          <w:b w:val="false"/>
          <w:bCs/>
          <w:i w:val="false"/>
          <w:szCs w:val="24"/>
          <w:shd w:fill="auto" w:val="clear"/>
          <w:lang w:eastAsia="x-none"/>
        </w:rPr>
        <w:t>ОКПД2 29.32.30.390 Поставка запасных частей для нужд Московского представительства Центрального филиала АО "ТК РусГидро"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6" w:name="_Toc128681776"/>
      <w:bookmarkStart w:id="7" w:name="_Toc46743507"/>
      <w:r>
        <w:rPr/>
        <w:t xml:space="preserve">Цель </w:t>
      </w:r>
      <w:bookmarkEnd w:id="7"/>
      <w:r>
        <w:rPr>
          <w:lang w:val="ru-RU"/>
        </w:rPr>
        <w:t>использования закупаемой продукции</w:t>
      </w:r>
      <w:bookmarkEnd w:id="6"/>
      <w:r>
        <w:rPr>
          <w:lang w:val="ru-RU"/>
        </w:rPr>
        <w:t xml:space="preserve">: </w:t>
      </w:r>
    </w:p>
    <w:p>
      <w:pPr>
        <w:pStyle w:val="Normal"/>
        <w:jc w:val="both"/>
        <w:rPr>
          <w:iCs/>
          <w:color w:val="000000"/>
          <w:sz w:val="24"/>
          <w:szCs w:val="24"/>
        </w:rPr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 xml:space="preserve">Обеспечение запасными частями транспортных средств иностранного и российского производства, расходными материалами (моторные масла, смазочные материалы и специальные жидкости, аккумуляторы) на автотранспортные средства </w:t>
      </w:r>
      <w:r>
        <w:rPr>
          <w:rStyle w:val="Style8"/>
          <w:b w:val="false"/>
          <w:i w:val="false"/>
          <w:color w:val="000000"/>
          <w:sz w:val="24"/>
          <w:szCs w:val="24"/>
          <w:shd w:fill="auto" w:val="clear"/>
        </w:rPr>
        <w:t xml:space="preserve">с целью поддержания подвижного состава в технически исправном состоянии и обеспечения бесперебойной работы транспортных средств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Московского представительства</w:t>
      </w:r>
      <w:r>
        <w:rPr>
          <w:rStyle w:val="Style8"/>
          <w:b w:val="false"/>
          <w:i w:val="false"/>
          <w:color w:val="000000"/>
          <w:sz w:val="24"/>
          <w:szCs w:val="24"/>
          <w:shd w:fill="auto" w:val="clear"/>
        </w:rPr>
        <w:t xml:space="preserve"> Центрального филиала АО «ТК РусГидро».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8" w:name="_Toc128681777"/>
      <w:bookmarkStart w:id="9" w:name="_Hlk49857604"/>
      <w:bookmarkStart w:id="10" w:name="_Toc46743509"/>
      <w:r>
        <w:rPr/>
        <w:t xml:space="preserve">Информация в отношении исполнения договора, </w:t>
      </w:r>
      <w:bookmarkStart w:id="11" w:name="_Hlk46492347"/>
      <w:r>
        <w:rPr/>
        <w:t xml:space="preserve">которая должна быть учтена при подготовке заявки </w:t>
      </w:r>
      <w:bookmarkEnd w:id="11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8"/>
      <w:bookmarkEnd w:id="9"/>
      <w:bookmarkEnd w:id="10"/>
      <w:r>
        <w:rPr>
          <w:lang w:val="ru-RU"/>
        </w:rPr>
        <w:t>: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bookmarkStart w:id="12" w:name="_Hlk48209761"/>
      <w:bookmarkEnd w:id="12"/>
      <w:r>
        <w:rPr>
          <w:sz w:val="24"/>
          <w:szCs w:val="24"/>
        </w:rPr>
        <w:t>1.4.1 Продукция должна быть новая, не бывшая в употреблении. Продукция должна быть произведена не ранее второго полугодия 2026г. Не допускается поставка выставочных образцов.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1.4.2. Продукция (</w:t>
      </w:r>
      <w:r>
        <w:rPr>
          <w:rFonts w:eastAsia="Calibri"/>
          <w:color w:val="000000"/>
          <w:sz w:val="24"/>
          <w:szCs w:val="24"/>
          <w:lang w:eastAsia="x-none"/>
        </w:rPr>
        <w:t xml:space="preserve">материалы и запчасти на содержание и эксплуатацию транспортных средств Московского представительства </w:t>
      </w:r>
      <w:r>
        <w:rPr>
          <w:rStyle w:val="Style8"/>
          <w:rFonts w:eastAsia="Calibri"/>
          <w:b w:val="false"/>
          <w:bCs/>
          <w:color w:val="000000"/>
          <w:sz w:val="24"/>
          <w:szCs w:val="24"/>
          <w:shd w:fill="auto" w:val="clear"/>
          <w:lang w:eastAsia="x-none"/>
        </w:rPr>
        <w:t>ЦФ АО "ТК РусГидро"</w:t>
      </w:r>
      <w:r>
        <w:rPr>
          <w:sz w:val="24"/>
          <w:szCs w:val="24"/>
        </w:rPr>
        <w:t xml:space="preserve">) должна соответствовать требованиям </w:t>
      </w:r>
      <w:r>
        <w:rPr>
          <w:color w:val="000000"/>
          <w:sz w:val="24"/>
          <w:szCs w:val="24"/>
        </w:rPr>
        <w:t>ГОСТ Р 53602-2009</w:t>
      </w:r>
      <w:r>
        <w:rPr>
          <w:sz w:val="24"/>
          <w:szCs w:val="24"/>
        </w:rPr>
        <w:t xml:space="preserve"> «</w:t>
      </w:r>
      <w:r>
        <w:rPr>
          <w:color w:val="000000"/>
          <w:sz w:val="24"/>
          <w:szCs w:val="24"/>
        </w:rPr>
        <w:t>Составные части транспортных средств. Маркировка. Общие технические требования.</w:t>
      </w:r>
      <w:r>
        <w:rPr>
          <w:sz w:val="24"/>
          <w:szCs w:val="24"/>
        </w:rPr>
        <w:t>» (с учетом последних изменений).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1.4.3 Комплектность поставки должна обеспечить возможность использования продукции по прямому назначению.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1.4.4 Качество и безопасность поставляемой продукции должны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1.4.5 На продукцию устанавливается гарантийный срок согласно гарантийному сроку завода-изготовителя.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13" w:name="_Toc128681778"/>
      <w:bookmarkStart w:id="14" w:name="_Hlk48209761_Копия_1"/>
      <w:bookmarkStart w:id="15" w:name="_Toc46743510"/>
      <w:bookmarkStart w:id="16" w:name="_Toc50125126"/>
      <w:bookmarkEnd w:id="14"/>
      <w:bookmarkEnd w:id="15"/>
      <w:bookmarkEnd w:id="16"/>
      <w:r>
        <w:rPr/>
        <w:t>Иные требования и сведения общего характера</w:t>
      </w:r>
      <w:bookmarkEnd w:id="13"/>
      <w:r>
        <w:rPr>
          <w:lang w:val="ru-RU"/>
        </w:rPr>
        <w:t>: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Перед поставкой, Поставщик предоставляет копии документов, подтверждающие качество поставляемой продукции (сертификаты соответствия).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1.5.3 Маркировка, упаковка должны соответствовать требованиям технических регламентов, стандартов, технических условий, устанавливающих обязательные требования к маркировке, и упаковке данного вида продукции. Упаковка продукции должна обеспечивать ее сохранность при транспортировке и хранении.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1.5.4 Приемка продукции осуществляется на основании отгрузочных документов Поставщика. Покупатель обязан принять продукцию путем её проверки на соответствие сопроводительным документам, в момент передачи продукции. При обнаружении несоответствия продукции сопроводительным документам, а также в случае несоблюдения Поставщиком условия о количестве/качестве продукции, сторонами составляется Акт рекламации.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1.5.5 В случае получения продукции в дефектной упаковке Покупатель имеет право не принимать такую продукцию.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1.5.6 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некачественную продукцию.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7" w:name="_Toc51339693"/>
      <w:bookmarkStart w:id="18" w:name="_Toc128681779"/>
      <w:r>
        <w:rPr>
          <w:iCs/>
        </w:rPr>
        <w:t>Требования к продукции</w:t>
      </w:r>
      <w:bookmarkEnd w:id="17"/>
      <w:bookmarkEnd w:id="18"/>
    </w:p>
    <w:p>
      <w:pPr>
        <w:pStyle w:val="Heading4"/>
        <w:numPr>
          <w:ilvl w:val="1"/>
          <w:numId w:val="3"/>
        </w:numPr>
        <w:rPr/>
      </w:pPr>
      <w:bookmarkStart w:id="19" w:name="_Toc128681780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9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0" w:name="_Toc128681781"/>
      <w:r>
        <w:rPr>
          <w:lang w:val="ru-RU"/>
        </w:rPr>
        <w:t>Перечень и объем закупаемой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21" w:name="_Toc128681782"/>
      <w:bookmarkStart w:id="22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bookmarkEnd w:id="21"/>
      <w:bookmarkEnd w:id="22"/>
      <w:r>
        <w:rPr>
          <w:rFonts w:eastAsia="Times New Roman"/>
          <w:sz w:val="24"/>
          <w:szCs w:val="24"/>
          <w:lang w:eastAsia="ru-RU"/>
        </w:rPr>
        <w:t xml:space="preserve">Перечень автотранспортных средств </w:t>
      </w:r>
      <w:r>
        <w:rPr>
          <w:sz w:val="24"/>
          <w:szCs w:val="24"/>
        </w:rPr>
        <w:t xml:space="preserve">Московского представительства </w:t>
      </w:r>
      <w:r>
        <w:rPr>
          <w:rFonts w:eastAsia="Times New Roman"/>
          <w:bCs/>
          <w:sz w:val="24"/>
          <w:szCs w:val="24"/>
          <w:lang w:val="ru-RU" w:eastAsia="ru-RU"/>
        </w:rPr>
        <w:t>для выполнения поставки запасных частей и расходных материалов.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tbl>
      <w:tblPr>
        <w:tblW w:w="86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78"/>
        <w:gridCol w:w="4594"/>
        <w:gridCol w:w="2424"/>
      </w:tblGrid>
      <w:tr>
        <w:trPr>
          <w:tblHeader w:val="true"/>
          <w:trHeight w:val="227" w:hRule="atLeast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5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Марка автотранспортного средства</w:t>
            </w:r>
          </w:p>
        </w:tc>
        <w:tc>
          <w:tcPr>
            <w:tcW w:w="2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Год выпуска</w:t>
            </w:r>
          </w:p>
        </w:tc>
      </w:tr>
      <w:tr>
        <w:trPr>
          <w:trHeight w:val="227" w:hRule="atLeast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TOYOTA Camry</w:t>
            </w:r>
          </w:p>
        </w:tc>
        <w:tc>
          <w:tcPr>
            <w:tcW w:w="2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2017,2019,2020</w:t>
            </w:r>
          </w:p>
        </w:tc>
      </w:tr>
      <w:tr>
        <w:trPr>
          <w:trHeight w:val="227" w:hRule="atLeast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ZEEKR 009 электровэн</w:t>
            </w:r>
          </w:p>
        </w:tc>
        <w:tc>
          <w:tcPr>
            <w:tcW w:w="2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2023</w:t>
            </w:r>
          </w:p>
        </w:tc>
      </w:tr>
      <w:tr>
        <w:trPr>
          <w:trHeight w:val="227" w:hRule="atLeast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Toyota Land Cruiser 200</w:t>
            </w:r>
          </w:p>
        </w:tc>
        <w:tc>
          <w:tcPr>
            <w:tcW w:w="2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2018,2019,2020</w:t>
            </w:r>
          </w:p>
        </w:tc>
      </w:tr>
      <w:tr>
        <w:trPr>
          <w:trHeight w:val="227" w:hRule="atLeast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Lexus LX 570 Luxury</w:t>
            </w:r>
          </w:p>
        </w:tc>
        <w:tc>
          <w:tcPr>
            <w:tcW w:w="2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2015,2017,2020</w:t>
            </w:r>
          </w:p>
        </w:tc>
      </w:tr>
      <w:tr>
        <w:trPr>
          <w:trHeight w:val="227" w:hRule="atLeast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Volkswagen Multivan</w:t>
            </w:r>
          </w:p>
        </w:tc>
        <w:tc>
          <w:tcPr>
            <w:tcW w:w="2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2017,2020</w:t>
            </w:r>
          </w:p>
        </w:tc>
      </w:tr>
      <w:tr>
        <w:trPr>
          <w:trHeight w:val="227" w:hRule="atLeast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LexusLS 500</w:t>
            </w:r>
          </w:p>
        </w:tc>
        <w:tc>
          <w:tcPr>
            <w:tcW w:w="2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2018,2019</w:t>
            </w:r>
          </w:p>
        </w:tc>
      </w:tr>
      <w:tr>
        <w:trPr>
          <w:trHeight w:val="227" w:hRule="atLeast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Voyah Dreamer электровэн</w:t>
            </w:r>
          </w:p>
        </w:tc>
        <w:tc>
          <w:tcPr>
            <w:tcW w:w="2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2023</w:t>
            </w:r>
          </w:p>
        </w:tc>
      </w:tr>
      <w:tr>
        <w:trPr>
          <w:trHeight w:val="227" w:hRule="atLeast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5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LexusLS 460</w:t>
            </w:r>
          </w:p>
        </w:tc>
        <w:tc>
          <w:tcPr>
            <w:tcW w:w="2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2014,2016</w:t>
            </w:r>
          </w:p>
        </w:tc>
      </w:tr>
      <w:tr>
        <w:trPr>
          <w:trHeight w:val="227" w:hRule="atLeast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TOYOTA Corolla</w:t>
            </w:r>
          </w:p>
        </w:tc>
        <w:tc>
          <w:tcPr>
            <w:tcW w:w="2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2018</w:t>
            </w:r>
          </w:p>
        </w:tc>
      </w:tr>
      <w:tr>
        <w:trPr>
          <w:trHeight w:val="227" w:hRule="atLeast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5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Nissan Leaf</w:t>
            </w:r>
          </w:p>
        </w:tc>
        <w:tc>
          <w:tcPr>
            <w:tcW w:w="2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  <w:lang w:val="en-US"/>
              </w:rPr>
              <w:t>21</w:t>
            </w:r>
          </w:p>
        </w:tc>
      </w:tr>
      <w:tr>
        <w:trPr>
          <w:trHeight w:val="227" w:hRule="atLeast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5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Mercedes-Benz Vito</w:t>
            </w:r>
          </w:p>
        </w:tc>
        <w:tc>
          <w:tcPr>
            <w:tcW w:w="2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2021</w:t>
            </w:r>
          </w:p>
        </w:tc>
      </w:tr>
      <w:tr>
        <w:trPr>
          <w:trHeight w:val="227" w:hRule="atLeast"/>
        </w:trPr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59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Hongqi H9</w:t>
            </w:r>
          </w:p>
        </w:tc>
        <w:tc>
          <w:tcPr>
            <w:tcW w:w="242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2024</w:t>
            </w:r>
          </w:p>
        </w:tc>
      </w:tr>
      <w:tr>
        <w:trPr>
          <w:trHeight w:val="227" w:hRule="atLeast"/>
        </w:trPr>
        <w:tc>
          <w:tcPr>
            <w:tcW w:w="1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59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Zeekr 9x</w:t>
            </w:r>
          </w:p>
        </w:tc>
        <w:tc>
          <w:tcPr>
            <w:tcW w:w="242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2025</w:t>
            </w:r>
          </w:p>
        </w:tc>
      </w:tr>
    </w:tbl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3" w:name="_Toc128681783"/>
      <w:bookmarkStart w:id="24" w:name="_Toc51339696"/>
      <w:r>
        <w:rPr>
          <w:lang w:val="ru-RU"/>
        </w:rPr>
        <w:t xml:space="preserve">Требования </w:t>
      </w:r>
      <w:bookmarkEnd w:id="24"/>
      <w:r>
        <w:rPr>
          <w:lang w:val="ru-RU"/>
        </w:rPr>
        <w:t>к срокам поставки продукции и оказания сопутствующих услуг</w:t>
      </w:r>
      <w:bookmarkEnd w:id="23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25" w:name="_Toc128681784"/>
      <w:bookmarkStart w:id="26" w:name="_Toc50125127"/>
      <w:bookmarkStart w:id="27" w:name="_Toc51339697"/>
      <w:bookmarkStart w:id="28" w:name="_Toc50125126_Копия_1"/>
      <w:bookmarkEnd w:id="2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9" w:name="_Hlk50465284"/>
      <w:r>
        <w:rPr>
          <w:sz w:val="24"/>
          <w:szCs w:val="24"/>
        </w:rPr>
        <w:t xml:space="preserve">Требования по срокам </w:t>
      </w:r>
      <w:bookmarkEnd w:id="26"/>
      <w:bookmarkEnd w:id="27"/>
      <w:bookmarkEnd w:id="29"/>
      <w:r>
        <w:rPr>
          <w:sz w:val="24"/>
          <w:szCs w:val="24"/>
          <w:lang w:val="ru-RU"/>
        </w:rPr>
        <w:t>поставки продукции</w:t>
      </w:r>
      <w:bookmarkEnd w:id="25"/>
      <w:r>
        <w:rPr>
          <w:sz w:val="24"/>
          <w:szCs w:val="24"/>
          <w:lang w:val="ru-RU"/>
        </w:rPr>
        <w:t xml:space="preserve"> </w:t>
      </w:r>
    </w:p>
    <w:tbl>
      <w:tblPr>
        <w:tblW w:w="10207" w:type="dxa"/>
        <w:jc w:val="left"/>
        <w:tblInd w:w="-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3117"/>
        <w:gridCol w:w="2977"/>
        <w:gridCol w:w="3260"/>
      </w:tblGrid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действия Договора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Поставка материалов и запчастей на содержание и эксплуатацию транспортных средств Московского представительства </w:t>
            </w:r>
            <w:r>
              <w:rPr>
                <w:rStyle w:val="Style8"/>
                <w:rFonts w:eastAsia="Calibri"/>
                <w:b w:val="false"/>
                <w:bCs/>
                <w:sz w:val="24"/>
                <w:szCs w:val="24"/>
                <w:shd w:fill="auto" w:val="clear"/>
                <w:lang w:eastAsia="x-none"/>
              </w:rPr>
              <w:t>ЦФ АО "ТК РусГидро"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заключения Договора поставки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12 (двенадцати) месяцев, либо до исчерпания предельной суммы по Договору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поставки Товара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Поставка материалов и запчастей на содержание и эксплуатацию транспортных средств Московского представительства </w:t>
            </w:r>
            <w:r>
              <w:rPr>
                <w:rStyle w:val="Style8"/>
                <w:rFonts w:eastAsia="Calibri"/>
                <w:b w:val="false"/>
                <w:bCs/>
                <w:sz w:val="24"/>
                <w:szCs w:val="24"/>
                <w:shd w:fill="auto" w:val="clear"/>
                <w:lang w:eastAsia="x-none"/>
              </w:rPr>
              <w:t>ЦФ АО "ТК РусГидро"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предоставления Покупателем заявки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7 (семи) календарных дней с даты предоставления Покупателем заявки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30" w:name="_Toc46743510_Копия_1"/>
      <w:bookmarkStart w:id="31" w:name="_Toc46743510_Копия_1"/>
      <w:bookmarkEnd w:id="31"/>
    </w:p>
    <w:p>
      <w:pPr>
        <w:pStyle w:val="Heading4"/>
        <w:numPr>
          <w:ilvl w:val="1"/>
          <w:numId w:val="3"/>
        </w:numPr>
        <w:rPr/>
      </w:pPr>
      <w:bookmarkStart w:id="32" w:name="_Toc51339698"/>
      <w:bookmarkStart w:id="33" w:name="_Toc128681785"/>
      <w:bookmarkStart w:id="34" w:name="_Toc46743511"/>
      <w:r>
        <w:rPr/>
        <w:t xml:space="preserve">Требования к </w:t>
      </w:r>
      <w:bookmarkEnd w:id="34"/>
      <w:r>
        <w:rPr>
          <w:lang w:val="ru-RU"/>
        </w:rPr>
        <w:t>качеству продукции</w:t>
      </w:r>
      <w:bookmarkEnd w:id="33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5" w:name="_Toc128681786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5"/>
      <w:r>
        <w:rPr>
          <w:sz w:val="24"/>
          <w:szCs w:val="24"/>
        </w:rPr>
        <w:t xml:space="preserve"> </w:t>
      </w:r>
      <w:bookmarkEnd w:id="32"/>
    </w:p>
    <w:tbl>
      <w:tblPr>
        <w:tblStyle w:val="affff8"/>
        <w:tblW w:w="10632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0"/>
        <w:gridCol w:w="2494"/>
        <w:gridCol w:w="3039"/>
        <w:gridCol w:w="1699"/>
        <w:gridCol w:w="1278"/>
        <w:gridCol w:w="1271"/>
      </w:tblGrid>
      <w:tr>
        <w:trPr/>
        <w:tc>
          <w:tcPr>
            <w:tcW w:w="8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249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0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297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4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0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6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24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3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6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5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494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303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Характеристика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>
          <w:trHeight w:val="700" w:hRule="atLeast"/>
        </w:trPr>
        <w:tc>
          <w:tcPr>
            <w:tcW w:w="8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94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120" w:after="120"/>
              <w:jc w:val="left"/>
              <w:rPr/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x-none" w:bidi="ar-SA"/>
              </w:rPr>
              <w:t xml:space="preserve">Оригинальные  (аналоги - по согласованию) материалы и запчасти для транспортных средств </w:t>
            </w:r>
            <w:r>
              <w:rPr>
                <w:rStyle w:val="Style8"/>
                <w:rFonts w:eastAsia="Calibri" w:cs="Times New Roman"/>
                <w:b w:val="false"/>
                <w:bCs/>
                <w:i w:val="false"/>
                <w:kern w:val="0"/>
                <w:sz w:val="20"/>
                <w:szCs w:val="20"/>
                <w:shd w:fill="auto" w:val="clear"/>
                <w:lang w:val="ru-RU" w:eastAsia="x-none" w:bidi="ar-SA"/>
              </w:rPr>
              <w:t>иностранного производства.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ahoma"/>
                <w:kern w:val="0"/>
                <w:sz w:val="20"/>
                <w:szCs w:val="20"/>
                <w:lang w:val="ru-RU" w:eastAsia="ru-RU" w:bidi="ar-SA"/>
              </w:rPr>
              <w:t>Продукция должна быть новой и соответствовать указанной марке;</w:t>
            </w:r>
          </w:p>
        </w:tc>
        <w:tc>
          <w:tcPr>
            <w:tcW w:w="169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802" w:hRule="atLeast"/>
        </w:trPr>
        <w:tc>
          <w:tcPr>
            <w:tcW w:w="8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9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ahoma"/>
                <w:kern w:val="0"/>
                <w:sz w:val="20"/>
                <w:szCs w:val="20"/>
                <w:lang w:val="ru-RU" w:eastAsia="ru-RU" w:bidi="ar-SA"/>
              </w:rPr>
              <w:t>Продукция должна быть новой и свободной от любых прав и притязаний третьих лиц;</w:t>
            </w:r>
          </w:p>
        </w:tc>
        <w:tc>
          <w:tcPr>
            <w:tcW w:w="169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9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ahoma"/>
                <w:kern w:val="0"/>
                <w:sz w:val="20"/>
                <w:szCs w:val="20"/>
                <w:lang w:val="ru-RU" w:eastAsia="ru-RU" w:bidi="ar-SA"/>
              </w:rPr>
              <w:t>Продукция должна соответствовать ГОСТу или ТУ;</w:t>
            </w:r>
          </w:p>
        </w:tc>
        <w:tc>
          <w:tcPr>
            <w:tcW w:w="169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27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tbl>
      <w:tblPr>
        <w:tblStyle w:val="2e"/>
        <w:tblW w:w="10632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0"/>
        <w:gridCol w:w="2556"/>
        <w:gridCol w:w="2978"/>
        <w:gridCol w:w="1698"/>
        <w:gridCol w:w="1278"/>
        <w:gridCol w:w="1271"/>
      </w:tblGrid>
      <w:tr>
        <w:trPr/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2.</w:t>
            </w:r>
          </w:p>
        </w:tc>
        <w:tc>
          <w:tcPr>
            <w:tcW w:w="55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698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2.1</w:t>
            </w:r>
          </w:p>
        </w:tc>
        <w:tc>
          <w:tcPr>
            <w:tcW w:w="2556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Место поставки</w:t>
            </w:r>
          </w:p>
        </w:tc>
        <w:tc>
          <w:tcPr>
            <w:tcW w:w="297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г. Москва, ул. Волоколамское шоссе д.2</w:t>
            </w:r>
          </w:p>
        </w:tc>
        <w:tc>
          <w:tcPr>
            <w:tcW w:w="1698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3.</w:t>
            </w:r>
          </w:p>
        </w:tc>
        <w:tc>
          <w:tcPr>
            <w:tcW w:w="553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7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3.1.</w:t>
            </w:r>
          </w:p>
        </w:tc>
        <w:tc>
          <w:tcPr>
            <w:tcW w:w="2556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97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Товарно-транспортная накладная, копии документов, подтверждающие качество поставляемой продукции заверенные печатью Поставщика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8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</w:tbl>
    <w:p>
      <w:pPr>
        <w:pStyle w:val="Heading1"/>
        <w:keepLines/>
        <w:numPr>
          <w:ilvl w:val="0"/>
          <w:numId w:val="3"/>
        </w:numPr>
        <w:ind w:hanging="426" w:left="426"/>
        <w:rPr>
          <w:lang w:val="ru-RU"/>
        </w:rPr>
      </w:pPr>
      <w:r>
        <w:rPr>
          <w:lang w:val="ru-RU"/>
        </w:rPr>
        <w:t>Требования к документации по ценообразованию на этапе закупки</w:t>
      </w:r>
    </w:p>
    <w:p>
      <w:pPr>
        <w:pStyle w:val="Heading4"/>
        <w:numPr>
          <w:ilvl w:val="1"/>
          <w:numId w:val="3"/>
        </w:numPr>
        <w:ind w:hanging="0" w:left="0"/>
        <w:rPr>
          <w:b w:val="false"/>
        </w:rPr>
      </w:pPr>
      <w:r>
        <w:rPr>
          <w:b w:val="false"/>
        </w:rPr>
        <w:t>В цену Товара должны быть включены все затраты, связанные с исполнением обязательств по поставке Товара, в том числе, все налоги, сборы и пошлины, расходы на доставку Товара, погрузку и разгрузку, иные расходы, связанные с исполнением обязательств по Договору.</w:t>
      </w:r>
    </w:p>
    <w:p>
      <w:pPr>
        <w:pStyle w:val="Heading4"/>
        <w:numPr>
          <w:ilvl w:val="1"/>
          <w:numId w:val="3"/>
        </w:numPr>
        <w:ind w:hanging="0" w:left="0"/>
        <w:rPr>
          <w:b w:val="false"/>
        </w:rPr>
      </w:pPr>
      <w:r>
        <w:rPr>
          <w:b w:val="false"/>
        </w:rPr>
        <w:t>Цена единицы Товара остается фиксированной на весь срок действия Договора. Индексация Цены единицы Товара не предусмотрена.</w:t>
      </w:r>
    </w:p>
    <w:p>
      <w:pPr>
        <w:pStyle w:val="Heading4"/>
        <w:numPr>
          <w:ilvl w:val="1"/>
          <w:numId w:val="3"/>
        </w:numPr>
        <w:ind w:hanging="0" w:left="0"/>
        <w:jc w:val="both"/>
        <w:rPr>
          <w:b w:val="false"/>
        </w:rPr>
      </w:pPr>
      <w:r>
        <w:rPr>
          <w:b w:val="false"/>
        </w:rPr>
        <w:t>Покупатель оставляет за собой право не выбирать полный объем Товара, указанный в настоящих технических требованиях.</w:t>
      </w:r>
    </w:p>
    <w:p>
      <w:pPr>
        <w:pStyle w:val="ListParagraph"/>
        <w:numPr>
          <w:ilvl w:val="1"/>
          <w:numId w:val="3"/>
        </w:numPr>
        <w:ind w:hanging="0" w:left="0"/>
        <w:rPr>
          <w:lang w:eastAsia="x-none"/>
        </w:rPr>
      </w:pPr>
      <w:r>
        <w:rPr>
          <w:lang w:eastAsia="x-none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keepLines/>
        <w:tabs>
          <w:tab w:val="clear" w:pos="0"/>
        </w:tabs>
        <w:ind w:hanging="0" w:left="0"/>
        <w:rPr>
          <w:b w:val="false"/>
          <w:iCs/>
          <w:sz w:val="24"/>
          <w:szCs w:val="24"/>
          <w:lang w:val="ru-RU"/>
        </w:rPr>
      </w:pPr>
      <w:r>
        <w:rPr>
          <w:b w:val="false"/>
          <w:iCs/>
          <w:sz w:val="24"/>
          <w:szCs w:val="24"/>
        </w:rPr>
        <w:t>Руководитель МП</w:t>
      </w:r>
      <w:r>
        <w:rPr>
          <w:b w:val="false"/>
          <w:iCs/>
          <w:sz w:val="24"/>
          <w:szCs w:val="24"/>
          <w:lang w:val="ru-RU"/>
        </w:rPr>
        <w:t xml:space="preserve">                                                                        ______________ И. Е. Емельянов</w:t>
      </w:r>
    </w:p>
    <w:p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altName w:val="serif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99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82578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82578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Текст Знак"/>
    <w:basedOn w:val="DefaultParagraphFont"/>
    <w:link w:val="PlainText"/>
    <w:uiPriority w:val="99"/>
    <w:semiHidden/>
    <w:qFormat/>
    <w:rsid w:val="00ad39ca"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e318d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[РГ] Текст"/>
    <w:basedOn w:val="Normal"/>
    <w:qFormat/>
    <w:rsid w:val="00c82578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PlainText">
    <w:name w:val="Plain Text"/>
    <w:basedOn w:val="Normal"/>
    <w:link w:val="Style15"/>
    <w:uiPriority w:val="99"/>
    <w:semiHidden/>
    <w:unhideWhenUsed/>
    <w:qFormat/>
    <w:rsid w:val="00ad39ca"/>
    <w:pPr>
      <w:suppressAutoHyphens w:val="false"/>
    </w:pPr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e">
    <w:name w:val="Сетка таблицы2"/>
    <w:basedOn w:val="a5"/>
    <w:uiPriority w:val="39"/>
    <w:rsid w:val="00ad39c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89C7B-7EF3-4FBC-B882-E687724FB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1972</TotalTime>
  <Application>AlterOffice/2026.2.0.0$Linux_X86_64 LibreOffice_project/bc4ef1adf80b36c7a6365f8ed6cbf29021361edd</Application>
  <AppVersion>15.0000</AppVersion>
  <Pages>3</Pages>
  <Words>1019</Words>
  <Characters>7099</Characters>
  <CharactersWithSpaces>7221</CharactersWithSpaces>
  <Paragraphs>179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2024-01-30T06:43:00Z</dcterms:created>
  <dc:creator>Быстров Олег Геннадьевич</dc:creator>
  <dc:description/>
  <dc:language>ru-RU</dc:language>
  <cp:lastModifiedBy>netysaa@corp.gidroogk.com</cp:lastModifiedBy>
  <cp:lastPrinted>2024-02-14T12:50:00Z</cp:lastPrinted>
  <dcterms:modified xsi:type="dcterms:W3CDTF">2026-10-15T14:50:21Z</dcterms:modified>
  <cp:revision>105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