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uppressAutoHyphens w:val="false"/>
        <w:spacing w:lineRule="auto" w:line="240" w:before="5400" w:after="240"/>
        <w:jc w:val="center"/>
        <w:rPr>
          <w:rFonts w:ascii="Times New Roman" w:hAnsi="Times New Roman" w:eastAsia="Calibri" w:cs="Times New Roman"/>
          <w:b/>
          <w:bCs/>
          <w:caps/>
          <w:sz w:val="28"/>
          <w:szCs w:val="28"/>
          <w:lang w:eastAsia="ru-RU"/>
        </w:rPr>
      </w:pPr>
      <w:bookmarkStart w:id="0" w:name="_Hlk198101234"/>
      <w:bookmarkEnd w:id="0"/>
      <w:r>
        <w:rPr>
          <w:rFonts w:eastAsia="Calibri" w:cs="Times New Roman" w:ascii="Times New Roman" w:hAnsi="Times New Roman"/>
          <w:b/>
          <w:bCs/>
          <w:caps/>
          <w:sz w:val="28"/>
          <w:szCs w:val="28"/>
          <w:lang w:eastAsia="ru-RU"/>
        </w:rPr>
        <w:t>Технические требования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 xml:space="preserve">ОКПД2 28.99.39.190 поставка оборудования </w:t>
      </w:r>
      <w:r>
        <w:rPr>
          <w:rFonts w:cs="Times New Roman" w:ascii="Times New Roman" w:hAnsi="Times New Roman"/>
          <w:caps/>
          <w:sz w:val="28"/>
          <w:szCs w:val="28"/>
        </w:rPr>
        <w:t xml:space="preserve">телемеханики и связи, </w:t>
      </w:r>
      <w:r>
        <w:rPr>
          <w:rFonts w:cs="Times New Roman" w:ascii="Times New Roman" w:hAnsi="Times New Roman"/>
          <w:caps/>
          <w:sz w:val="28"/>
          <w:szCs w:val="28"/>
        </w:rPr>
        <w:t xml:space="preserve">программного обеспечения </w:t>
      </w:r>
      <w:r>
        <w:rPr>
          <w:rFonts w:cs="Times New Roman" w:ascii="Times New Roman" w:hAnsi="Times New Roman"/>
          <w:caps/>
          <w:sz w:val="28"/>
          <w:szCs w:val="28"/>
        </w:rPr>
        <w:t xml:space="preserve">автоматизации </w:t>
      </w:r>
      <w:r>
        <w:rPr>
          <w:rFonts w:cs="Times New Roman" w:ascii="Times New Roman" w:hAnsi="Times New Roman"/>
          <w:caps/>
          <w:sz w:val="28"/>
          <w:szCs w:val="28"/>
        </w:rPr>
        <w:t xml:space="preserve">для </w:t>
      </w:r>
      <w:r>
        <w:rPr>
          <w:rFonts w:cs="Times New Roman" w:ascii="Times New Roman" w:hAnsi="Times New Roman"/>
          <w:caps/>
          <w:sz w:val="28"/>
          <w:szCs w:val="28"/>
        </w:rPr>
        <w:t>нужд</w:t>
      </w:r>
      <w:r>
        <w:rPr>
          <w:rFonts w:cs="Times New Roman" w:ascii="Times New Roman" w:hAnsi="Times New Roman"/>
          <w:caps/>
          <w:sz w:val="28"/>
          <w:szCs w:val="28"/>
        </w:rPr>
        <w:t xml:space="preserve"> Амурской ТЭЦ-1 в г. амурск</w:t>
      </w:r>
    </w:p>
    <w:p>
      <w:pPr>
        <w:pStyle w:val="Normal"/>
        <w:spacing w:lineRule="auto" w:line="240" w:before="240"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cs="Times New Roman" w:ascii="Times New Roman" w:hAnsi="Times New Roman"/>
          <w:caps/>
          <w:sz w:val="28"/>
          <w:szCs w:val="28"/>
        </w:rPr>
        <w:t>Лот № 0058-ТПиР ИТ ДОХ-2026-РГЦР-Внутр</w:t>
      </w:r>
    </w:p>
    <w:p>
      <w:pPr>
        <w:pStyle w:val="Normal"/>
        <w:spacing w:lineRule="auto" w:line="240"/>
        <w:jc w:val="center"/>
        <w:rPr>
          <w:rFonts w:ascii="Times New Roman" w:hAnsi="Times New Roman" w:eastAsia="Calibri" w:cs="Times New Roman"/>
          <w:b/>
          <w:caps/>
          <w:sz w:val="24"/>
          <w:szCs w:val="24"/>
        </w:rPr>
      </w:pPr>
      <w:r>
        <w:rPr>
          <w:rFonts w:eastAsia="Calibri" w:cs="Times New Roman" w:ascii="Times New Roman" w:hAnsi="Times New Roman"/>
          <w:b/>
          <w:caps/>
          <w:sz w:val="24"/>
          <w:szCs w:val="24"/>
        </w:rPr>
      </w:r>
      <w:r>
        <w:br w:type="page"/>
      </w:r>
    </w:p>
    <w:p>
      <w:pPr>
        <w:pStyle w:val="Normal"/>
        <w:keepNext w:val="true"/>
        <w:numPr>
          <w:ilvl w:val="0"/>
          <w:numId w:val="3"/>
        </w:numPr>
        <w:tabs>
          <w:tab w:val="clear" w:pos="709"/>
          <w:tab w:val="left" w:pos="0" w:leader="none"/>
        </w:tabs>
        <w:spacing w:lineRule="auto" w:line="240" w:before="120" w:after="60"/>
        <w:ind w:hanging="0" w:left="0"/>
        <w:jc w:val="center"/>
        <w:outlineLvl w:val="0"/>
        <w:rPr>
          <w:rFonts w:ascii="Times New Roman" w:hAnsi="Times New Roman" w:eastAsia="Calibri" w:cs="Times New Roman"/>
          <w:b/>
          <w:caps/>
          <w:sz w:val="24"/>
          <w:szCs w:val="24"/>
          <w:lang w:val="x-none" w:eastAsia="x-none"/>
        </w:rPr>
      </w:pPr>
      <w:bookmarkStart w:id="1" w:name="_Hlk198101234"/>
      <w:bookmarkStart w:id="2" w:name="_Toc212029605"/>
      <w:bookmarkStart w:id="3" w:name="_Toc197432484"/>
      <w:bookmarkEnd w:id="1"/>
      <w:bookmarkEnd w:id="3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Общие сведения</w:t>
      </w:r>
      <w:bookmarkEnd w:id="2"/>
    </w:p>
    <w:p>
      <w:pPr>
        <w:pStyle w:val="Normal"/>
        <w:keepNext w:val="true"/>
        <w:numPr>
          <w:ilvl w:val="1"/>
          <w:numId w:val="3"/>
        </w:numPr>
        <w:tabs>
          <w:tab w:val="clear" w:pos="709"/>
          <w:tab w:val="left" w:pos="0" w:leader="none"/>
        </w:tabs>
        <w:spacing w:lineRule="auto" w:line="240" w:before="240" w:after="60"/>
        <w:ind w:hanging="709" w:left="709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4" w:name="_Toc212029606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Обозначения и сокращения</w:t>
      </w:r>
      <w:bookmarkEnd w:id="4"/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156"/>
        <w:gridCol w:w="7764"/>
      </w:tblGrid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Программное обеспечение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АРМ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Автоматизированное рабочее место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СИЗ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Средства индивидуальной защиты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ТТ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СОТИАССО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Система обмена технологической информацией с автоматизированной системой системного оператора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РАС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Регистратор аварийных событий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АИИСКУЭ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Автоматизированная информационная измерительная система коммерческого учета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ПМИ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Программа и методика испытаний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МСЭ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Межсетевой экран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МИП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Многофункциональный измерительный преобразователь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АСУТП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Автоматизированная система управления технологическими процессами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Объект КИИ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Объект критической информационной структуры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Энергообъект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Амурская ТЭЦ-1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ООО «РГЦР»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Функциональный заказчик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СП «Амурская ТЭЦ-1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Участник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Юридическое или физическое лицо, подавшее заявку на участие в закупке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Производитель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Физическое или юридическое лицо, обладающее полным спектром вещных прав на продукцию, выпускающее ее под своей торговой маркой самостоятельно (либо с привлечением услуг маркировщиков, упаковщиков, проектировщиков и изготовителей) и несущее полную ответственность за соблюдение требований безопасности, установленных в конкретной отрасли. Информация о нем в обязательном порядке указывается на продукции и доводится до Потребителя.</w:t>
            </w:r>
          </w:p>
        </w:tc>
      </w:tr>
      <w:tr>
        <w:trPr>
          <w:cantSplit w:val="true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Поставщик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Победитель закупочной процедуры, получивший право заключения договора</w:t>
            </w:r>
          </w:p>
        </w:tc>
      </w:tr>
    </w:tbl>
    <w:p>
      <w:pPr>
        <w:pStyle w:val="Normal"/>
        <w:keepNext w:val="true"/>
        <w:numPr>
          <w:ilvl w:val="1"/>
          <w:numId w:val="3"/>
        </w:numPr>
        <w:tabs>
          <w:tab w:val="clear" w:pos="709"/>
          <w:tab w:val="left" w:pos="0" w:leader="none"/>
        </w:tabs>
        <w:spacing w:lineRule="auto" w:line="240" w:before="240" w:after="60"/>
        <w:ind w:hanging="709" w:left="709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5" w:name="_Toc21202960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Наименование закупаемой продукции</w:t>
      </w:r>
      <w:bookmarkEnd w:id="5"/>
    </w:p>
    <w:p>
      <w:pPr>
        <w:pStyle w:val="Normal"/>
        <w:widowControl w:val="false"/>
        <w:spacing w:lineRule="auto" w:line="240" w:before="60"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ОКПД2 28.99.39.190 Поставка оборудования </w:t>
      </w:r>
      <w:r>
        <w:rPr>
          <w:rFonts w:cs="Times New Roman" w:ascii="Times New Roman" w:hAnsi="Times New Roman"/>
          <w:sz w:val="24"/>
          <w:szCs w:val="24"/>
        </w:rPr>
        <w:t xml:space="preserve">телемеханики и связи, </w:t>
      </w:r>
      <w:r>
        <w:rPr>
          <w:rFonts w:cs="Times New Roman" w:ascii="Times New Roman" w:hAnsi="Times New Roman"/>
          <w:sz w:val="24"/>
          <w:szCs w:val="24"/>
        </w:rPr>
        <w:t xml:space="preserve">программного обеспечения </w:t>
      </w:r>
      <w:r>
        <w:rPr>
          <w:rFonts w:cs="Times New Roman" w:ascii="Times New Roman" w:hAnsi="Times New Roman"/>
          <w:sz w:val="24"/>
          <w:szCs w:val="24"/>
        </w:rPr>
        <w:t xml:space="preserve">автоматизации </w:t>
      </w:r>
      <w:r>
        <w:rPr>
          <w:rFonts w:cs="Times New Roman" w:ascii="Times New Roman" w:hAnsi="Times New Roman"/>
          <w:sz w:val="24"/>
          <w:szCs w:val="24"/>
        </w:rPr>
        <w:t xml:space="preserve">для </w:t>
      </w:r>
      <w:r>
        <w:rPr>
          <w:rFonts w:cs="Times New Roman" w:ascii="Times New Roman" w:hAnsi="Times New Roman"/>
          <w:sz w:val="24"/>
          <w:szCs w:val="24"/>
        </w:rPr>
        <w:t xml:space="preserve">нужд </w:t>
      </w:r>
      <w:r>
        <w:rPr>
          <w:rFonts w:cs="Times New Roman" w:ascii="Times New Roman" w:hAnsi="Times New Roman"/>
          <w:sz w:val="24"/>
          <w:szCs w:val="24"/>
        </w:rPr>
        <w:t xml:space="preserve">Амурской ТЭЦ-1 в г. Амурск (лот № </w:t>
      </w:r>
      <w:r>
        <w:rPr>
          <w:rFonts w:cs="Times New Roman" w:ascii="Times New Roman" w:hAnsi="Times New Roman"/>
          <w:caps/>
          <w:sz w:val="24"/>
          <w:szCs w:val="24"/>
        </w:rPr>
        <w:t>0058-ТПиР ИТ ДОХ-2026-РГЦР-Внутр</w:t>
      </w:r>
      <w:r>
        <w:rPr>
          <w:rFonts w:cs="Times New Roman" w:ascii="Times New Roman" w:hAnsi="Times New Roman"/>
          <w:sz w:val="24"/>
          <w:szCs w:val="24"/>
        </w:rPr>
        <w:t>).</w:t>
      </w:r>
    </w:p>
    <w:p>
      <w:pPr>
        <w:pStyle w:val="Normal"/>
        <w:keepNext w:val="true"/>
        <w:numPr>
          <w:ilvl w:val="1"/>
          <w:numId w:val="3"/>
        </w:numPr>
        <w:tabs>
          <w:tab w:val="clear" w:pos="709"/>
          <w:tab w:val="left" w:pos="0" w:leader="none"/>
        </w:tabs>
        <w:spacing w:lineRule="auto" w:line="240" w:before="240" w:after="60"/>
        <w:ind w:hanging="709" w:left="709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6" w:name="_Toc212029608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Цель использования закупаемой продукции</w:t>
      </w:r>
      <w:bookmarkEnd w:id="6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 </w:t>
      </w:r>
    </w:p>
    <w:p>
      <w:pPr>
        <w:pStyle w:val="Normal"/>
        <w:spacing w:lineRule="auto" w:line="240" w:before="60" w:after="60"/>
        <w:ind w:firstLine="709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Целью </w:t>
      </w:r>
      <w:r>
        <w:rPr>
          <w:rFonts w:eastAsia="Calibri" w:cs="Times New Roman" w:ascii="Times New Roman" w:hAnsi="Times New Roman"/>
          <w:sz w:val="24"/>
          <w:szCs w:val="24"/>
          <w:lang w:eastAsia="ru-RU"/>
        </w:rPr>
        <w:t>использования закупаемой продукции</w:t>
      </w:r>
      <w:r>
        <w:rPr>
          <w:rFonts w:eastAsia="Calibri" w:cs="Times New Roman" w:ascii="Times New Roman" w:hAnsi="Times New Roman"/>
          <w:sz w:val="24"/>
          <w:szCs w:val="24"/>
        </w:rPr>
        <w:t xml:space="preserve"> является модернизация системы СОТИАССО Амурской ТЭЦ-1.</w:t>
      </w:r>
    </w:p>
    <w:p>
      <w:pPr>
        <w:pStyle w:val="Normal"/>
        <w:spacing w:lineRule="auto" w:line="240" w:before="60" w:after="60"/>
        <w:ind w:firstLine="709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Таблица 1. Перечень объектов заказчика</w:t>
      </w:r>
    </w:p>
    <w:tbl>
      <w:tblPr>
        <w:tblW w:w="980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2"/>
        <w:gridCol w:w="1730"/>
        <w:gridCol w:w="2977"/>
        <w:gridCol w:w="2692"/>
        <w:gridCol w:w="1844"/>
      </w:tblGrid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№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Наименование объекта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Расположение объекта</w:t>
              <w:br/>
            </w:r>
            <w:r>
              <w:rPr>
                <w:rFonts w:eastAsia="Times New Roman" w:cs="Times New Roman" w:ascii="Times New Roman" w:hAnsi="Times New Roman"/>
                <w:b/>
                <w:iCs/>
                <w:sz w:val="20"/>
                <w:szCs w:val="20"/>
                <w:lang w:eastAsia="ru-RU"/>
              </w:rPr>
              <w:t>(место производства работ)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 xml:space="preserve">Наименование основного средства </w:t>
              <w:br/>
              <w:t>(в отношении которого выполняются работы)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Примечания</w:t>
            </w:r>
          </w:p>
        </w:tc>
      </w:tr>
      <w:tr>
        <w:trPr/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5</w:t>
            </w:r>
          </w:p>
        </w:tc>
      </w:tr>
      <w:tr>
        <w:trPr>
          <w:trHeight w:val="881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7"/>
              </w:numPr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Амурская ТЭЦ-1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682640, Российская Федерация, Хабаровский край, г. Амурск, Западное шоссе, 10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highlight w:val="white"/>
              </w:rPr>
              <w:t>Комплекс телемеханики, каналов связи и передачи данных СП Атэц-1. Инв. № B060021084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keepNext w:val="true"/>
        <w:numPr>
          <w:ilvl w:val="1"/>
          <w:numId w:val="3"/>
        </w:numPr>
        <w:tabs>
          <w:tab w:val="clear" w:pos="709"/>
          <w:tab w:val="left" w:pos="0" w:leader="none"/>
        </w:tabs>
        <w:spacing w:lineRule="auto" w:line="240" w:before="240" w:after="60"/>
        <w:ind w:hanging="709" w:left="709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7" w:name="_Toc212029610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7"/>
    </w:p>
    <w:p>
      <w:pPr>
        <w:pStyle w:val="ListParagraph"/>
        <w:numPr>
          <w:ilvl w:val="2"/>
          <w:numId w:val="8"/>
        </w:numPr>
        <w:spacing w:before="0" w:after="0"/>
        <w:ind w:hanging="709" w:left="709"/>
        <w:contextualSpacing w:val="false"/>
        <w:jc w:val="both"/>
        <w:rPr/>
      </w:pPr>
      <w:r>
        <w:rPr/>
        <w:t>В ходе исполнения договора Заказчик предоставляет для выполнения работ в месте размещения объектов автоматизации на безвозмездной основе Поставщику следующие виды ресурсов:</w:t>
      </w:r>
    </w:p>
    <w:p>
      <w:pPr>
        <w:pStyle w:val="ListParagraph"/>
        <w:numPr>
          <w:ilvl w:val="3"/>
          <w:numId w:val="8"/>
        </w:numPr>
        <w:spacing w:before="0" w:after="0"/>
        <w:ind w:hanging="1019" w:left="1728"/>
        <w:contextualSpacing w:val="false"/>
        <w:jc w:val="both"/>
        <w:rPr/>
      </w:pPr>
      <w:r>
        <w:rPr/>
        <w:t>Подключение к электроэнергии.</w:t>
      </w:r>
    </w:p>
    <w:p>
      <w:pPr>
        <w:pStyle w:val="ListParagraph"/>
        <w:numPr>
          <w:ilvl w:val="3"/>
          <w:numId w:val="8"/>
        </w:numPr>
        <w:spacing w:before="0" w:after="0"/>
        <w:ind w:hanging="1019" w:left="1728"/>
        <w:contextualSpacing w:val="false"/>
        <w:jc w:val="both"/>
        <w:rPr/>
      </w:pPr>
      <w:r>
        <w:rPr/>
        <w:t>Складские помещения и площадки для погрузки / разгрузки / складирования / хранения материально-технических ресурсов.</w:t>
      </w:r>
    </w:p>
    <w:p>
      <w:pPr>
        <w:pStyle w:val="ListParagraph"/>
        <w:numPr>
          <w:ilvl w:val="2"/>
          <w:numId w:val="8"/>
        </w:numPr>
        <w:spacing w:before="0" w:after="0"/>
        <w:ind w:hanging="709" w:left="709"/>
        <w:contextualSpacing w:val="false"/>
        <w:jc w:val="both"/>
        <w:rPr>
          <w:rFonts w:eastAsia="Times New Roman"/>
        </w:rPr>
      </w:pPr>
      <w:r>
        <w:rPr>
          <w:rFonts w:eastAsia="Times New Roman"/>
        </w:rPr>
        <w:t>В ходе исполнения договора Поставщику необходимо учесть наличие обновления Производителями модельного ряда поставляемого серийного оборудования и при использовании новых моделей обеспечить полную сохранность функциональности, заданной в Приложениях №№ 1, 2 к Техническим требованиям.</w:t>
      </w:r>
    </w:p>
    <w:p>
      <w:pPr>
        <w:pStyle w:val="Normal"/>
        <w:keepNext w:val="true"/>
        <w:numPr>
          <w:ilvl w:val="0"/>
          <w:numId w:val="3"/>
        </w:numPr>
        <w:tabs>
          <w:tab w:val="clear" w:pos="709"/>
          <w:tab w:val="left" w:pos="0" w:leader="none"/>
        </w:tabs>
        <w:spacing w:lineRule="auto" w:line="240" w:before="120" w:after="60"/>
        <w:ind w:hanging="0" w:left="0"/>
        <w:jc w:val="center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8" w:name="_Toc212029611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Требования к продукции</w:t>
      </w:r>
      <w:bookmarkEnd w:id="8"/>
    </w:p>
    <w:p>
      <w:pPr>
        <w:pStyle w:val="Normal"/>
        <w:keepNext w:val="true"/>
        <w:numPr>
          <w:ilvl w:val="1"/>
          <w:numId w:val="3"/>
        </w:numPr>
        <w:tabs>
          <w:tab w:val="clear" w:pos="709"/>
          <w:tab w:val="left" w:pos="1134" w:leader="none"/>
        </w:tabs>
        <w:spacing w:lineRule="auto" w:line="240" w:before="120" w:after="60"/>
        <w:ind w:hanging="709" w:left="709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9" w:name="_Toc212029612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по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объемам</w:t>
      </w:r>
      <w:bookmarkEnd w:id="9"/>
    </w:p>
    <w:p>
      <w:pPr>
        <w:pStyle w:val="Normal"/>
        <w:keepNext w:val="true"/>
        <w:numPr>
          <w:ilvl w:val="2"/>
          <w:numId w:val="3"/>
        </w:numPr>
        <w:tabs>
          <w:tab w:val="clear" w:pos="709"/>
          <w:tab w:val="left" w:pos="1276" w:leader="none"/>
        </w:tabs>
        <w:spacing w:lineRule="auto" w:line="240" w:before="120" w:after="60"/>
        <w:ind w:hanging="709" w:left="709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0" w:name="_Toc212029613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к видам и объемам </w:t>
      </w:r>
      <w:bookmarkEnd w:id="1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поставок МТР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1" w:name="_Toc21202961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2. Перечень и объем закупаемой продукции</w:t>
      </w:r>
      <w:bookmarkEnd w:id="11"/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73"/>
        <w:gridCol w:w="4726"/>
        <w:gridCol w:w="2103"/>
        <w:gridCol w:w="2218"/>
      </w:tblGrid>
      <w:tr>
        <w:trPr>
          <w:trHeight w:val="66" w:hRule="atLeast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Единица измерения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sz w:val="20"/>
                <w:szCs w:val="20"/>
              </w:rPr>
              <w:t>Количество</w:t>
            </w:r>
          </w:p>
        </w:tc>
      </w:tr>
      <w:tr>
        <w:trPr>
          <w:trHeight w:val="70" w:hRule="atLeast"/>
        </w:trPr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4</w:t>
            </w:r>
          </w:p>
        </w:tc>
      </w:tr>
      <w:tr>
        <w:trPr/>
        <w:tc>
          <w:tcPr>
            <w:tcW w:w="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spacing w:lineRule="auto" w:line="240" w:before="60" w:after="60"/>
              <w:ind w:hanging="0" w:left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ОКПД2 28.99.39.190 Поставка оборудования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телемеханики и связи,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программного обеспечения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автоматизации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для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нужд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Амурской ТЭЦ-1 в г. Амурск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компл.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keepNext w:val="true"/>
        <w:numPr>
          <w:ilvl w:val="2"/>
          <w:numId w:val="3"/>
        </w:numPr>
        <w:tabs>
          <w:tab w:val="clear" w:pos="709"/>
          <w:tab w:val="left" w:pos="1276" w:leader="none"/>
        </w:tabs>
        <w:spacing w:lineRule="auto" w:line="240" w:before="120" w:after="60"/>
        <w:ind w:hanging="709" w:left="709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2" w:name="_Toc21202961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к срокам </w:t>
      </w:r>
      <w:bookmarkEnd w:id="12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поставок МТР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3" w:name="_Toc21202961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3. Требования к срокам </w:t>
      </w:r>
      <w:bookmarkEnd w:id="1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75"/>
        <w:gridCol w:w="4724"/>
        <w:gridCol w:w="2103"/>
        <w:gridCol w:w="2218"/>
      </w:tblGrid>
      <w:tr>
        <w:trPr>
          <w:tblHeader w:val="true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Наименование продукции / партии продукции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Требования к началу срока поставки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eastAsia="ru-RU"/>
              </w:rPr>
              <w:t>Требования к окончанию срока поставки</w:t>
            </w:r>
          </w:p>
        </w:tc>
      </w:tr>
      <w:tr>
        <w:trPr>
          <w:tblHeader w:val="true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left="57" w:right="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5</w:t>
            </w:r>
          </w:p>
        </w:tc>
      </w:tr>
      <w:tr>
        <w:trPr/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9"/>
              </w:numPr>
              <w:spacing w:lineRule="auto" w:line="240" w:before="60" w:after="60"/>
              <w:ind w:hanging="0" w:left="0"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60" w:after="6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ОКПД2 28.99.39.190 Поставка оборудования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телемеханики и связи,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программного обеспечения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автоматизации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для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нужд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Амурской ТЭЦ-1 в г. Амурск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 позднее 60 к.д. с даты заключения договора</w:t>
            </w:r>
          </w:p>
        </w:tc>
      </w:tr>
    </w:tbl>
    <w:p>
      <w:pPr>
        <w:sectPr>
          <w:headerReference w:type="default" r:id="rId2"/>
          <w:headerReference w:type="first" r:id="rId3"/>
          <w:footerReference w:type="default" r:id="rId4"/>
          <w:footerReference w:type="first" r:id="rId5"/>
          <w:type w:val="nextPage"/>
          <w:pgSz w:w="11906" w:h="16838"/>
          <w:pgMar w:left="1418" w:right="567" w:gutter="0" w:header="0" w:top="567" w:footer="567" w:bottom="709"/>
          <w:pgNumType w:start="1" w:fmt="decimal"/>
          <w:formProt w:val="false"/>
          <w:titlePg/>
          <w:textDirection w:val="lrTb"/>
          <w:docGrid w:type="default" w:linePitch="381" w:charSpace="36864"/>
        </w:sectPr>
      </w:pPr>
    </w:p>
    <w:p>
      <w:pPr>
        <w:pStyle w:val="Normal"/>
        <w:keepNext w:val="true"/>
        <w:numPr>
          <w:ilvl w:val="1"/>
          <w:numId w:val="3"/>
        </w:numPr>
        <w:tabs>
          <w:tab w:val="clear" w:pos="709"/>
          <w:tab w:val="left" w:pos="1134" w:leader="none"/>
        </w:tabs>
        <w:spacing w:lineRule="auto" w:line="240" w:before="120" w:after="60"/>
        <w:ind w:hanging="709" w:left="709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4" w:name="_Toc212029618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14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качеству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продукции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Наименование продукции (позиция № 1 Таблицы 2):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ОКПД2 28.99.39.190 ОКПД2 28.99.39.190 Поставка оборудования </w:t>
      </w:r>
      <w:r>
        <w:rPr>
          <w:rFonts w:cs="Times New Roman" w:ascii="Times New Roman" w:hAnsi="Times New Roman"/>
          <w:sz w:val="24"/>
          <w:szCs w:val="24"/>
        </w:rPr>
        <w:t xml:space="preserve">телемеханики и связи, </w:t>
      </w:r>
      <w:r>
        <w:rPr>
          <w:rFonts w:cs="Times New Roman" w:ascii="Times New Roman" w:hAnsi="Times New Roman"/>
          <w:sz w:val="24"/>
          <w:szCs w:val="24"/>
        </w:rPr>
        <w:t xml:space="preserve">программного обеспечения </w:t>
      </w:r>
      <w:r>
        <w:rPr>
          <w:rFonts w:cs="Times New Roman" w:ascii="Times New Roman" w:hAnsi="Times New Roman"/>
          <w:sz w:val="24"/>
          <w:szCs w:val="24"/>
        </w:rPr>
        <w:t xml:space="preserve">автоматизации </w:t>
      </w:r>
      <w:r>
        <w:rPr>
          <w:rFonts w:cs="Times New Roman" w:ascii="Times New Roman" w:hAnsi="Times New Roman"/>
          <w:sz w:val="24"/>
          <w:szCs w:val="24"/>
        </w:rPr>
        <w:t xml:space="preserve">для </w:t>
      </w:r>
      <w:r>
        <w:rPr>
          <w:rFonts w:cs="Times New Roman" w:ascii="Times New Roman" w:hAnsi="Times New Roman"/>
          <w:sz w:val="24"/>
          <w:szCs w:val="24"/>
        </w:rPr>
        <w:t xml:space="preserve">нужд </w:t>
      </w:r>
      <w:r>
        <w:rPr>
          <w:rFonts w:cs="Times New Roman" w:ascii="Times New Roman" w:hAnsi="Times New Roman"/>
          <w:sz w:val="24"/>
          <w:szCs w:val="24"/>
        </w:rPr>
        <w:t xml:space="preserve">Амурской ТЭЦ-1 в г. Амурск (Лот № </w:t>
      </w:r>
      <w:r>
        <w:rPr>
          <w:rFonts w:cs="Times New Roman" w:ascii="Times New Roman" w:hAnsi="Times New Roman"/>
          <w:caps/>
          <w:sz w:val="24"/>
          <w:szCs w:val="24"/>
        </w:rPr>
        <w:t xml:space="preserve">0058-ТПиР ИТ ДОХ-2026-РГЦР-Внутр </w:t>
      </w:r>
      <w:r>
        <w:rPr>
          <w:rFonts w:cs="Times New Roman" w:ascii="Times New Roman" w:hAnsi="Times New Roman"/>
          <w:sz w:val="24"/>
          <w:szCs w:val="24"/>
        </w:rPr>
        <w:t>)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5" w:name="_Toc212029619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4.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End w:id="1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качеству продукции</w:t>
      </w:r>
    </w:p>
    <w:tbl>
      <w:tblPr>
        <w:tblStyle w:val="52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87"/>
        <w:gridCol w:w="2134"/>
        <w:gridCol w:w="5044"/>
        <w:gridCol w:w="2547"/>
        <w:gridCol w:w="2547"/>
        <w:gridCol w:w="2544"/>
      </w:tblGrid>
      <w:tr>
        <w:trPr>
          <w:tblHeader w:val="true"/>
          <w:trHeight w:val="113" w:hRule="atLeast"/>
        </w:trPr>
        <w:tc>
          <w:tcPr>
            <w:tcW w:w="887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21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504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Требование заказчика</w:t>
            </w:r>
          </w:p>
        </w:tc>
        <w:tc>
          <w:tcPr>
            <w:tcW w:w="5094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54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trHeight w:val="113" w:hRule="atLeast"/>
        </w:trPr>
        <w:tc>
          <w:tcPr>
            <w:tcW w:w="887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504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Согласие с требованием / указание характеристик</w:t>
            </w:r>
          </w:p>
        </w:tc>
        <w:tc>
          <w:tcPr>
            <w:tcW w:w="254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4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blHeader w:val="true"/>
        </w:trPr>
        <w:tc>
          <w:tcPr>
            <w:tcW w:w="8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13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50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4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5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81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 xml:space="preserve">Требования к техническим и функциональным характеристикам (включая гарантируемые показатели) 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4816" w:type="dxa"/>
            <w:gridSpan w:val="5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Требования к номенклатуре поставляемой продукции в соответствии с Приложением 1 к таблице 4 настоящих технических требований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Требования к объему поставляемой продукции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Объем поставляемой продукции должен соответствовать Приложение 1 к настоящим техническим требованиям – Спецификации поставляемой продукции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  <w:i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Основные технические требования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Оборудование должно быть изготовлено в соответствии со стандартами МЭК (IEC) и следующей нормативно-технической документацией, в действующей редакции: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ГОСТ 12.2.049-80 «Оборудование производственное. Общие эргономические требования».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Правила устройства электроустановок (действующее издание).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Требование к готовности оборудования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Оборудование должно быть полностью готовым к монтажу на объекте и последующей эксплуатации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  <w:i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Требования к шкафным изделиям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Поставляемые шкафные изделия должны быть изготовлены Поставщиком в соответствии с утвержденными ЗЗИ, ОЛ - Приложением № 2 к Техническим требованиям с учетом п.1.5.2:</w:t>
            </w:r>
          </w:p>
          <w:tbl>
            <w:tblPr>
              <w:tblW w:w="4350" w:type="pct"/>
              <w:jc w:val="left"/>
              <w:tblInd w:w="0" w:type="dxa"/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noHBand="0" w:noVBand="1" w:firstColumn="1" w:lastRow="0" w:lastColumn="0" w:firstRow="1"/>
            </w:tblPr>
            <w:tblGrid>
              <w:gridCol w:w="403"/>
              <w:gridCol w:w="1224"/>
              <w:gridCol w:w="2573"/>
            </w:tblGrid>
            <w:tr>
              <w:trPr>
                <w:trHeight w:val="43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color w:val="000000"/>
                      <w:sz w:val="20"/>
                      <w:szCs w:val="20"/>
                    </w:rPr>
                    <w:t>№№</w:t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b/>
                      <w:color w:val="000000"/>
                      <w:sz w:val="20"/>
                      <w:szCs w:val="20"/>
                    </w:rPr>
                    <w:t>Номенклатура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0" w:after="0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Times New Roman" w:hAnsi="Times New Roman"/>
                      <w:b/>
                      <w:color w:val="000000"/>
                      <w:sz w:val="20"/>
                      <w:szCs w:val="20"/>
                    </w:rPr>
                    <w:t>Раздел ЗЗИ</w:t>
                  </w:r>
                  <w:r>
                    <w:rPr>
                      <w:rFonts w:cs="Times New Roman" w:ascii="Times New Roman" w:hAnsi="Times New Roman"/>
                      <w:b/>
                      <w:color w:val="000000"/>
                      <w:sz w:val="20"/>
                      <w:szCs w:val="20"/>
                      <w:lang w:val="en-US"/>
                    </w:rPr>
                    <w:t>, ОЛ</w:t>
                  </w:r>
                </w:p>
              </w:tc>
            </w:tr>
            <w:tr>
              <w:trPr>
                <w:trHeight w:val="43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Шкаф СТМ №1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58252232.425200.0054.001.2</w:t>
                  </w:r>
                </w:p>
              </w:tc>
            </w:tr>
            <w:tr>
              <w:trPr>
                <w:trHeight w:val="43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val="en-US"/>
                    </w:rPr>
                    <w:t>Шкаф ТК №1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58252232.425200.0054.402.001.1</w:t>
                  </w:r>
                </w:p>
              </w:tc>
            </w:tr>
            <w:tr>
              <w:trPr>
                <w:trHeight w:val="410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Шкаф СТМ №2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58252232.425200.0054.002.2</w:t>
                  </w:r>
                </w:p>
              </w:tc>
            </w:tr>
            <w:tr>
              <w:trPr>
                <w:trHeight w:val="410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val="en-US"/>
                    </w:rPr>
                    <w:t>Шкаф ТК №2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58252232.425200.0054.402.002.1</w:t>
                  </w:r>
                </w:p>
              </w:tc>
            </w:tr>
            <w:tr>
              <w:trPr>
                <w:trHeight w:val="410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Calibri" w:cs="Times New Roman" w:ascii="Times New Roman" w:hAnsi="Times New Roman"/>
                      <w:sz w:val="20"/>
                      <w:szCs w:val="20"/>
                      <w:lang w:eastAsia="ru-RU"/>
                    </w:rPr>
                    <w:t>Шкаф ССПИ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</w:rPr>
                    <w:t>58252232.425200.0054.402.003</w:t>
                  </w:r>
                </w:p>
              </w:tc>
            </w:tr>
            <w:tr>
              <w:trPr>
                <w:trHeight w:val="410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Calibri" w:cs="Times New Roman" w:ascii="Times New Roman" w:hAnsi="Times New Roman"/>
                      <w:sz w:val="20"/>
                      <w:szCs w:val="20"/>
                      <w:lang w:eastAsia="ru-RU"/>
                    </w:rPr>
                    <w:t>Шкаф РАС №1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val="en-US"/>
                    </w:rPr>
                    <w:t>ОЛ1</w:t>
                  </w:r>
                </w:p>
              </w:tc>
            </w:tr>
            <w:tr>
              <w:trPr>
                <w:trHeight w:val="410" w:hRule="atLeast"/>
              </w:trPr>
              <w:tc>
                <w:tcPr>
                  <w:tcW w:w="4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1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</w:r>
                </w:p>
              </w:tc>
              <w:tc>
                <w:tcPr>
                  <w:tcW w:w="12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right="57"/>
                    <w:rPr>
                      <w:rFonts w:ascii="Times New Roman" w:hAnsi="Times New Roman" w:eastAsia="Calibri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eastAsia="Calibri" w:cs="Times New Roman" w:ascii="Times New Roman" w:hAnsi="Times New Roman"/>
                      <w:sz w:val="20"/>
                      <w:szCs w:val="20"/>
                      <w:lang w:eastAsia="ru-RU"/>
                    </w:rPr>
                    <w:t>Шкаф РАС №2</w:t>
                  </w:r>
                </w:p>
              </w:tc>
              <w:tc>
                <w:tcPr>
                  <w:tcW w:w="25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Style39"/>
                    <w:spacing w:lineRule="auto" w:line="240" w:before="60" w:after="60"/>
                    <w:ind w:left="57" w:right="57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cs="Times New Roman" w:ascii="Times New Roman" w:hAnsi="Times New Roman"/>
                      <w:sz w:val="20"/>
                      <w:szCs w:val="20"/>
                      <w:lang w:val="en-US"/>
                    </w:rPr>
                    <w:t>ОЛ2</w:t>
                  </w:r>
                </w:p>
              </w:tc>
            </w:tr>
          </w:tbl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Используемые при изготовлении шкафов материалы, компоненты и серийное оборудование могут быть заменены на эквивалентные, указанным в ЗЗИ и опросных листах, по техническим и функциональным характеристикам, не уступающим и/или превосходящим характеристики, заявленным в конструкторской документации, в том числе, по гарантийным срокам и срокам эксплуатации. При этом Поставщик должен за счет собственных сил и средств внести изменения в конструкторскую документацию и проектные решения, вызванные применением эквивалентной продукции и перед началом фактической поставки осуществить согласование измененных документов с Заказчиком, экспертными, контролирующими и надзорными органами.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  <w:i/>
                <w:i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безопасности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Общие требования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Устройства ПТК должны соответствовать требованиям безопасности персонала при монтаже, наладке, эксплуатации, обслуживании и ремонте технических средств, установленными действующей редакцией, следующих НТД: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24.104-85 «Единая система стандартов автоматизированных систем управления. Автоматизированные системы управления. Общие требования».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12.2.007.0-75 «Система стандартов безопасности труда(ССБТ). Изделия электротехнические. Общие требования безопасности».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12.1.010-76 Система стандартов безопасности труда (ССБТ). Взрывобезопасность. Общие требования.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12.1.012-2004 Система стандартов безопасности труда (ССБТ). Вибрационная безопасность. Общие требования.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12.1.004-91 Пожарная безопасность. Общие требования.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12.1.003 Шум. Общие требования безопасности.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26329-84 (СТ СЭВ 4292-83) Машины вычислительные и системы обработки данных. Допустимые уровни шума технических средств и методы их определения.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12.1.030-81 Электробезопасность. Защитное заземление, зануление.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14254-96 (МЭК 529-89) Степени защиты, обеспечиваемые оболочками (код IP).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Р 50462-2009 Идентификация проводников посредством цветов и буквенно-цифровых обозначений.</w:t>
            </w:r>
          </w:p>
          <w:p>
            <w:pPr>
              <w:pStyle w:val="ListParagraph"/>
              <w:widowControl w:val="false"/>
              <w:numPr>
                <w:ilvl w:val="0"/>
                <w:numId w:val="12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25861-83 Машины вычислительные и системы обработки данных. Требования</w:t>
              <w:br/>
              <w:t>по электрической и механической безопасности и методы испытаний.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При эксплуатации СОТИАССО программными и аппаратными средствами должно быть обеспечено надежное отключение оборудования при возникновении нештатных ситуаций.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Степень защиты шкафных изделий должна быть не ниже IP54 по ГОСТ 14254-96 «Степени защиты, обеспечиваемые оболочками (код IP)».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Программное обеспечение должно быть иметь реестровые записи из Единого реестра российских программ для электронных вычислительных машин и баз данных на официальном сайте Интернет-ресурса по адресу - https://reestr.digital.gov.ru/.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Оборудование должно иметь маркировку сигнальными цветами и знаками безопасности по ГОСТ 12.4.026-2015 «Межгосударственный стандарт. 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Требования к электробезопасности</w:t>
            </w:r>
          </w:p>
        </w:tc>
        <w:tc>
          <w:tcPr>
            <w:tcW w:w="5044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 соответствии с ГОСТ 12.2.007.0-75 «Система стандартов безопасности труда. Изделия электротехнические. Общие требования безопасности» шкафные изделия должны относится к 1 классу по способу защиты человека от поражения электрическим током.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Шкафные изделия должны быть оборудованы сигнализацией наличия сетевого напряжения питания</w:t>
              <w:br/>
              <w:t>с соответствующей табличкой – указателем.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Все внешние элементы технических средств, находящихся под напряжением, должны быть защищены от случайного прикосновения к ним обслуживающего персонала.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Требования к заземлению</w:t>
            </w:r>
          </w:p>
        </w:tc>
        <w:tc>
          <w:tcPr>
            <w:tcW w:w="5044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Все металлические части электроустановок, корпуса электрооборудования и металлоконструкций, которые могут оказаться под напряжением, подлежат заземлению. Устройства ПТК должны иметь приспособления для подключения к заземляющему контуру (устройство защитного заземления, минимальный диаметр болта заземления – М5, минимальный диаметр площадки – 14 мм.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Сопротивление заземления средств вычислительной техники и промышленных контроллеров, относительно болта заземления, к которому подключается шина заземления, проложенная в помещении, не должно превышать 0,1 Ом.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Сопротивление изоляции цепей ПТК относительно корпуса и между собой должно выдерживать в течение одной минуты при нормальных условиях испытательное напряжение: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в цепях до 40 В - 250 В частоты 50 Гц.</w:t>
            </w:r>
          </w:p>
          <w:p>
            <w:pPr>
              <w:pStyle w:val="ListParagraph"/>
              <w:widowControl w:val="false"/>
              <w:numPr>
                <w:ilvl w:val="0"/>
                <w:numId w:val="13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в цепях свыше 100 В - 1000 В частоты 50 Гц.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Электрическое сопротивление изоляции цепей ПТК относительно корпуса и друг друга при нормальных условиях должно быть не менее 100 МОм.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177" w:hRule="atLeast"/>
        </w:trPr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Контроль качества используемых комплектующих,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запасных частей и материалов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 xml:space="preserve"> 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должен обеспечить входной контроль используемых материалов и запасных частей, включающий в себя проверку: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Наличия сертификатов для продукции, включенной Единый перечень продукции, подлежащей обязательной сертификации и в Единый перечень продукции, подлежащей декларированию, утвержденные Правительством РФ и действующие в период действия договора.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регламентирующем технические требования к данной продукции.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Наличия маркировки, сохранности упаковки, наличия и сохранности защитных и окрасочных покрытий.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Комплектности поставляемых материалов.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4" w:hRule="atLeast"/>
        </w:trPr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Требования к используемым запасным частям и материалам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Все поставляемые и применяемые запасные части, и материалы должны быть новыми и не использованными ранее.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54" w:hRule="atLeast"/>
        </w:trPr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>
              <w:top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Требования к маркировке электроустановочного оборудования</w:t>
            </w:r>
          </w:p>
        </w:tc>
        <w:tc>
          <w:tcPr>
            <w:tcW w:w="5044" w:type="dxa"/>
            <w:tcBorders>
              <w:top w:val="nil"/>
            </w:tcBorders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 все установленное в шкафы оборудование должна быть нанесена маркировка в соответствии с Приложением № 2 к Техническим требованиям – Задания заводу-изготовителю, опросные листы.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Маркировка оборудования должна производится маркировочными приспособлениями. Рукописная маркировка зажимов не допускается.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сборке и проведению испытаний шкафного оборудования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>
          <w:trHeight w:val="54" w:hRule="atLeast"/>
        </w:trPr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Место и порядок проведения промежуточных  приемо-сдаточных испытаний</w:t>
            </w:r>
          </w:p>
        </w:tc>
        <w:tc>
          <w:tcPr>
            <w:tcW w:w="5044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 ходе исполнения договора, в связи производственной необходимостью Заказчика в безотрывном графике работы персонала функционального Заказчика Поставщиком должно быть обеспечено следующее: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Проведение промежуточных приемо-сдаточных испытаний изготовленных шкафных изделий СОТИАССО комиссией в составе уполномоченных представителей Заказчика и Поставщика, непосредственно на производственной площадке Поставщика с подписанием Акта.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Перед началом приемо-сдаточных испытаний Заказчику должен быть предоставлен паспорт (или протокол) с отметкой службы ОТК, разрешающий подачу питания на изделие и обеспечено присутствие в комиссии специалистов ОТК Поставщика.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Предоставление площадки для проведения промежуточных приемо-сдаточных испытаний, которая должна соответствовать следующим требованиям:</w:t>
            </w:r>
          </w:p>
          <w:p>
            <w:pPr>
              <w:pStyle w:val="ListParagraph"/>
              <w:widowControl w:val="false"/>
              <w:numPr>
                <w:ilvl w:val="0"/>
                <w:numId w:val="16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Для обеспечения проверок качества сборки изделий и заявленных технических характеристик оснащенность следующим испытательным оборудованием:</w:t>
            </w:r>
          </w:p>
          <w:p>
            <w:pPr>
              <w:pStyle w:val="ListParagraph"/>
              <w:widowControl w:val="false"/>
              <w:numPr>
                <w:ilvl w:val="3"/>
                <w:numId w:val="17"/>
              </w:numPr>
              <w:suppressAutoHyphens w:val="false"/>
              <w:spacing w:before="60" w:after="60"/>
              <w:ind w:hanging="567" w:left="1843"/>
              <w:contextualSpacing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источник питания 220В постоянного тока достаточной мощности для электропитания изделий;</w:t>
            </w:r>
          </w:p>
          <w:p>
            <w:pPr>
              <w:pStyle w:val="ListParagraph"/>
              <w:widowControl w:val="false"/>
              <w:numPr>
                <w:ilvl w:val="3"/>
                <w:numId w:val="17"/>
              </w:numPr>
              <w:suppressAutoHyphens w:val="false"/>
              <w:spacing w:before="60" w:after="60"/>
              <w:ind w:hanging="567" w:left="1843"/>
              <w:contextualSpacing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мультиметр цифровой;</w:t>
            </w:r>
          </w:p>
          <w:p>
            <w:pPr>
              <w:pStyle w:val="ListParagraph"/>
              <w:widowControl w:val="false"/>
              <w:numPr>
                <w:ilvl w:val="3"/>
                <w:numId w:val="17"/>
              </w:numPr>
              <w:suppressAutoHyphens w:val="false"/>
              <w:spacing w:before="60" w:after="60"/>
              <w:ind w:hanging="567" w:left="1843"/>
              <w:contextualSpacing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калибратор токовой петли 4-20 мА;</w:t>
            </w:r>
          </w:p>
          <w:p>
            <w:pPr>
              <w:pStyle w:val="ListParagraph"/>
              <w:widowControl w:val="false"/>
              <w:numPr>
                <w:ilvl w:val="3"/>
                <w:numId w:val="17"/>
              </w:numPr>
              <w:suppressAutoHyphens w:val="false"/>
              <w:spacing w:before="60" w:after="60"/>
              <w:ind w:hanging="567" w:left="1843"/>
              <w:contextualSpacing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мегомметр.</w:t>
            </w:r>
          </w:p>
          <w:p>
            <w:pPr>
              <w:pStyle w:val="ListParagraph"/>
              <w:widowControl w:val="false"/>
              <w:numPr>
                <w:ilvl w:val="0"/>
                <w:numId w:val="16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Наличие заземляющего контура в соответствии ПУЭ для защиты персонала от поражения электрическим током в ходе проведения испытаний.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Наличие у Поставщика возможности оперативного (до 1 суток) устранения замечаний по сборке, обнаруженных в ходе приемо-сдаточных испытаний перед отправкой оборудования на объект.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0"/>
                <w:szCs w:val="20"/>
                <w:lang w:val="ru-RU" w:eastAsia="ru-RU" w:bidi="ar-SA"/>
              </w:rPr>
              <w:t>Место поставки</w:t>
            </w:r>
          </w:p>
        </w:tc>
        <w:tc>
          <w:tcPr>
            <w:tcW w:w="5044" w:type="dxa"/>
            <w:tcBorders/>
            <w:vAlign w:val="center"/>
          </w:tcPr>
          <w:p>
            <w:pPr>
              <w:pStyle w:val="218"/>
              <w:widowControl/>
              <w:numPr>
                <w:ilvl w:val="0"/>
                <w:numId w:val="0"/>
              </w:numPr>
              <w:tabs>
                <w:tab w:val="clear" w:pos="993"/>
                <w:tab w:val="left" w:pos="1134" w:leader="none"/>
              </w:tabs>
              <w:spacing w:lineRule="auto" w:line="240" w:before="60" w:after="60"/>
              <w:ind w:hanging="0"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 соответствии с Таблицей № 1 Технических Требований.</w:t>
            </w:r>
          </w:p>
        </w:tc>
        <w:tc>
          <w:tcPr>
            <w:tcW w:w="2547" w:type="dxa"/>
            <w:tcBorders/>
          </w:tcPr>
          <w:p>
            <w:pPr>
              <w:pStyle w:val="218"/>
              <w:widowControl/>
              <w:numPr>
                <w:ilvl w:val="0"/>
                <w:numId w:val="0"/>
              </w:numPr>
              <w:tabs>
                <w:tab w:val="clear" w:pos="993"/>
                <w:tab w:val="left" w:pos="1134" w:leader="none"/>
              </w:tabs>
              <w:spacing w:lineRule="auto" w:line="240" w:before="60" w:after="60"/>
              <w:ind w:hanging="0" w:left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218"/>
              <w:widowControl/>
              <w:numPr>
                <w:ilvl w:val="0"/>
                <w:numId w:val="0"/>
              </w:numPr>
              <w:tabs>
                <w:tab w:val="clear" w:pos="993"/>
                <w:tab w:val="left" w:pos="1134" w:leader="none"/>
              </w:tabs>
              <w:spacing w:lineRule="auto" w:line="240" w:before="60" w:after="60"/>
              <w:ind w:hanging="0" w:left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218"/>
              <w:widowControl/>
              <w:numPr>
                <w:ilvl w:val="0"/>
                <w:numId w:val="0"/>
              </w:numPr>
              <w:tabs>
                <w:tab w:val="clear" w:pos="993"/>
                <w:tab w:val="left" w:pos="1134" w:leader="none"/>
              </w:tabs>
              <w:spacing w:lineRule="auto" w:line="240" w:before="60" w:after="60"/>
              <w:ind w:hanging="0" w:left="0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i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Входной контроль при поставке</w:t>
            </w:r>
          </w:p>
        </w:tc>
        <w:tc>
          <w:tcPr>
            <w:tcW w:w="504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обязан предварительно официальным письмом уведомить Заказчика о дате поставки и данных транспортного средства для организации допуска на территорию Объекта.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670" w:left="67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Проведение входного контроля всего Оборудования по мере его поступления на Объект, проводится в соответствии с ГОСТ 24297-87 — «Входной контроль продукции. Основные положения». 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>
              <w:top w:val="nil"/>
            </w:tcBorders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x-none" w:bidi="ar-SA"/>
              </w:rPr>
              <w:t>Требования к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x-none" w:eastAsia="x-none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x-none" w:bidi="ar-SA"/>
              </w:rPr>
              <w:t>доставке</w:t>
            </w:r>
          </w:p>
        </w:tc>
        <w:tc>
          <w:tcPr>
            <w:tcW w:w="5044" w:type="dxa"/>
            <w:tcBorders/>
            <w:shd w:color="auto" w:fill="auto" w:val="clear"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Комплектация оборудования, транспортировка, контроль состояния продукции в процессе транспортировки, погрузка – разгрузка, контроль состояния продукции при погрузочно-разгрузочных работах, входной контроль при поставке, размещение на складе Заказчика выполняются силами и за счет средств Поставщика.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Габаритный груз должен быть в заводской упаковке, без механического воздействия на упаковку.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несет полную ответственность за качество упаковки.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Упаковка должна обеспечивать сохранность, оборудования при транспортировке от места их производства до места назначения.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 xml:space="preserve">Упаковка должна соответствовать таким требованиям, которые обеспечили бы надежность и эффективность защиты изделий с момента их выпуска с предприятия-изготовителя до прибытия на площадку строительства в течение не менее 6 (шести) месяцев при неблагоприятных условиях под воздействием окружающей среды во время погрузки, перевозки автотранспортом, по железной дороге, перегрузки и хранения на площадке строительства в течение не менее 12 (двенадцати) месяцев. 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Оборудование (продукция) должно быть упаковано и промаркировано в тару, обеспечивающую сохранность, предотвращающую повреждения при транспортировке и хранении с учётом возможных перегрузок, в соответствии с требованиями ГОСТ 14192-96 «Маркировка грузов», в том числе в местностях с неблагоприятными климатическими условиями, в соответствии с требованиями ГОСТ 15846-2002 «Продукция, отправляемая в районы крайнего севера и приравненные к ним местности. Упаковка, маркировка, транспортирование и хранение».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Оборудование должно пройти все, предусмотренные Законодательством Российской Федерации (и применимым законодательством других государств), процедуры таможенной очистки.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Материалы поставки Поставщика должны быть поставлены в упаковке производителя, не нарушенной, без следов воздействия влаги, в соответствии с требованиями заводов-изготовителей. Упаковка и/или тара должна обеспечивать их сохранность от всякого рода повреждений при перевозке любыми видами транспорта, предохранять поставляемые материалы от внешних воздействий при хранении, а также обеспечивать их сохранность при проведении погрузо-разгрузочных работ вручную или механизированными средствами.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Точные приборы, офисное оборудование и иные выверенные механические устройства укладываются в водонепроницаемую упаковку вместе с необходимым количеством осушителя для поддержания минимально возможного уровня влажности внутри упаковки.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предпринимает меры предосторожности для предотвращения порчи от дождя, сырости, влаги, конденсата, грибка, ржавчины, коррозии, вибраций, ударов и др. негативных воздействий на транспортируемые изделия, оборудование и т.д.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Если традиционная и общепринятая упаковка не способна обеспечить надежную защиту изделий, Поставщик с учетом своих сведений об изделиях или дополнительных требований заводов изготовителей применяет дополнительную упаковку.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четко маркирует все грузовые места, в которых находятся «Запасные части», «Документация», «Инструмент» или «Аренда» (арендованное оборудование). Такая маркировка отображает предназначение изделий (монтаж, пусконаладочные работы или гарантийный срок).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 рамках поставки оборудования необходимо предусмотреть проведение приемо-сдаточных испытаний на территории поставщика.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Условия доставки</w:t>
            </w:r>
          </w:p>
        </w:tc>
        <w:tc>
          <w:tcPr>
            <w:tcW w:w="5044" w:type="dxa"/>
            <w:tcBorders/>
            <w:vAlign w:val="center"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Комплектация оборудования, транспортировка, контроль состояния продукции в процессе транспортировки, погрузка – разгрузка, контроль состояния продукции при погрузочно-разгрузочных работах, входной контроль при поставке, размещение на складе Заказчика выполняются силами и за счет средств Поставщика.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Габаритный груз должен быть в заводской упаковке, без механического воздействия на упаковку.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эксплуатации, обеспечению и утилизации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Назначенный срок службы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Должен составлять не менее 20 лет.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Требования к техническому обеспечению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Подвод кабелей осуществляется с нижней части шкафа через сальниковые вводы с подключением жил на клеммные ряды зажимов.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Внутренняя кабельная разводка в шкафах проходит по желобам обеспечивая легкий доступ к ней.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Сечение и цвет используемых проводов должен соответствовать действующим нормам и ГОСТ Р 50462 «Идентификация проводников по цветам или цифровым обозначениям».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Внутренняя кабельная разводка должна иметь маркировку термоусадочными трубками с печатной буквенной и цифровой информацией.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  <w:lang w:eastAsia="en-US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Обозначение монтажных элементов должно производиться посредством наклеивания бирок на акриловой основе.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Объем гарантий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Гарантии должны распространяются на все поставляемое оборудование, детали и узлы.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Срок использования программного продукта и сертификатов технической поддержки должен соответствовать артикулам установленным рабочей документацией.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left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Срок гарантии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Гарантийный срок на поставляемое оборудование составляет 36 (Тридцать шесть) месяца и начинает течь с даты подписания УПД.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Документы, передаваемые вместе с оборудованием</w:t>
            </w:r>
          </w:p>
        </w:tc>
        <w:tc>
          <w:tcPr>
            <w:tcW w:w="5044" w:type="dxa"/>
            <w:tcBorders/>
            <w:shd w:color="auto" w:fill="auto" w:val="clear"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обязан одновременно с передачей оборудования передать Заказчику относящиеся к нему, оформленные надлежащим образом следующие документы:</w:t>
            </w:r>
          </w:p>
          <w:tbl>
            <w:tblPr>
              <w:tblStyle w:val="afffff"/>
              <w:tblW w:w="4106" w:type="dxa"/>
              <w:jc w:val="left"/>
              <w:tblInd w:w="404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24"/>
              <w:gridCol w:w="2792"/>
              <w:gridCol w:w="690"/>
            </w:tblGrid>
            <w:tr>
              <w:trPr/>
              <w:tc>
                <w:tcPr>
                  <w:tcW w:w="624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  <w:b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2792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  <w:b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Наименование документа</w:t>
                  </w:r>
                </w:p>
              </w:tc>
              <w:tc>
                <w:tcPr>
                  <w:tcW w:w="690" w:type="dxa"/>
                  <w:tcBorders/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  <w:b/>
                    </w:rPr>
                  </w:pPr>
                  <w:r>
                    <w:rPr>
                      <w:rFonts w:eastAsia="Calibri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Кол-во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bCs/>
                      <w:kern w:val="0"/>
                      <w:sz w:val="20"/>
                      <w:szCs w:val="20"/>
                      <w:lang w:val="ru-RU" w:eastAsia="ru-RU" w:bidi="ar-SA"/>
                    </w:rPr>
                    <w:t>Сертификаты качества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на компоненты</w:t>
                  </w:r>
                </w:p>
              </w:tc>
              <w:tc>
                <w:tcPr>
                  <w:tcW w:w="690" w:type="dxa"/>
                  <w:tcBorders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Технические паспорта на компоненты и изделия на русском языке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Инструкция по эксплуатации на русском языке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Инструкция по монтажу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Упаковочные листы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Упаковочные ярлыки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Товарно-транспортные накладные формы № 1-Т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  <w:tr>
              <w:trPr/>
              <w:tc>
                <w:tcPr>
                  <w:tcW w:w="6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ListParagraph"/>
                    <w:widowControl w:val="false"/>
                    <w:numPr>
                      <w:ilvl w:val="0"/>
                      <w:numId w:val="14"/>
                    </w:numPr>
                    <w:tabs>
                      <w:tab w:val="clear" w:pos="709"/>
                      <w:tab w:val="left" w:pos="305" w:leader="none"/>
                    </w:tabs>
                    <w:suppressAutoHyphens w:val="false"/>
                    <w:spacing w:before="60" w:after="60"/>
                    <w:ind w:hanging="120" w:left="0"/>
                    <w:contextualSpacing w:val="false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kern w:val="0"/>
                      <w:sz w:val="20"/>
                      <w:szCs w:val="20"/>
                      <w:lang w:val="ru-RU" w:bidi="ar-SA"/>
                    </w:rPr>
                  </w:r>
                </w:p>
              </w:tc>
              <w:tc>
                <w:tcPr>
                  <w:tcW w:w="27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both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Товарные накладные унифицированной формы ТОРГ-12 или универсальный передаточный документ (УПД)</w:t>
                  </w:r>
                </w:p>
              </w:tc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color="auto" w:fill="auto" w:val="clear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Calibri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 экз.</w:t>
                  </w:r>
                </w:p>
              </w:tc>
            </w:tr>
          </w:tbl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Отчетная документация предоставляется Поставщиком на бумажном и электронном видах. Электронный вид документов в формате *.pdf должен быть записан на носитель.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Наличие сертификатов соответствия ГОСТ на поставляемое оборудование</w:t>
            </w:r>
          </w:p>
        </w:tc>
        <w:tc>
          <w:tcPr>
            <w:tcW w:w="5044" w:type="dxa"/>
            <w:tcBorders/>
            <w:shd w:color="auto" w:fill="auto" w:val="clear"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Поставляемое оборудование должно быть сертифицировано.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Поставщик обязан одновременно с передачей оборудования передать Заказчику относящиеся к нему, оформленные надлежащим образом следующие документы: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Сертификат происхождения.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Сертификат качества.</w:t>
            </w:r>
          </w:p>
          <w:p>
            <w:pPr>
              <w:pStyle w:val="ListParagraph"/>
              <w:widowControl w:val="false"/>
              <w:numPr>
                <w:ilvl w:val="0"/>
                <w:numId w:val="15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bCs/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Сертификаты соответствия для оборудования, включенного в Единый перечень продукции, подлежащей обязательной сертификации и в Единый перечень продукции, подлежащей декларированию, утвержденные Правительством РФ и действующие в период действия договора.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Перечень НТД</w:t>
            </w:r>
          </w:p>
        </w:tc>
        <w:tc>
          <w:tcPr>
            <w:tcW w:w="5044" w:type="dxa"/>
            <w:tcBorders/>
            <w:shd w:color="auto" w:fill="auto" w:val="clear"/>
          </w:tcPr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670" w:left="67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Поставщик должен руководствоваться действующей редакцией следующих национальных, отраслевых и корпоративных нормативно-техническими документами (НТД):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РД 34.35.310-97 «Общие технические требования к микропроцессорным устройствам защиты и автоматики энергосистем».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Правила устройства электроустановок.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РД 34.45-51.300-97 «Объем и нормы испытаний электрооборудования», 6-е издание. Раздел 26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14254-215 «Степени защиты, обеспечиваемые оболочками (Код IP)».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8865-93. «Системы электрической изоляции. Оценка на нагревостойкости и классификация».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>ГОСТ 15150-69.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среды».</w:t>
            </w:r>
          </w:p>
          <w:p>
            <w:pPr>
              <w:pStyle w:val="ListParagraph"/>
              <w:widowControl w:val="false"/>
              <w:numPr>
                <w:ilvl w:val="0"/>
                <w:numId w:val="18"/>
              </w:numPr>
              <w:tabs>
                <w:tab w:val="clear" w:pos="709"/>
                <w:tab w:val="left" w:pos="426" w:leader="none"/>
              </w:tabs>
              <w:suppressAutoHyphens w:val="false"/>
              <w:spacing w:before="60" w:after="60"/>
              <w:ind w:hanging="567" w:left="1276"/>
              <w:contextualSpacing w:val="false"/>
              <w:jc w:val="both"/>
              <w:rPr>
                <w:sz w:val="20"/>
                <w:szCs w:val="20"/>
              </w:rPr>
            </w:pPr>
            <w:r>
              <w:rPr>
                <w:kern w:val="0"/>
                <w:sz w:val="20"/>
                <w:szCs w:val="20"/>
                <w:lang w:val="ru-RU" w:bidi="ar-SA"/>
              </w:rPr>
              <w:t xml:space="preserve">Техническая политика «Группы РусГидро» </w:t>
            </w:r>
            <w:r>
              <w:rPr>
                <w:rFonts w:eastAsia="Symbol" w:cs="Symbol" w:ascii="Symbol" w:hAnsi="Symbol"/>
                <w:kern w:val="0"/>
                <w:sz w:val="20"/>
                <w:szCs w:val="20"/>
                <w:lang w:val="ru-RU" w:bidi="ar-SA"/>
              </w:rPr>
              <w:sym w:font="Symbol" w:char="f02d"/>
            </w:r>
            <w:r>
              <w:rPr>
                <w:kern w:val="0"/>
                <w:sz w:val="20"/>
                <w:szCs w:val="20"/>
                <w:lang w:val="ru-RU" w:bidi="ar-SA"/>
              </w:rPr>
              <w:t xml:space="preserve"> Приложение № 3 к Техническим требованиям.</w:t>
            </w:r>
          </w:p>
          <w:p>
            <w:pPr>
              <w:pStyle w:val="Normal"/>
              <w:widowControl/>
              <w:numPr>
                <w:ilvl w:val="2"/>
                <w:numId w:val="9"/>
              </w:numPr>
              <w:suppressAutoHyphens w:val="false"/>
              <w:spacing w:lineRule="auto" w:line="240" w:before="60" w:after="60"/>
              <w:ind w:hanging="709" w:left="709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В случае если какой-либо из указанных в Технических требованиях ГОСТ или нормативный документ был заменен/отменен в процессе проведения закупки и/или в период исполнения договора в связи с выпуском новой редакции стандарта, то Участнику необходимо применять ГОСТ или нормативный документ, принятый в его развитие.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false"/>
              <w:spacing w:lineRule="auto" w:line="240" w:before="60" w:after="60"/>
              <w:ind w:left="67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  <w:shd w:color="auto" w:fill="auto" w:val="clear"/>
          </w:tcPr>
          <w:p>
            <w:pPr>
              <w:pStyle w:val="Normal"/>
              <w:widowControl/>
              <w:numPr>
                <w:ilvl w:val="0"/>
                <w:numId w:val="9"/>
              </w:numPr>
              <w:suppressAutoHyphens w:val="fals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7178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Требования к результатам выпол</w:t>
            </w: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нения договора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0"/>
                <w:szCs w:val="2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ind w:left="-112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Порядок сдачи-приемки  оборудования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Приемка оборудования оформляется подписанием сторонами унифицированной формы ТОРГ-12 «Товарная накладная» или универсального передаточного документа (УПД).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87" w:type="dxa"/>
            <w:tcBorders/>
          </w:tcPr>
          <w:p>
            <w:pPr>
              <w:pStyle w:val="Normal"/>
              <w:widowControl/>
              <w:numPr>
                <w:ilvl w:val="1"/>
                <w:numId w:val="9"/>
              </w:numPr>
              <w:suppressAutoHyphens w:val="false"/>
              <w:spacing w:lineRule="auto" w:line="240" w:before="60" w:after="60"/>
              <w:ind w:left="-112"/>
              <w:jc w:val="center"/>
              <w:rPr>
                <w:rFonts w:ascii="Times New Roman" w:hAnsi="Times New Roman" w:eastAsia="Calibri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134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7639" w:leader="none"/>
              </w:tabs>
              <w:suppressAutoHyphens w:val="true"/>
              <w:spacing w:lineRule="auto" w:line="240" w:before="60"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Порядок сдачи-приемки Программного обеспечения</w:t>
            </w:r>
          </w:p>
        </w:tc>
        <w:tc>
          <w:tcPr>
            <w:tcW w:w="50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  <w:t>Программное обеспечение передается от Поставщика к Заказчику посредством подписания Сублицензионного соглашения на предоставление права использования и передачи ПО.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i/>
                <w:kern w:val="0"/>
                <w:sz w:val="20"/>
                <w:szCs w:val="20"/>
                <w:lang w:val="ru-RU" w:eastAsia="ru-RU" w:bidi="ar-SA"/>
              </w:rPr>
              <w:t>Согласие с требованиями</w:t>
            </w:r>
          </w:p>
        </w:tc>
        <w:tc>
          <w:tcPr>
            <w:tcW w:w="254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ru-RU" w:bidi="ar-SA"/>
              </w:rPr>
              <w:t>-</w:t>
            </w:r>
          </w:p>
        </w:tc>
        <w:tc>
          <w:tcPr>
            <w:tcW w:w="254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eastAsia="Calibri" w:cs="Times New Roman" w:ascii="Times New Roman" w:hAnsi="Times New Roman"/>
          <w:sz w:val="24"/>
          <w:szCs w:val="24"/>
          <w:u w:val="singl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jc w:val="right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Приложение 1 к 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Таблице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4</w:t>
      </w:r>
    </w:p>
    <w:tbl>
      <w:tblPr>
        <w:tblW w:w="1605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36"/>
        <w:gridCol w:w="1112"/>
        <w:gridCol w:w="3247"/>
        <w:gridCol w:w="5144"/>
        <w:gridCol w:w="1923"/>
        <w:gridCol w:w="2057"/>
        <w:gridCol w:w="2030"/>
      </w:tblGrid>
      <w:tr>
        <w:trPr>
          <w:tblHeader w:val="true"/>
          <w:trHeight w:val="675" w:hRule="atLeast"/>
        </w:trPr>
        <w:tc>
          <w:tcPr>
            <w:tcW w:w="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п/п</w:t>
            </w:r>
          </w:p>
        </w:tc>
        <w:tc>
          <w:tcPr>
            <w:tcW w:w="1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п/п Специ-фикации</w:t>
            </w:r>
          </w:p>
        </w:tc>
        <w:tc>
          <w:tcPr>
            <w:tcW w:w="3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Наименование параметра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Требование заказчика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Способ подтверждения участником соответствия требованиям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  <w:trHeight w:val="1425" w:hRule="atLeast"/>
        </w:trPr>
        <w:tc>
          <w:tcPr>
            <w:tcW w:w="53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111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324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Технические и функциональные</w:t>
              <w:br/>
              <w:t>характеристики</w:t>
              <w:br/>
              <w:t>(параметры эквивалентности)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Согласие с требованием / указание характеристик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 xml:space="preserve">Предоставление подтверждающего документа или иной способ подтверждения 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</w:r>
          </w:p>
        </w:tc>
      </w:tr>
      <w:tr>
        <w:trPr>
          <w:tblHeader w:val="true"/>
          <w:trHeight w:val="30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lang w:eastAsia="ru-RU"/>
              </w:rPr>
              <w:t>7</w:t>
            </w:r>
          </w:p>
        </w:tc>
      </w:tr>
      <w:tr>
        <w:trPr>
          <w:trHeight w:val="335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Многофункциональный измерительный преобразователь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89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663"/>
              <w:gridCol w:w="2617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663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617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ESM-HV100-220-A2E2-0,2A </w:t>
                  </w: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Габариты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Не более 100x75x125 мм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Способ крепления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На DIN-рейку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Межповерочный интервал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Не менее 12 лет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Протокол передачи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IEC 60870-5-101, Modbus RTU, СПОДЭС, IEC 61850-8-1,, IEC 60870-5-104, Modbus TCP, FTP, SNTP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Функционал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Измерение параметров электрического напряжения, тока, частоты, углов фазовых сдвигов, электрической; измерение и контроль показателей качества электроэнергии; измерение активной и реактивной электрической энергии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Интерфейсные порты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2 х RS</w:t>
                  </w:r>
                  <w:r>
                    <w:rPr>
                      <w:rFonts w:eastAsia="Times New Roman" w:cs="Cambria Math" w:ascii="Cambria Math" w:hAnsi="Cambria Math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noBreakHyphen/>
                  </w: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485, 4 х 100Base</w:t>
                  </w:r>
                  <w:r>
                    <w:rPr>
                      <w:rFonts w:eastAsia="Times New Roman" w:cs="Cambria Math" w:ascii="Cambria Math" w:hAnsi="Cambria Math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noBreakHyphen/>
                  </w: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X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Питание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100...265 В~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98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Шкаф клеммный (ящик зажимов) ЯЗ-90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SZ00020090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74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Преобразователь высокочастотного сигнала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ПС-АВЧ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5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Амперметр постоянного тока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Щ96П-75мВ-220ВУ-1RS-11(4…20 мА)-З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5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Автоматизированная рабочая станция, монитор 24", клавиатура, мышь.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89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56"/>
              <w:gridCol w:w="2724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56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724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>Д31И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Процессор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хуже i3-12100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Опер.память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Не менее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32GBDDR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Жесткий диск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500GBSSD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Диагональ монитора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24"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835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Ноутбук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89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56"/>
              <w:gridCol w:w="2724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56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724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>Н15И-Т 220200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Процессор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хуже i5 1135G7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Опер.память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Не менее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16GB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Жесткий диск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500GB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0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Диагональ дисплея</w:t>
                  </w:r>
                </w:p>
              </w:tc>
              <w:tc>
                <w:tcPr>
                  <w:tcW w:w="2724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15,6"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487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1.7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Датчик скорости ветра (анемометр)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ДВЭС-2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40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1.8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IP-телефон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VP-30P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92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Консоль расширения IP-телефона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VP-EXT22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26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1.10.1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IP АТС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741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56"/>
              <w:gridCol w:w="2567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56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567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SMG-500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Порты Ethernet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4х</w:t>
                  </w:r>
                  <w:r>
                    <w:rPr>
                      <w:rFonts w:eastAsia="Calibri" w:cs="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10/100/1000 Base-TX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Порты E1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Не менее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4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VoIP-протоколы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lang w:val="en-US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  <w:t>SIP, SIP-T/SIP-I, H.323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  <w:lang w:val="en-US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TDM протоколы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ОКС-7, PRI (Q.931), Q.699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  <w:lang w:val="en-US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Голосовые кодеки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lang w:val="en-US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  <w:t xml:space="preserve">G.711 (a-law,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μ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  <w:t>-law), G.722, G.726,G.729 (A/B), OPUS1, AMR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  <w:lang w:val="en-US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</w:r>
                </w:p>
              </w:tc>
              <w:tc>
                <w:tcPr>
                  <w:tcW w:w="1556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Питание</w:t>
                  </w:r>
                </w:p>
              </w:tc>
              <w:tc>
                <w:tcPr>
                  <w:tcW w:w="2567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1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  <w:t>x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220VAC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5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1.10.2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Субмодуль на 4 канала Е1 встраиваемый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С4Е1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0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1.10.3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Субмодуль с поддержкой до 128 каналов VoIP (G.711) встраиваемый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SM-VP-M300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353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1.10.4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Сертификат на консультационные услуги по вопросам эксплуатации (техническая поддержка) IP АТС - безлимитное количество обращений 8х5, 3 года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SC-SMG-500-B-3Y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38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1.10.5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Сертификат на продление гарантийного обслуживания IP АТС до 3 лет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EW-SMG-500-3Y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1007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Межсетевой экран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59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72"/>
              <w:gridCol w:w="2409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72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409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ESR-15R FSTEC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Порты Ethernet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4 х 100/1000Base-TX, 2 х 1G SFP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Питание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1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  <w:t>x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220VAC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Резервирование питания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2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Сертификация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ФСТЭК России – МЭ А4, СОВ4)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977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Сертификат на консультационные услуги по вопросам эксплуатации (техническая поддержка) МСЭ - безлимитное количество обращений 8х5, 3 года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SC-ESR-15R FSTEC-B-3Y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693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1.13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Продление гарантийного обслуживания МСЭ до 3 лет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EW-ESR-15R FSTEC-3Y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1054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Криптошлюз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59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72"/>
              <w:gridCol w:w="2409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72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409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G-100-5.0-5077-3-ST-M-KC3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Порты Ethernet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3 х 100/1000Base-TX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Питание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1 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en-US" w:eastAsia="ru-RU" w:bidi="ar-SA"/>
                    </w:rPr>
                    <w:t>x</w:t>
                  </w:r>
                  <w:r>
                    <w:rPr>
                      <w:rFonts w:eastAsia="Calibri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 36-40 Вт внешний адаптер переменного тока.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Резервирование питания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Сертификация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ФСТЭК России – МЭ А4, СОВ4, УД)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</w:r>
          </w:p>
        </w:tc>
      </w:tr>
      <w:tr>
        <w:trPr>
          <w:trHeight w:val="55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Промышленный коммутатор 19"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  <w:tbl>
            <w:tblPr>
              <w:tblStyle w:val="afffff"/>
              <w:tblW w:w="4599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72"/>
              <w:gridCol w:w="2409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72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409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MES2300DI-28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Порты Ethernet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24 х 100/1000Base-TX, 4 х combo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Питание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Под модульный блок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Резервирование питания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Да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Уровень коммутатора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L3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2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Способ установки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В стойку 19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111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Продление гарантийного обслуживания промышленного коммутатора до 3 лет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EW-MES2300DI-28-3Y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693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1.17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Коммутатор агрегации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MES3300-24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26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1.18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Продление гарантийного обслуживания коммутатора агрегации до 3 лет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EW-MES3300-24-3Y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674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1.19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Модульный блок питания коммутатора 220VAC/12VDC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PM165-220/12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92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1.20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Оптический двухволоконный модуль SFP 1310 нм 1,25 Гбит/с 2 км LC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RSM1D3L2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99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Ключ электронный USB к серверу системы записи диспетчерских переговоров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МЦКРС "Фантом" v.PHCR.L1.CL4.10IP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835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Сервер системы записи диспетчерских переговоров (4U, 220V)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МЦКРС "Фантом" уровня 5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268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1.23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Аппаратно-программный комплекс однонаправленной передачи данных (инфодиод), включая ПО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89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571"/>
              <w:gridCol w:w="2709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571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709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7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AMTID-SMRT-BKLE-100 </w:t>
                  </w: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Порты Ethernet</w:t>
                  </w:r>
                </w:p>
              </w:tc>
              <w:tc>
                <w:tcPr>
                  <w:tcW w:w="27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Не менее 2 х 100/1000Base-TX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Резервирование питания</w:t>
                  </w:r>
                </w:p>
              </w:tc>
              <w:tc>
                <w:tcPr>
                  <w:tcW w:w="27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Да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Функционал</w:t>
                  </w:r>
                </w:p>
              </w:tc>
              <w:tc>
                <w:tcPr>
                  <w:tcW w:w="2709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Обеспечение защищенной однонаправленной передачи данных  с учетом принципа однонаправленности на физическом уровне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1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571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Способ установки</w:t>
                  </w:r>
                </w:p>
              </w:tc>
              <w:tc>
                <w:tcPr>
                  <w:tcW w:w="2709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  <w:t>На DIN-рейку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49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Сертификат технической поддержки на аппаратно-программный комплекс однонаправленной передачи данных (инфодиод), 3 года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Артикул 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AMTID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SRV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SMRT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BKLE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-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SLVR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-3</w:t>
            </w:r>
            <w:r>
              <w:rPr>
                <w:rFonts w:eastAsia="Times New Roman" w:cs="Times New Roman" w:ascii="Times New Roman" w:hAnsi="Times New Roman"/>
                <w:color w:val="000000"/>
                <w:lang w:val="en-US" w:eastAsia="ru-RU"/>
              </w:rPr>
              <w:t>Y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836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Шкаф СТМ №1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 соответствии с 58252232.425200.0054.001.2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41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Шкаф СТМ №2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В соответствии с 58252232.425200.0054.002.2 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1.27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Шкаф ТК №1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 соответствии с 58252232.425200.0054.402.001.1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1.28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Шкаф ТК №2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 соответствии с 58252232.425200.0054.402.002.1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41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1.29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Шкаф ССПИ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 соответствии с 58252232.425200.0054.402.003</w:t>
            </w:r>
          </w:p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23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1.30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Шкаф РАС №1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 соответствии с ОЛ1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866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 xml:space="preserve">Шкаф РАС №2 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В соответствии с ОЛ2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41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Многофункциональный измерительный преобразователь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tbl>
            <w:tblPr>
              <w:tblStyle w:val="afffff"/>
              <w:tblW w:w="4898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a0" w:noHBand="0" w:noVBand="1" w:firstColumn="1" w:lastRow="0" w:lastColumn="0" w:firstRow="1"/>
            </w:tblPr>
            <w:tblGrid>
              <w:gridCol w:w="618"/>
              <w:gridCol w:w="1663"/>
              <w:gridCol w:w="2617"/>
            </w:tblGrid>
            <w:tr>
              <w:trPr>
                <w:trHeight w:val="315" w:hRule="atLeast"/>
              </w:trPr>
              <w:tc>
                <w:tcPr>
                  <w:tcW w:w="618" w:type="dxa"/>
                  <w:tcBorders>
                    <w:top w:val="single" w:sz="12" w:space="0" w:color="000000"/>
                    <w:left w:val="single" w:sz="12" w:space="0" w:color="000000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№№</w:t>
                  </w:r>
                </w:p>
              </w:tc>
              <w:tc>
                <w:tcPr>
                  <w:tcW w:w="1663" w:type="dxa"/>
                  <w:tcBorders>
                    <w:top w:val="single" w:sz="12" w:space="0" w:color="000000"/>
                    <w:left w:val="nil"/>
                    <w:bottom w:val="nil"/>
                    <w:right w:val="nil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b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Параметр</w:t>
                  </w:r>
                </w:p>
              </w:tc>
              <w:tc>
                <w:tcPr>
                  <w:tcW w:w="2617" w:type="dxa"/>
                  <w:tcBorders>
                    <w:top w:val="single" w:sz="12" w:space="0" w:color="000000"/>
                    <w:left w:val="nil"/>
                    <w:bottom w:val="nil"/>
                    <w:right w:val="single" w:sz="12" w:space="0" w:color="000000"/>
                  </w:tcBorders>
                  <w:shd w:color="auto" w:fill="auto" w:val="pct5"/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center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b/>
                      <w:kern w:val="0"/>
                      <w:sz w:val="20"/>
                      <w:szCs w:val="20"/>
                      <w:lang w:val="ru-RU" w:eastAsia="ru-RU" w:bidi="ar-SA"/>
                    </w:rPr>
                    <w:t>Значение параметра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Модель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color w:val="000000"/>
                      <w:kern w:val="0"/>
                      <w:sz w:val="20"/>
                      <w:szCs w:val="20"/>
                      <w:lang w:val="ru-RU" w:eastAsia="ru-RU" w:bidi="ar-SA"/>
                    </w:rPr>
                    <w:t xml:space="preserve">ESM-HV100-220-A2E2-0,2A </w:t>
                  </w: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или эквивалент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Габариты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Не более 100x75x125 мм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Способ крепления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На DIN-рейку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Межповерочный интервал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Не менее 12 лет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Протокол передачи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IEC 60870-5-101, Modbus RTU, СПОДЭС, IEC 61850-8-1,, IEC 60870-5-104, Modbus TCP, FTP, SNTP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Функционал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Измерение параметров электрического напряжения, тока, частоты, углов фазовых сдвигов, электрической; измерение и контроль показателей качества электроэнергии; измерение активной и реактивной электрической энергии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Интерфейсные порты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nil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2 х RS</w:t>
                  </w:r>
                  <w:r>
                    <w:rPr>
                      <w:rFonts w:eastAsia="Times New Roman" w:cs="Cambria Math" w:ascii="Cambria Math" w:hAnsi="Cambria Math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noBreakHyphen/>
                  </w: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485, 4 х 100Base</w:t>
                  </w:r>
                  <w:r>
                    <w:rPr>
                      <w:rFonts w:eastAsia="Times New Roman" w:cs="Cambria Math" w:ascii="Cambria Math" w:hAnsi="Cambria Math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noBreakHyphen/>
                  </w: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X</w:t>
                  </w:r>
                </w:p>
              </w:tc>
            </w:tr>
            <w:tr>
              <w:trPr>
                <w:trHeight w:val="312" w:hRule="atLeast"/>
              </w:trPr>
              <w:tc>
                <w:tcPr>
                  <w:tcW w:w="618" w:type="dxa"/>
                  <w:tcBorders>
                    <w:top w:val="nil"/>
                    <w:left w:val="single" w:sz="12" w:space="0" w:color="000000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numPr>
                      <w:ilvl w:val="0"/>
                      <w:numId w:val="23"/>
                    </w:numPr>
                    <w:suppressAutoHyphens w:val="false"/>
                    <w:spacing w:lineRule="auto" w:line="240" w:before="60" w:after="60"/>
                    <w:ind w:hanging="0" w:left="0"/>
                    <w:contextualSpacing/>
                    <w:jc w:val="left"/>
                    <w:rPr>
                      <w:rFonts w:ascii="Times New Roman" w:hAnsi="Times New Roman" w:eastAsia="Times New Roman" w:cs="Times New Roman"/>
                    </w:rPr>
                  </w:pPr>
                  <w:r>
                    <w:rPr>
                      <w:rFonts w:eastAsia="Times New Roman" w:cs="Times New Roman" w:ascii="Times New Roman" w:hAnsi="Times New Roman"/>
                      <w:kern w:val="0"/>
                      <w:sz w:val="20"/>
                      <w:szCs w:val="20"/>
                      <w:lang w:val="ru-RU" w:eastAsia="ru-RU" w:bidi="ar-SA"/>
                    </w:rPr>
                  </w:r>
                </w:p>
              </w:tc>
              <w:tc>
                <w:tcPr>
                  <w:tcW w:w="1663" w:type="dxa"/>
                  <w:tcBorders>
                    <w:top w:val="nil"/>
                    <w:left w:val="nil"/>
                    <w:bottom w:val="single" w:sz="12" w:space="0" w:color="000000"/>
                    <w:right w:val="nil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Питание</w:t>
                  </w:r>
                </w:p>
              </w:tc>
              <w:tc>
                <w:tcPr>
                  <w:tcW w:w="2617" w:type="dxa"/>
                  <w:tcBorders>
                    <w:top w:val="nil"/>
                    <w:left w:val="nil"/>
                    <w:bottom w:val="single" w:sz="12" w:space="0" w:color="000000"/>
                    <w:right w:val="single" w:sz="12" w:space="0" w:color="000000"/>
                  </w:tcBorders>
                </w:tcPr>
                <w:p>
                  <w:pPr>
                    <w:pStyle w:val="Normal"/>
                    <w:widowControl/>
                    <w:suppressAutoHyphens w:val="false"/>
                    <w:spacing w:lineRule="auto" w:line="240" w:before="60" w:after="60"/>
                    <w:jc w:val="left"/>
                    <w:rPr>
                      <w:rFonts w:ascii="Times New Roman" w:hAnsi="Times New Roman" w:eastAsia="Times New Roman" w:cs="Times New Roman"/>
                      <w:i/>
                      <w:i/>
                    </w:rPr>
                  </w:pPr>
                  <w:r>
                    <w:rPr>
                      <w:rFonts w:eastAsia="Times New Roman" w:cs="Times New Roman" w:ascii="Times New Roman" w:hAnsi="Times New Roman"/>
                      <w:i/>
                      <w:kern w:val="0"/>
                      <w:sz w:val="20"/>
                      <w:szCs w:val="20"/>
                      <w:lang w:val="ru-RU" w:eastAsia="ru-RU" w:bidi="ar-SA"/>
                    </w:rPr>
                    <w:t>100...265 В~</w:t>
                  </w:r>
                </w:p>
              </w:tc>
            </w:tr>
          </w:tbl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629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Реле промежуточное 4С, 5А, LED, 220В DC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KRM400220L 820115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17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1.32.3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Монтажная колодка на DIN-рейку, 4С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KS 4CO ECO 820071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0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39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Металлическая скоба держатель для колодок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CLM/KS 820348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51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40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Модульный блок питания коммутатора 220VAC/12VDC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PM165-220/12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865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41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1.32.6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Оптический двухволоконный модуль SFP 1310 нм 1,25 Гбит/с 2 км LC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RSM1D3L2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82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42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1.32.7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Преобразователь высокочастотного сигнала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ПС-АВЧ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754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43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1.32.8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Амперметр постоянного тока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Щ96П-75мВ-220ВУ-1RS-11(4…20 мА)-З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Лицензия на операционную систему, лицензированная ФСТЭК, серверная до 2 сокетов или 1 виртуальный сервер, на срок действия искл-го права, с вкл.обновлениями на 36 мес.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OS2001X8618DIGSKTSV01-SO36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552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45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2.2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Лицензия на операционную систему, лицензированная ФСТЭК, для рабочей станции, на срок действия искл-го права, с вкл. обновлениями на 36 мес.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OS2001X8618DIG000WS01-SO36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835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46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2.3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Лицензия SCADA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SCADA С-платформа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1119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47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2.4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Лицензия ЦППСin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ЦППСin</w:t>
            </w: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 xml:space="preserve"> С-платформа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  <w:tr>
        <w:trPr>
          <w:trHeight w:val="977" w:hRule="atLeast"/>
        </w:trPr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48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2.5</w:t>
            </w: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Лицензия на 10 туннелей VPN для криптошлюза</w:t>
            </w:r>
          </w:p>
        </w:tc>
        <w:tc>
          <w:tcPr>
            <w:tcW w:w="5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  <w:t>Артикул LIC-100-5.0-10-ST-M-KC3 или эквивалент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Способ подтверждения: указание характеристик, а также наименования продукции, товарной марки (в случае наличия), модели (в случае наличия) которая идентифицирует продукцию производителя или продавца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-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lang w:eastAsia="ru-RU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eastAsia="Calibri" w:cs="Times New Roman" w:ascii="Times New Roman" w:hAnsi="Times New Roman"/>
          <w:sz w:val="24"/>
          <w:szCs w:val="24"/>
          <w:u w:val="single"/>
        </w:rPr>
      </w:r>
    </w:p>
    <w:p>
      <w:pPr>
        <w:sectPr>
          <w:headerReference w:type="default" r:id="rId6"/>
          <w:headerReference w:type="first" r:id="rId7"/>
          <w:footerReference w:type="default" r:id="rId8"/>
          <w:footerReference w:type="first" r:id="rId9"/>
          <w:type w:val="nextPage"/>
          <w:pgSz w:orient="landscape" w:w="16838" w:h="11906"/>
          <w:pgMar w:left="567" w:right="567" w:gutter="0" w:header="0" w:top="1418" w:footer="567" w:bottom="709"/>
          <w:pgNumType w:fmt="decimal"/>
          <w:formProt w:val="false"/>
          <w:textDirection w:val="lrTb"/>
          <w:docGrid w:type="default" w:linePitch="381" w:charSpace="36864"/>
        </w:sectPr>
        <w:pStyle w:val="Normal"/>
        <w:spacing w:lineRule="auto" w:line="240" w:before="0" w:after="0"/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eastAsia="Calibri" w:cs="Times New Roman" w:ascii="Times New Roman" w:hAnsi="Times New Roman"/>
          <w:sz w:val="24"/>
          <w:szCs w:val="24"/>
          <w:u w:val="single"/>
        </w:rPr>
      </w:r>
      <w:r>
        <w:br w:type="page"/>
      </w:r>
    </w:p>
    <w:p>
      <w:pPr>
        <w:pStyle w:val="Normal"/>
        <w:keepNext w:val="true"/>
        <w:numPr>
          <w:ilvl w:val="0"/>
          <w:numId w:val="3"/>
        </w:numPr>
        <w:tabs>
          <w:tab w:val="clear" w:pos="709"/>
          <w:tab w:val="left" w:pos="0" w:leader="none"/>
        </w:tabs>
        <w:spacing w:lineRule="auto" w:line="240" w:before="0" w:after="120"/>
        <w:ind w:hanging="0" w:left="0"/>
        <w:jc w:val="center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6" w:name="_Toc212029623"/>
      <w:bookmarkStart w:id="17" w:name="_Toc209132096"/>
      <w:bookmarkStart w:id="18" w:name="_Toc53393312"/>
      <w:bookmarkEnd w:id="1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Требования к документации по ценообразованию</w:t>
      </w:r>
      <w:bookmarkEnd w:id="18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на этапе закупки</w:t>
      </w:r>
      <w:bookmarkEnd w:id="17"/>
    </w:p>
    <w:p>
      <w:pPr>
        <w:pStyle w:val="Normal"/>
        <w:numPr>
          <w:ilvl w:val="1"/>
          <w:numId w:val="3"/>
        </w:numPr>
        <w:spacing w:lineRule="auto" w:line="240" w:before="60" w:after="60"/>
        <w:ind w:hanging="709" w:left="709"/>
        <w:jc w:val="both"/>
        <w:rPr>
          <w:rFonts w:ascii="Times New Roman" w:hAnsi="Times New Roman" w:cs="Times New Roman"/>
          <w:bCs/>
          <w:iCs/>
          <w:sz w:val="24"/>
          <w:szCs w:val="24"/>
          <w:lang w:eastAsia="x-none"/>
        </w:rPr>
      </w:pPr>
      <w:r>
        <w:rPr>
          <w:rFonts w:cs="Times New Roman" w:ascii="Times New Roman" w:hAnsi="Times New Roman"/>
          <w:sz w:val="24"/>
          <w:szCs w:val="24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19" w:name="_Hlk88325985"/>
      <w:r>
        <w:rPr>
          <w:rFonts w:cs="Times New Roman" w:ascii="Times New Roman" w:hAnsi="Times New Roman"/>
          <w:sz w:val="24"/>
          <w:szCs w:val="24"/>
        </w:rPr>
        <w:t>(с учетом прилагаемой к ней инструкции по заполнению)</w:t>
      </w:r>
      <w:bookmarkEnd w:id="19"/>
      <w:r>
        <w:rPr>
          <w:rFonts w:cs="Times New Roman" w:ascii="Times New Roman" w:hAnsi="Times New Roman"/>
          <w:sz w:val="24"/>
          <w:szCs w:val="24"/>
        </w:rPr>
        <w:t>, приведенной в Документации о закупке,</w:t>
      </w:r>
      <w:r>
        <w:rPr>
          <w:rFonts w:cs="Times New Roman" w:ascii="Times New Roman" w:hAnsi="Times New Roman"/>
          <w:bCs/>
          <w:iCs/>
          <w:color w:val="000000"/>
          <w:sz w:val="24"/>
          <w:szCs w:val="24"/>
          <w:lang w:eastAsia="x-none"/>
        </w:rPr>
        <w:t xml:space="preserve"> </w:t>
      </w:r>
      <w:r>
        <w:rPr>
          <w:rFonts w:cs="Times New Roman" w:ascii="Times New Roman" w:hAnsi="Times New Roman"/>
          <w:bCs/>
          <w:iCs/>
          <w:sz w:val="24"/>
          <w:szCs w:val="24"/>
        </w:rPr>
        <w:t>с приложением к нему заполненной формы Приложения № 1 к Техническим требованиям – Спецификация поставляемого оборудования.</w:t>
      </w:r>
    </w:p>
    <w:p>
      <w:pPr>
        <w:pStyle w:val="Normal"/>
        <w:numPr>
          <w:ilvl w:val="1"/>
          <w:numId w:val="3"/>
        </w:numPr>
        <w:spacing w:lineRule="auto" w:line="240" w:before="60" w:after="60"/>
        <w:ind w:hanging="709" w:left="709"/>
        <w:jc w:val="both"/>
        <w:rPr>
          <w:bCs/>
          <w:iCs/>
          <w:lang w:eastAsia="x-none"/>
        </w:rPr>
      </w:pPr>
      <w:r>
        <w:rPr>
          <w:rFonts w:eastAsia="Calibri" w:cs="Times New Roman" w:ascii="Times New Roman" w:hAnsi="Times New Roman"/>
          <w:iCs/>
          <w:sz w:val="24"/>
          <w:szCs w:val="24"/>
          <w:lang w:val="x-none" w:eastAsia="x-none"/>
        </w:rPr>
        <w:t>Дополнительные документы по ценообразованию в состав заявки Участника не включаются.</w:t>
      </w:r>
    </w:p>
    <w:p>
      <w:pPr>
        <w:pStyle w:val="Normal"/>
        <w:keepNext w:val="true"/>
        <w:numPr>
          <w:ilvl w:val="0"/>
          <w:numId w:val="3"/>
        </w:numPr>
        <w:tabs>
          <w:tab w:val="clear" w:pos="709"/>
          <w:tab w:val="left" w:pos="0" w:leader="none"/>
        </w:tabs>
        <w:spacing w:lineRule="auto" w:line="240" w:before="0" w:after="120"/>
        <w:ind w:hanging="0" w:left="0"/>
        <w:jc w:val="center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20" w:name="_Toc212029623"/>
      <w:bookmarkStart w:id="21" w:name="_Toc212029624"/>
      <w:bookmarkEnd w:id="20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Приложения</w:t>
      </w:r>
      <w:bookmarkEnd w:id="21"/>
    </w:p>
    <w:p>
      <w:pPr>
        <w:pStyle w:val="Normal"/>
        <w:widowControl w:val="false"/>
        <w:tabs>
          <w:tab w:val="clear" w:pos="709"/>
          <w:tab w:val="left" w:pos="426" w:leader="none"/>
        </w:tabs>
        <w:spacing w:before="120" w:after="120"/>
        <w:jc w:val="center"/>
        <w:rPr>
          <w:rFonts w:ascii="Times New Roman" w:hAnsi="Times New Roman" w:eastAsia="Calibri" w:cs="Times New Roman"/>
          <w:bCs/>
          <w:i/>
          <w:i/>
          <w:iCs/>
          <w:sz w:val="24"/>
          <w:szCs w:val="24"/>
          <w:shd w:fill="FFFF99" w:val="clear"/>
        </w:rPr>
      </w:pPr>
      <w:r>
        <w:rPr>
          <w:rFonts w:eastAsia="Calibri" w:cs="Times New Roman" w:ascii="Times New Roman" w:hAnsi="Times New Roman"/>
          <w:bCs/>
          <w:i/>
          <w:iCs/>
          <w:sz w:val="24"/>
          <w:szCs w:val="24"/>
          <w:shd w:fill="FFFF99" w:val="clear"/>
        </w:rPr>
      </w:r>
    </w:p>
    <w:tbl>
      <w:tblPr>
        <w:tblStyle w:val="410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6"/>
        <w:gridCol w:w="9074"/>
      </w:tblGrid>
      <w:tr>
        <w:trPr>
          <w:tblHeader w:val="true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№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Наименование документа</w:t>
            </w:r>
          </w:p>
        </w:tc>
      </w:tr>
      <w:tr>
        <w:trPr>
          <w:trHeight w:val="138" w:hRule="atLeast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2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20" w:after="160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aps/>
                <w:kern w:val="0"/>
                <w:sz w:val="24"/>
                <w:szCs w:val="24"/>
                <w:lang w:val="ru-RU" w:eastAsia="ru-RU" w:bidi="ar-SA"/>
              </w:rPr>
              <w:t xml:space="preserve">ПРИЛОЖЕНИЕ № 1. </w:t>
            </w:r>
            <w:r>
              <w:rPr>
                <w:rFonts w:eastAsia="Calibri" w:cs="Times New Roman" w:ascii="Times New Roman" w:hAnsi="Times New Roman"/>
                <w:bCs/>
                <w:caps/>
                <w:kern w:val="0"/>
                <w:sz w:val="24"/>
                <w:szCs w:val="18"/>
                <w:lang w:val="ru-RU" w:eastAsia="ru-RU" w:bidi="ar-SA"/>
              </w:rPr>
              <w:t>спецификация поставляемой продукции</w:t>
            </w:r>
          </w:p>
        </w:tc>
      </w:tr>
      <w:tr>
        <w:trPr/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2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20" w:after="160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aps/>
                <w:kern w:val="0"/>
                <w:sz w:val="24"/>
                <w:szCs w:val="24"/>
                <w:lang w:val="ru-RU" w:eastAsia="ru-RU" w:bidi="ar-SA"/>
              </w:rPr>
              <w:t>ПРИЛОЖЕНИЕ № 2. Задания заводу-изготовителю, опросные листы</w:t>
            </w:r>
          </w:p>
        </w:tc>
      </w:tr>
      <w:tr>
        <w:trPr/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20" w:after="16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120" w:after="160"/>
              <w:jc w:val="both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aps/>
                <w:kern w:val="0"/>
                <w:sz w:val="24"/>
                <w:szCs w:val="24"/>
                <w:lang w:val="ru-RU" w:eastAsia="ru-RU" w:bidi="ar-SA"/>
              </w:rPr>
              <w:t>Приложение №3. Техническая политика ПАО «РусГидро»</w:t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headerReference w:type="default" r:id="rId10"/>
      <w:headerReference w:type="first" r:id="rId11"/>
      <w:footerReference w:type="default" r:id="rId12"/>
      <w:footerReference w:type="first" r:id="rId13"/>
      <w:type w:val="nextPage"/>
      <w:pgSz w:w="11906" w:h="16838"/>
      <w:pgMar w:left="1418" w:right="567" w:gutter="0" w:header="0" w:top="567" w:footer="567" w:bottom="709"/>
      <w:pgNumType w:fmt="decimal"/>
      <w:formProt w:val="false"/>
      <w:textDirection w:val="lrTb"/>
      <w:docGrid w:type="default" w:linePitch="381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goe UI">
    <w:charset w:val="01"/>
    <w:family w:val="roman"/>
    <w:pitch w:val="variable"/>
  </w:font>
  <w:font w:name="PT Sans"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ambria Math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13053638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</w:t>
        </w:r>
        <w:r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204630462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36</w:t>
        </w:r>
        <w:r>
          <w:rPr>
            <w:sz w:val="24"/>
            <w:szCs w:val="24"/>
          </w:rPr>
          <w:fldChar w:fldCharType="end"/>
        </w:r>
      </w:p>
    </w:sdtContent>
  </w:sdt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54187483"/>
    </w:sdtPr>
    <w:sdtContent>
      <w:p>
        <w:pPr>
          <w:pStyle w:val="Footer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 xml:space="preserve"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37</w:t>
        </w:r>
        <w:r>
          <w:rPr>
            <w:sz w:val="24"/>
            <w:szCs w:val="24"/>
          </w:rPr>
          <w:fldChar w:fldCharType="end"/>
        </w:r>
      </w:p>
    </w:sdtContent>
  </w:sdt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1425" w:hanging="432"/>
      </w:pPr>
      <w:rPr>
        <w:sz w:val="24"/>
        <w:i w:val="false"/>
        <w:b/>
        <w:szCs w:val="24"/>
        <w:iCs/>
        <w:bCs/>
        <w:rFonts w:ascii="Times New Roman" w:hAnsi="Times New Roman" w:cs="Times New Roman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1425" w:hanging="432"/>
      </w:pPr>
      <w:rPr>
        <w:sz w:val="24"/>
        <w:i w:val="false"/>
        <w:b w:val="false"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sz w:val="20"/>
        <w:b/>
        <w:szCs w:val="24"/>
        <w:bCs w:val="false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hanging="0"/>
      </w:pPr>
      <w:rPr>
        <w:sz w:val="20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1288" w:hanging="295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01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73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4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7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9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6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33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hanging="0"/>
      </w:pPr>
      <w:rPr>
        <w:sz w:val="24"/>
        <w:b w:val="false"/>
        <w:szCs w:val="24"/>
        <w:bCs w:val="false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hanging="0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16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87" w:hanging="180"/>
      </w:pPr>
      <w:rPr>
        <w:rFonts w:cs="Times New Roman"/>
      </w:rPr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16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87" w:hanging="180"/>
      </w:pPr>
      <w:rPr>
        <w:rFonts w:cs="Times New Roman"/>
      </w:rPr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0"/>
      </w:pPr>
      <w:rPr>
        <w:rFonts w:cs="Times New Roman"/>
      </w:rPr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1627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87" w:hanging="180"/>
      </w:pPr>
      <w:rPr>
        <w:rFonts w:cs="Times New Roman"/>
      </w:rPr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162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87" w:hanging="180"/>
      </w:pPr>
      <w:rPr>
        <w:rFonts w:cs="Times New Roman"/>
      </w:rPr>
    </w:lvl>
  </w:abstractNum>
  <w:abstractNum w:abstractNumId="17">
    <w:lvl w:ilvl="0">
      <w:start w:val="1"/>
      <w:numFmt w:val="decimal"/>
      <w:lvlText w:val="%1."/>
      <w:lvlJc w:val="left"/>
      <w:pPr>
        <w:tabs>
          <w:tab w:val="num" w:pos="0"/>
        </w:tabs>
        <w:ind w:left="19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84" w:hanging="180"/>
      </w:pPr>
      <w:rPr>
        <w:rFonts w:cs="Times New Roman"/>
      </w:rPr>
    </w:lvl>
    <w:lvl w:ilvl="3">
      <w:start w:val="1"/>
      <w:numFmt w:val="russianLower"/>
      <w:lvlText w:val="%4)"/>
      <w:lvlJc w:val="left"/>
      <w:pPr>
        <w:tabs>
          <w:tab w:val="num" w:pos="0"/>
        </w:tabs>
        <w:ind w:left="41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8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2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704" w:hanging="180"/>
      </w:pPr>
      <w:rPr>
        <w:rFonts w:cs="Times New Roman"/>
      </w:rPr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1627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7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2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9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87" w:hanging="180"/>
      </w:pPr>
      <w:rPr>
        <w:rFonts w:cs="Times New Roman"/>
      </w:r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1425" w:hanging="432"/>
      </w:pPr>
      <w:rPr>
        <w:sz w:val="24"/>
        <w:i w:val="false"/>
        <w:b w:val="false"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0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80"/>
  <w:trackRevisions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 w:qFormat="1"/>
    <w:lsdException w:name="header" w:semiHidden="1" w:unhideWhenUsed="1"/>
    <w:lsdException w:name="footer" w:semiHidden="1" w:unhideWhenUsed="1"/>
    <w:lsdException w:name="index heading" w:uiPriority="0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 w:qFormat="1"/>
    <w:lsdException w:name="line number" w:uiPriority="0" w:semiHidden="1" w:unhideWhenUsed="1"/>
    <w:lsdException w:name="page number" w:uiPriority="0" w:semiHidden="1" w:unhideWhenUsed="1" w:qFormat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uiPriority="0" w:semiHidden="1" w:unhideWhenUsed="1" w:qFormat="1"/>
    <w:lsdException w:name="Body Text Indent 2" w:uiPriority="0" w:semiHidden="1" w:unhideWhenUsed="1" w:qFormat="1"/>
    <w:lsdException w:name="Body Text Indent 3" w:uiPriority="0" w:semiHidden="1" w:unhideWhenUsed="1" w:qFormat="1"/>
    <w:lsdException w:name="Block Text" w:uiPriority="0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04b9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rsid w:val="00f62e73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f62e73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f62e73"/>
    <w:pPr>
      <w:keepNext w:val="true"/>
      <w:tabs>
        <w:tab w:val="clear" w:pos="709"/>
        <w:tab w:val="left" w:pos="0" w:leader="none"/>
      </w:tabs>
      <w:spacing w:lineRule="auto" w:line="240" w:before="120" w:after="60"/>
      <w:ind w:hanging="504" w:left="1224"/>
      <w:outlineLvl w:val="2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f62e73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f62e73"/>
    <w:pPr>
      <w:spacing w:lineRule="auto" w:line="240" w:before="240" w:after="60"/>
      <w:outlineLvl w:val="4"/>
    </w:pPr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f62e73"/>
    <w:pPr>
      <w:keepNext w:val="true"/>
      <w:keepLines/>
      <w:spacing w:lineRule="auto" w:line="240"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f62e73"/>
    <w:pPr>
      <w:keepNext w:val="true"/>
      <w:keepLines/>
      <w:spacing w:lineRule="auto" w:line="240"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f62e73"/>
    <w:pPr>
      <w:keepNext w:val="true"/>
      <w:keepLines/>
      <w:spacing w:lineRule="auto" w:line="240"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f62e73"/>
    <w:pPr>
      <w:spacing w:lineRule="auto" w:line="240" w:before="240" w:after="60"/>
      <w:outlineLvl w:val="8"/>
    </w:pPr>
    <w:rPr>
      <w:rFonts w:ascii="Arial" w:hAnsi="Arial" w:eastAsia="Times New Roman" w:cs="Times New Roman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f62e73"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sid w:val="00f62e73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f62e73"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sid w:val="00f62e73"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uiPriority w:val="9"/>
    <w:qFormat/>
    <w:rsid w:val="00f62e73"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uiPriority w:val="9"/>
    <w:qFormat/>
    <w:rsid w:val="00f62e73"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uiPriority w:val="9"/>
    <w:qFormat/>
    <w:rsid w:val="00f62e73"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uiPriority w:val="9"/>
    <w:qFormat/>
    <w:rsid w:val="00f62e73"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uiPriority w:val="9"/>
    <w:qFormat/>
    <w:rsid w:val="00f62e73"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Текст сноски Знак"/>
    <w:basedOn w:val="DefaultParagraphFont"/>
    <w:uiPriority w:val="99"/>
    <w:qFormat/>
    <w:rsid w:val="00f62e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" w:customStyle="1">
    <w:name w:val="Символ сноски"/>
    <w:qFormat/>
    <w:rsid w:val="00586d10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f62e73"/>
    <w:rPr>
      <w:vertAlign w:val="superscript"/>
    </w:rPr>
  </w:style>
  <w:style w:type="character" w:styleId="Style2" w:customStyle="1">
    <w:name w:val="Верхний колонтитул Знак"/>
    <w:basedOn w:val="DefaultParagraphFont"/>
    <w:uiPriority w:val="99"/>
    <w:qFormat/>
    <w:rsid w:val="00f62e7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3" w:customStyle="1">
    <w:name w:val="Основной текст с отступом Знак"/>
    <w:basedOn w:val="DefaultParagraphFont"/>
    <w:qFormat/>
    <w:rsid w:val="00f62e7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Нижний колонтитул Знак"/>
    <w:basedOn w:val="DefaultParagraphFont"/>
    <w:uiPriority w:val="99"/>
    <w:qFormat/>
    <w:rsid w:val="00f62e7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5" w:customStyle="1">
    <w:name w:val="Основной текст Знак"/>
    <w:basedOn w:val="DefaultParagraphFont"/>
    <w:qFormat/>
    <w:rsid w:val="00f62e7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f62e7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sid w:val="00f62e73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sid w:val="00f62e73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sid w:val="00f62e7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sid w:val="00f62e73"/>
    <w:rPr/>
  </w:style>
  <w:style w:type="character" w:styleId="Hyperlink">
    <w:name w:val="Hyperlink"/>
    <w:basedOn w:val="DefaultParagraphFont"/>
    <w:uiPriority w:val="99"/>
    <w:unhideWhenUsed/>
    <w:rsid w:val="00877c0d"/>
    <w:rPr>
      <w:color w:val="0563C1" w:themeColor="hyperlink"/>
      <w:u w:val="single"/>
    </w:rPr>
  </w:style>
  <w:style w:type="character" w:styleId="Style6" w:customStyle="1">
    <w:name w:val="Текст выноски Знак"/>
    <w:basedOn w:val="DefaultParagraphFont"/>
    <w:link w:val="BalloonText"/>
    <w:semiHidden/>
    <w:qFormat/>
    <w:rsid w:val="00f62e73"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uiPriority w:val="99"/>
    <w:semiHidden/>
    <w:qFormat/>
    <w:rsid w:val="00f62e73"/>
    <w:rPr>
      <w:sz w:val="16"/>
      <w:szCs w:val="16"/>
    </w:rPr>
  </w:style>
  <w:style w:type="character" w:styleId="Style7" w:customStyle="1">
    <w:name w:val="Текст примечания Знак"/>
    <w:basedOn w:val="DefaultParagraphFont"/>
    <w:link w:val="Annotationtext"/>
    <w:semiHidden/>
    <w:qFormat/>
    <w:rsid w:val="00f62e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Тема примечания Знак"/>
    <w:basedOn w:val="Style7"/>
    <w:link w:val="Annotationsubject"/>
    <w:semiHidden/>
    <w:qFormat/>
    <w:rsid w:val="00f62e73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">
    <w:name w:val="Strong"/>
    <w:uiPriority w:val="22"/>
    <w:qFormat/>
    <w:rsid w:val="00f62e73"/>
    <w:rPr>
      <w:b/>
      <w:bCs/>
    </w:rPr>
  </w:style>
  <w:style w:type="character" w:styleId="Style9" w:customStyle="1">
    <w:name w:val="Название Знак"/>
    <w:link w:val="118"/>
    <w:uiPriority w:val="10"/>
    <w:qFormat/>
    <w:rsid w:val="00f62e73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0" w:customStyle="1">
    <w:name w:val="Подзаголовок Знак"/>
    <w:basedOn w:val="DefaultParagraphFont"/>
    <w:uiPriority w:val="11"/>
    <w:qFormat/>
    <w:rsid w:val="00f62e73"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f62e73"/>
    <w:rPr>
      <w:i/>
      <w:iCs/>
    </w:rPr>
  </w:style>
  <w:style w:type="character" w:styleId="23" w:customStyle="1">
    <w:name w:val="Цитата 2 Знак"/>
    <w:basedOn w:val="DefaultParagraphFont"/>
    <w:link w:val="Quote"/>
    <w:uiPriority w:val="29"/>
    <w:qFormat/>
    <w:rsid w:val="00f62e73"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1" w:customStyle="1">
    <w:name w:val="Выделенная цитата Знак"/>
    <w:basedOn w:val="DefaultParagraphFont"/>
    <w:link w:val="IntenseQuote"/>
    <w:uiPriority w:val="30"/>
    <w:qFormat/>
    <w:rsid w:val="00f62e73"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uiPriority w:val="19"/>
    <w:qFormat/>
    <w:rsid w:val="00f62e73"/>
    <w:rPr>
      <w:i/>
      <w:iCs/>
      <w:color w:val="808080"/>
    </w:rPr>
  </w:style>
  <w:style w:type="character" w:styleId="IntenseEmphasis">
    <w:name w:val="Intense Emphasis"/>
    <w:uiPriority w:val="21"/>
    <w:qFormat/>
    <w:rsid w:val="00f62e73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f62e73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f62e73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f62e73"/>
    <w:rPr>
      <w:b/>
      <w:bCs/>
      <w:smallCaps/>
      <w:spacing w:val="5"/>
    </w:rPr>
  </w:style>
  <w:style w:type="character" w:styleId="Style12" w:customStyle="1">
    <w:name w:val="Электронная подпись Знак"/>
    <w:basedOn w:val="DefaultParagraphFont"/>
    <w:link w:val="E-mailSignature"/>
    <w:uiPriority w:val="99"/>
    <w:qFormat/>
    <w:rsid w:val="00f62e73"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locked/>
    <w:rsid w:val="00f62e73"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sid w:val="00f62e73"/>
    <w:rPr/>
  </w:style>
  <w:style w:type="character" w:styleId="Style13" w:customStyle="1">
    <w:name w:val="Абзац списка Знак"/>
    <w:link w:val="ListParagraph"/>
    <w:uiPriority w:val="99"/>
    <w:qFormat/>
    <w:locked/>
    <w:rsid w:val="00f62e73"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4" w:customStyle="1">
    <w:name w:val="комментарий"/>
    <w:qFormat/>
    <w:rsid w:val="00f62e73"/>
    <w:rPr>
      <w:b/>
      <w:i/>
      <w:shd w:fill="FFFF99" w:val="clear"/>
    </w:rPr>
  </w:style>
  <w:style w:type="character" w:styleId="Style15" w:customStyle="1">
    <w:name w:val="Подподпункт Знак"/>
    <w:link w:val="Style34"/>
    <w:qFormat/>
    <w:locked/>
    <w:rsid w:val="00f62e73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sid w:val="00f62e73"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sid w:val="00f62e73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f62e73"/>
    <w:rPr>
      <w:vertAlign w:val="superscript"/>
    </w:rPr>
  </w:style>
  <w:style w:type="character" w:styleId="24" w:customStyle="1">
    <w:name w:val="Пункт2 Знак"/>
    <w:link w:val="28"/>
    <w:qFormat/>
    <w:rsid w:val="00f62e73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22"/>
    <w:qFormat/>
    <w:rsid w:val="00f62e73"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f62e73"/>
    <w:rPr>
      <w:color w:val="605E5C"/>
      <w:shd w:fill="E1DFDD" w:val="clear"/>
    </w:rPr>
  </w:style>
  <w:style w:type="character" w:styleId="Style18" w:customStyle="1">
    <w:name w:val="Ссылка указателя"/>
    <w:qFormat/>
    <w:rPr/>
  </w:style>
  <w:style w:type="character" w:styleId="14" w:customStyle="1">
    <w:name w:val="Номер строки1"/>
    <w:qFormat/>
    <w:rPr/>
  </w:style>
  <w:style w:type="character" w:styleId="FollowedHyperlink">
    <w:name w:val="FollowedHyperlink"/>
    <w:basedOn w:val="DefaultParagraphFont"/>
    <w:uiPriority w:val="99"/>
    <w:semiHidden/>
    <w:unhideWhenUsed/>
    <w:rsid w:val="00de4995"/>
    <w:rPr>
      <w:color w:val="954F72" w:themeColor="followedHyperlink"/>
      <w:u w:val="single"/>
    </w:rPr>
  </w:style>
  <w:style w:type="character" w:styleId="Linenumber1" w:customStyle="1">
    <w:name w:val="line number1"/>
    <w:qFormat/>
    <w:rPr/>
  </w:style>
  <w:style w:type="character" w:styleId="Linenumber2" w:customStyle="1">
    <w:name w:val="line number2"/>
    <w:qFormat/>
    <w:rPr/>
  </w:style>
  <w:style w:type="character" w:styleId="25" w:customStyle="1">
    <w:name w:val="Неразрешенное упоминание2"/>
    <w:basedOn w:val="DefaultParagraphFont"/>
    <w:uiPriority w:val="99"/>
    <w:semiHidden/>
    <w:unhideWhenUsed/>
    <w:qFormat/>
    <w:rsid w:val="00145309"/>
    <w:rPr>
      <w:color w:val="605E5C"/>
      <w:shd w:fill="E1DFDD" w:val="clear"/>
    </w:rPr>
  </w:style>
  <w:style w:type="character" w:styleId="Style19" w:customStyle="1">
    <w:name w:val="Заголовок Знак"/>
    <w:basedOn w:val="DefaultParagraphFont"/>
    <w:qFormat/>
    <w:rsid w:val="003a50cd"/>
    <w:rPr>
      <w:rFonts w:ascii="Liberation Sans" w:hAnsi="Liberation Sans" w:eastAsia="Arial Unicode MS" w:cs="Arial Unicode MS"/>
      <w:sz w:val="28"/>
      <w:szCs w:val="28"/>
    </w:rPr>
  </w:style>
  <w:style w:type="character" w:styleId="15" w:customStyle="1">
    <w:name w:val="Основной текст Знак1"/>
    <w:basedOn w:val="DefaultParagraphFont"/>
    <w:uiPriority w:val="99"/>
    <w:semiHidden/>
    <w:qFormat/>
    <w:rsid w:val="003a50cd"/>
    <w:rPr/>
  </w:style>
  <w:style w:type="character" w:styleId="16" w:customStyle="1">
    <w:name w:val="Текст сноски Знак1"/>
    <w:basedOn w:val="DefaultParagraphFont"/>
    <w:uiPriority w:val="99"/>
    <w:semiHidden/>
    <w:qFormat/>
    <w:rsid w:val="003a50cd"/>
    <w:rPr>
      <w:sz w:val="20"/>
      <w:szCs w:val="20"/>
    </w:rPr>
  </w:style>
  <w:style w:type="character" w:styleId="17" w:customStyle="1">
    <w:name w:val="Верхний колонтитул Знак1"/>
    <w:basedOn w:val="DefaultParagraphFont"/>
    <w:uiPriority w:val="99"/>
    <w:semiHidden/>
    <w:qFormat/>
    <w:rsid w:val="003a50cd"/>
    <w:rPr/>
  </w:style>
  <w:style w:type="character" w:styleId="18" w:customStyle="1">
    <w:name w:val="Основной текст с отступом Знак1"/>
    <w:basedOn w:val="DefaultParagraphFont"/>
    <w:uiPriority w:val="99"/>
    <w:semiHidden/>
    <w:qFormat/>
    <w:rsid w:val="003a50cd"/>
    <w:rPr/>
  </w:style>
  <w:style w:type="character" w:styleId="19" w:customStyle="1">
    <w:name w:val="Нижний колонтитул Знак1"/>
    <w:basedOn w:val="DefaultParagraphFont"/>
    <w:uiPriority w:val="99"/>
    <w:semiHidden/>
    <w:qFormat/>
    <w:rsid w:val="003a50cd"/>
    <w:rPr/>
  </w:style>
  <w:style w:type="character" w:styleId="211" w:customStyle="1">
    <w:name w:val="Основной текст с отступом 2 Знак1"/>
    <w:basedOn w:val="DefaultParagraphFont"/>
    <w:uiPriority w:val="99"/>
    <w:semiHidden/>
    <w:qFormat/>
    <w:rsid w:val="003a50cd"/>
    <w:rPr/>
  </w:style>
  <w:style w:type="character" w:styleId="311" w:customStyle="1">
    <w:name w:val="Основной текст 3 Знак1"/>
    <w:basedOn w:val="DefaultParagraphFont"/>
    <w:uiPriority w:val="99"/>
    <w:semiHidden/>
    <w:qFormat/>
    <w:rsid w:val="003a50cd"/>
    <w:rPr>
      <w:sz w:val="16"/>
      <w:szCs w:val="16"/>
    </w:rPr>
  </w:style>
  <w:style w:type="character" w:styleId="312" w:customStyle="1">
    <w:name w:val="Основной текст с отступом 3 Знак1"/>
    <w:basedOn w:val="DefaultParagraphFont"/>
    <w:uiPriority w:val="99"/>
    <w:semiHidden/>
    <w:qFormat/>
    <w:rsid w:val="003a50cd"/>
    <w:rPr>
      <w:sz w:val="16"/>
      <w:szCs w:val="16"/>
    </w:rPr>
  </w:style>
  <w:style w:type="character" w:styleId="212" w:customStyle="1">
    <w:name w:val="Основной текст 2 Знак1"/>
    <w:basedOn w:val="DefaultParagraphFont"/>
    <w:uiPriority w:val="99"/>
    <w:semiHidden/>
    <w:qFormat/>
    <w:rsid w:val="003a50cd"/>
    <w:rPr/>
  </w:style>
  <w:style w:type="character" w:styleId="110" w:customStyle="1">
    <w:name w:val="Текст выноски Знак1"/>
    <w:basedOn w:val="DefaultParagraphFont"/>
    <w:uiPriority w:val="99"/>
    <w:semiHidden/>
    <w:qFormat/>
    <w:rsid w:val="003a50cd"/>
    <w:rPr>
      <w:rFonts w:ascii="Segoe UI" w:hAnsi="Segoe UI" w:cs="Segoe UI"/>
      <w:sz w:val="18"/>
      <w:szCs w:val="18"/>
    </w:rPr>
  </w:style>
  <w:style w:type="character" w:styleId="111" w:customStyle="1">
    <w:name w:val="Текст примечания Знак1"/>
    <w:basedOn w:val="DefaultParagraphFont"/>
    <w:uiPriority w:val="99"/>
    <w:semiHidden/>
    <w:qFormat/>
    <w:rsid w:val="003a50cd"/>
    <w:rPr>
      <w:sz w:val="20"/>
      <w:szCs w:val="20"/>
    </w:rPr>
  </w:style>
  <w:style w:type="character" w:styleId="112" w:customStyle="1">
    <w:name w:val="Тема примечания Знак1"/>
    <w:basedOn w:val="111"/>
    <w:uiPriority w:val="99"/>
    <w:semiHidden/>
    <w:qFormat/>
    <w:rsid w:val="003a50cd"/>
    <w:rPr>
      <w:b/>
      <w:bCs/>
      <w:sz w:val="20"/>
      <w:szCs w:val="20"/>
    </w:rPr>
  </w:style>
  <w:style w:type="character" w:styleId="113" w:customStyle="1">
    <w:name w:val="Подзаголовок Знак1"/>
    <w:basedOn w:val="DefaultParagraphFont"/>
    <w:uiPriority w:val="11"/>
    <w:qFormat/>
    <w:rsid w:val="003a50cd"/>
    <w:rPr>
      <w:rFonts w:eastAsia="" w:eastAsiaTheme="minorEastAsia"/>
      <w:color w:val="5A5A5A" w:themeColor="text1" w:themeTint="a5"/>
      <w:spacing w:val="15"/>
    </w:rPr>
  </w:style>
  <w:style w:type="character" w:styleId="213" w:customStyle="1">
    <w:name w:val="Цитата 2 Знак1"/>
    <w:basedOn w:val="DefaultParagraphFont"/>
    <w:uiPriority w:val="29"/>
    <w:qFormat/>
    <w:rsid w:val="003a50cd"/>
    <w:rPr>
      <w:i/>
      <w:iCs/>
      <w:color w:val="404040" w:themeColor="text1" w:themeTint="bf"/>
    </w:rPr>
  </w:style>
  <w:style w:type="character" w:styleId="114" w:customStyle="1">
    <w:name w:val="Выделенная цитата Знак1"/>
    <w:basedOn w:val="DefaultParagraphFont"/>
    <w:uiPriority w:val="30"/>
    <w:qFormat/>
    <w:rsid w:val="003a50cd"/>
    <w:rPr>
      <w:i/>
      <w:iCs/>
      <w:color w:val="5B9BD5" w:themeColor="accent1"/>
    </w:rPr>
  </w:style>
  <w:style w:type="character" w:styleId="115" w:customStyle="1">
    <w:name w:val="Электронная подпись Знак1"/>
    <w:basedOn w:val="DefaultParagraphFont"/>
    <w:uiPriority w:val="99"/>
    <w:semiHidden/>
    <w:qFormat/>
    <w:rsid w:val="003a50cd"/>
    <w:rPr/>
  </w:style>
  <w:style w:type="character" w:styleId="116" w:customStyle="1">
    <w:name w:val="Текст концевой сноски Знак1"/>
    <w:basedOn w:val="DefaultParagraphFont"/>
    <w:uiPriority w:val="99"/>
    <w:semiHidden/>
    <w:qFormat/>
    <w:rsid w:val="003a50cd"/>
    <w:rPr>
      <w:sz w:val="20"/>
      <w:szCs w:val="20"/>
    </w:rPr>
  </w:style>
  <w:style w:type="character" w:styleId="Linenumber3">
    <w:name w:val="line number3"/>
    <w:qFormat/>
    <w:rPr/>
  </w:style>
  <w:style w:type="character" w:styleId="Tl" w:customStyle="1">
    <w:name w:val="t_l Знак"/>
    <w:basedOn w:val="DefaultParagraphFont"/>
    <w:link w:val="Tl1"/>
    <w:qFormat/>
    <w:rsid w:val="00892ad3"/>
    <w:rPr>
      <w:iCs/>
      <w:sz w:val="24"/>
      <w:szCs w:val="24"/>
    </w:rPr>
  </w:style>
  <w:style w:type="character" w:styleId="26" w:customStyle="1">
    <w:name w:val="Маркированный 2 Знак"/>
    <w:link w:val="218"/>
    <w:qFormat/>
    <w:locked/>
    <w:rsid w:val="00611959"/>
    <w:rPr>
      <w:sz w:val="24"/>
      <w:szCs w:val="24"/>
    </w:rPr>
  </w:style>
  <w:style w:type="character" w:styleId="LineNumber">
    <w:name w:val="Line Number"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5"/>
    <w:rsid w:val="00f62e73"/>
    <w:pPr>
      <w:spacing w:lineRule="auto" w:line="24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link w:val="Style19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next w:val="Normal"/>
    <w:uiPriority w:val="35"/>
    <w:qFormat/>
    <w:rsid w:val="00f62e73"/>
    <w:pPr>
      <w:spacing w:lineRule="auto" w:line="240" w:before="0" w:after="0"/>
    </w:pPr>
    <w:rPr>
      <w:rFonts w:ascii="Times New Roman" w:hAnsi="Times New Roman" w:eastAsia="Calibri" w:cs="Times New Roman"/>
      <w:b/>
      <w:bCs/>
      <w:color w:val="4F81BD"/>
      <w:sz w:val="18"/>
      <w:szCs w:val="18"/>
      <w:lang w:eastAsia="ru-RU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Style22" w:customStyle="1">
    <w:name w:val="Название раздела инструкции"/>
    <w:basedOn w:val="Normal"/>
    <w:autoRedefine/>
    <w:qFormat/>
    <w:rsid w:val="00f62e73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3" w:customStyle="1">
    <w:name w:val="Раздел положения"/>
    <w:basedOn w:val="Normal"/>
    <w:autoRedefine/>
    <w:qFormat/>
    <w:rsid w:val="00f62e73"/>
    <w:pPr>
      <w:numPr>
        <w:ilvl w:val="0"/>
        <w:numId w:val="1"/>
      </w:numPr>
      <w:spacing w:lineRule="auto" w:line="240" w:before="80" w:after="80"/>
      <w:jc w:val="center"/>
    </w:pPr>
    <w:rPr>
      <w:rFonts w:ascii="Times New Roman" w:hAnsi="Times New Roman" w:eastAsia="Times New Roman" w:cs="Times New Roman"/>
      <w:b/>
      <w:sz w:val="32"/>
      <w:szCs w:val="32"/>
      <w:lang w:eastAsia="ru-RU"/>
    </w:rPr>
  </w:style>
  <w:style w:type="paragraph" w:styleId="Style24" w:customStyle="1">
    <w:name w:val="Подраздел раздела положения"/>
    <w:basedOn w:val="Normal"/>
    <w:autoRedefine/>
    <w:qFormat/>
    <w:rsid w:val="00f62e73"/>
    <w:pPr>
      <w:numPr>
        <w:ilvl w:val="1"/>
        <w:numId w:val="1"/>
      </w:numPr>
      <w:spacing w:lineRule="auto" w:line="240" w:before="80" w:after="80"/>
      <w:jc w:val="both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FootnoteText">
    <w:name w:val="Footnote Text"/>
    <w:basedOn w:val="Normal"/>
    <w:link w:val="Style"/>
    <w:uiPriority w:val="99"/>
    <w:rsid w:val="00f62e73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17" w:customStyle="1">
    <w:name w:val="Шапка 1"/>
    <w:basedOn w:val="Normal"/>
    <w:qFormat/>
    <w:rsid w:val="00f62e73"/>
    <w:pPr>
      <w:pBdr>
        <w:bottom w:val="thickThinSmallGap" w:sz="24" w:space="1" w:color="000000"/>
      </w:pBdr>
      <w:spacing w:lineRule="auto" w:line="240" w:before="0" w:after="240"/>
      <w:jc w:val="center"/>
    </w:pPr>
    <w:rPr>
      <w:rFonts w:ascii="Times New Roman" w:hAnsi="Times New Roman" w:eastAsia="Times New Roman" w:cs="Times New Roman"/>
      <w:lang w:eastAsia="ru-RU"/>
    </w:rPr>
  </w:style>
  <w:style w:type="paragraph" w:styleId="27" w:customStyle="1">
    <w:name w:val="Шапка 2"/>
    <w:basedOn w:val="Normal"/>
    <w:qFormat/>
    <w:rsid w:val="00f62e73"/>
    <w:pPr>
      <w:pBdr>
        <w:bottom w:val="thickThinSmallGap" w:sz="24" w:space="1" w:color="000000"/>
      </w:pBdr>
      <w:spacing w:lineRule="auto" w:line="240" w:before="0" w:after="120"/>
      <w:jc w:val="center"/>
    </w:pPr>
    <w:rPr>
      <w:rFonts w:ascii="Times New Roman" w:hAnsi="Times New Roman" w:eastAsia="Times New Roman" w:cs="Times New Roman"/>
      <w:b/>
      <w:lang w:eastAsia="ru-RU"/>
    </w:rPr>
  </w:style>
  <w:style w:type="paragraph" w:styleId="34" w:customStyle="1">
    <w:name w:val="Шапка 3"/>
    <w:basedOn w:val="Normal"/>
    <w:qFormat/>
    <w:rsid w:val="00f62e73"/>
    <w:pPr>
      <w:pBdr>
        <w:bottom w:val="thickThinSmallGap" w:sz="24" w:space="1" w:color="000000"/>
      </w:pBdr>
      <w:spacing w:lineRule="auto" w:line="240" w:before="240" w:after="360"/>
      <w:jc w:val="center"/>
    </w:pPr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paragraph" w:styleId="118" w:customStyle="1">
    <w:name w:val="Название1"/>
    <w:basedOn w:val="Normal"/>
    <w:link w:val="Style9"/>
    <w:uiPriority w:val="10"/>
    <w:qFormat/>
    <w:rsid w:val="00f62e73"/>
    <w:pPr>
      <w:spacing w:lineRule="auto" w:line="240" w:before="0" w:after="0"/>
      <w:jc w:val="center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uiPriority w:val="99"/>
    <w:rsid w:val="00f62e73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3"/>
    <w:rsid w:val="00f62e73"/>
    <w:pPr>
      <w:spacing w:lineRule="auto" w:line="240" w:before="0" w:after="0"/>
      <w:ind w:left="36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Style4"/>
    <w:uiPriority w:val="99"/>
    <w:rsid w:val="00f62e73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rsid w:val="00f62e73"/>
    <w:pPr>
      <w:spacing w:lineRule="auto" w:line="480" w:before="0" w:after="120"/>
      <w:ind w:left="283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rsid w:val="00f62e73"/>
    <w:pPr>
      <w:spacing w:lineRule="auto" w:line="240" w:before="0" w:after="120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rsid w:val="00f62e73"/>
    <w:pPr>
      <w:spacing w:lineRule="auto" w:line="240" w:before="0" w:after="120"/>
      <w:ind w:left="283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rsid w:val="00f62e73"/>
    <w:pPr>
      <w:spacing w:lineRule="auto" w:line="480" w:before="0" w:after="12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rsid w:val="00f62e73"/>
    <w:pPr>
      <w:spacing w:lineRule="auto" w:line="240" w:before="0" w:after="0"/>
      <w:ind w:left="-567" w:right="-766"/>
      <w:jc w:val="center"/>
    </w:pPr>
    <w:rPr>
      <w:rFonts w:ascii="Times New Roman" w:hAnsi="Times New Roman" w:eastAsia="Times New Roman" w:cs="Times New Roman"/>
      <w:b/>
      <w:bCs/>
      <w:sz w:val="24"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rsid w:val="00f62e73"/>
    <w:pPr>
      <w:tabs>
        <w:tab w:val="clear" w:pos="709"/>
        <w:tab w:val="left" w:pos="1134" w:leader="none"/>
      </w:tabs>
      <w:snapToGrid w:val="false"/>
      <w:spacing w:lineRule="auto" w:line="360" w:before="0" w:after="0"/>
      <w:ind w:hanging="1134" w:left="1134"/>
      <w:jc w:val="both"/>
    </w:pPr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paragraph" w:styleId="28" w:customStyle="1">
    <w:name w:val="Пункт2"/>
    <w:basedOn w:val="Normal"/>
    <w:link w:val="24"/>
    <w:qFormat/>
    <w:rsid w:val="00f62e73"/>
    <w:pPr>
      <w:keepNext w:val="true"/>
      <w:tabs>
        <w:tab w:val="clear" w:pos="709"/>
        <w:tab w:val="left" w:pos="1134" w:leader="none"/>
      </w:tabs>
      <w:snapToGrid w:val="false"/>
      <w:spacing w:lineRule="auto" w:line="240" w:before="240" w:after="120"/>
      <w:ind w:hanging="1134" w:left="1134"/>
      <w:outlineLvl w:val="2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uiPriority w:val="39"/>
    <w:rsid w:val="00f62e73"/>
    <w:pPr>
      <w:spacing w:lineRule="auto" w:line="240" w:before="120" w:after="0"/>
    </w:pPr>
    <w:rPr>
      <w:rFonts w:ascii="Times New Roman" w:hAnsi="Times New Roman" w:eastAsia="Times New Roman" w:cs="Calibri Light (Заголовки)"/>
      <w:b/>
      <w:bCs/>
      <w:sz w:val="24"/>
      <w:szCs w:val="24"/>
      <w:lang w:eastAsia="ru-RU"/>
    </w:rPr>
  </w:style>
  <w:style w:type="paragraph" w:styleId="313" w:customStyle="1">
    <w:name w:val="Оглавление 31"/>
    <w:basedOn w:val="Normal"/>
    <w:next w:val="Normal"/>
    <w:autoRedefine/>
    <w:uiPriority w:val="39"/>
    <w:qFormat/>
    <w:rsid w:val="00f62e73"/>
    <w:pPr>
      <w:spacing w:lineRule="auto" w:line="240" w:before="0" w:after="0"/>
      <w:ind w:left="28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rsid w:val="00f62e73"/>
    <w:pPr>
      <w:spacing w:lineRule="auto" w:line="240" w:before="0" w:after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rsid w:val="00f62e73"/>
    <w:pPr>
      <w:spacing w:lineRule="auto" w:line="240" w:before="0" w:after="0"/>
      <w:jc w:val="right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214" w:customStyle="1">
    <w:name w:val="Оглавление 21"/>
    <w:basedOn w:val="Normal"/>
    <w:next w:val="Normal"/>
    <w:autoRedefine/>
    <w:uiPriority w:val="39"/>
    <w:qFormat/>
    <w:rsid w:val="00f62e73"/>
    <w:pPr>
      <w:spacing w:lineRule="auto" w:line="240" w:before="240" w:after="0"/>
    </w:pPr>
    <w:rPr>
      <w:rFonts w:ascii="Times New Roman" w:hAnsi="Times New Roman"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6"/>
    <w:semiHidden/>
    <w:qFormat/>
    <w:rsid w:val="00f62e73"/>
    <w:pPr>
      <w:spacing w:lineRule="auto" w:line="240" w:before="0" w:after="0"/>
    </w:pPr>
    <w:rPr>
      <w:rFonts w:ascii="Tahoma" w:hAnsi="Tahoma" w:eastAsia="Times New Roman" w:cs="Tahoma"/>
      <w:sz w:val="16"/>
      <w:szCs w:val="16"/>
      <w:lang w:eastAsia="ru-RU"/>
    </w:rPr>
  </w:style>
  <w:style w:type="paragraph" w:styleId="Annotationtext">
    <w:name w:val="annotation text"/>
    <w:basedOn w:val="Normal"/>
    <w:link w:val="Style7"/>
    <w:semiHidden/>
    <w:qFormat/>
    <w:rsid w:val="00f62e73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8"/>
    <w:semiHidden/>
    <w:qFormat/>
    <w:rsid w:val="00f62e73"/>
    <w:pPr/>
    <w:rPr>
      <w:b/>
      <w:bCs/>
    </w:rPr>
  </w:style>
  <w:style w:type="paragraph" w:styleId="119" w:customStyle="1">
    <w:name w:val="Обычный (веб)1"/>
    <w:basedOn w:val="Normal"/>
    <w:uiPriority w:val="99"/>
    <w:qFormat/>
    <w:rsid w:val="00f62e73"/>
    <w:pPr>
      <w:spacing w:lineRule="auto" w:line="240" w:beforeAutospacing="1" w:afterAutospacing="1"/>
    </w:pPr>
    <w:rPr>
      <w:rFonts w:ascii="Arial Unicode MS" w:hAnsi="Arial Unicode MS" w:eastAsia="Arial Unicode MS" w:cs="Arial Unicode MS"/>
      <w:sz w:val="24"/>
      <w:szCs w:val="24"/>
      <w:lang w:eastAsia="ru-RU"/>
    </w:rPr>
  </w:style>
  <w:style w:type="paragraph" w:styleId="91" w:customStyle="1">
    <w:name w:val="Оглавление 91"/>
    <w:basedOn w:val="Normal"/>
    <w:next w:val="Normal"/>
    <w:autoRedefine/>
    <w:semiHidden/>
    <w:qFormat/>
    <w:rsid w:val="00f62e73"/>
    <w:pPr>
      <w:spacing w:lineRule="auto" w:line="240" w:before="0" w:after="0"/>
      <w:ind w:left="1960"/>
    </w:pPr>
    <w:rPr>
      <w:rFonts w:eastAsia="Times New Roman" w:cs="Calibri"/>
      <w:sz w:val="20"/>
      <w:szCs w:val="20"/>
      <w:lang w:eastAsia="ru-RU"/>
    </w:rPr>
  </w:style>
  <w:style w:type="paragraph" w:styleId="51" w:customStyle="1">
    <w:name w:val="Оглавление 51"/>
    <w:basedOn w:val="Normal"/>
    <w:next w:val="Normal"/>
    <w:autoRedefine/>
    <w:semiHidden/>
    <w:qFormat/>
    <w:rsid w:val="00f62e73"/>
    <w:pPr>
      <w:spacing w:lineRule="auto" w:line="240" w:before="0" w:after="0"/>
      <w:ind w:left="840"/>
    </w:pPr>
    <w:rPr>
      <w:rFonts w:eastAsia="Times New Roman" w:cs="Calibri"/>
      <w:sz w:val="20"/>
      <w:szCs w:val="20"/>
      <w:lang w:eastAsia="ru-RU"/>
    </w:rPr>
  </w:style>
  <w:style w:type="paragraph" w:styleId="41" w:customStyle="1">
    <w:name w:val="Оглавление 41"/>
    <w:basedOn w:val="Normal"/>
    <w:next w:val="Normal"/>
    <w:autoRedefine/>
    <w:uiPriority w:val="39"/>
    <w:qFormat/>
    <w:rsid w:val="00f62e73"/>
    <w:pPr>
      <w:spacing w:lineRule="auto" w:line="240" w:before="0" w:after="0"/>
      <w:ind w:left="560"/>
    </w:pPr>
    <w:rPr>
      <w:rFonts w:ascii="Times New Roman" w:hAnsi="Times New Roman" w:eastAsia="Times New Roman" w:cs="Calibri"/>
      <w:sz w:val="20"/>
      <w:szCs w:val="20"/>
      <w:lang w:eastAsia="ru-RU"/>
    </w:rPr>
  </w:style>
  <w:style w:type="paragraph" w:styleId="29" w:customStyle="1">
    <w:name w:val="Раздел положения 2"/>
    <w:basedOn w:val="Normal"/>
    <w:qFormat/>
    <w:rsid w:val="00f62e73"/>
    <w:pPr>
      <w:pageBreakBefore/>
      <w:spacing w:lineRule="auto" w:line="240" w:before="0" w:after="0"/>
      <w:jc w:val="both"/>
      <w:outlineLvl w:val="0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rsid w:val="00f62e73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NoSpacing">
    <w:name w:val="No Spacing"/>
    <w:basedOn w:val="Normal"/>
    <w:uiPriority w:val="1"/>
    <w:qFormat/>
    <w:rsid w:val="00f62e73"/>
    <w:pPr>
      <w:spacing w:lineRule="auto" w:line="360" w:before="0" w:after="0"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Subtitle">
    <w:name w:val="Subtitle"/>
    <w:basedOn w:val="Normal"/>
    <w:next w:val="Normal"/>
    <w:link w:val="Style10"/>
    <w:uiPriority w:val="11"/>
    <w:qFormat/>
    <w:rsid w:val="00f62e73"/>
    <w:pPr>
      <w:spacing w:lineRule="auto" w:line="240" w:before="0" w:after="0"/>
      <w:ind w:firstLine="709" w:left="1066"/>
    </w:pPr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3"/>
    <w:uiPriority w:val="99"/>
    <w:qFormat/>
    <w:rsid w:val="00f62e73"/>
    <w:pPr>
      <w:spacing w:lineRule="auto" w:line="240" w:before="0" w:after="0"/>
      <w:ind w:left="720"/>
      <w:contextualSpacing/>
    </w:pPr>
    <w:rPr>
      <w:rFonts w:ascii="Times New Roman" w:hAnsi="Times New Roman" w:eastAsia="Calibri" w:cs="Times New Roman"/>
      <w:sz w:val="24"/>
      <w:szCs w:val="24"/>
      <w:lang w:eastAsia="ru-RU"/>
    </w:rPr>
  </w:style>
  <w:style w:type="paragraph" w:styleId="Quote">
    <w:name w:val="Quote"/>
    <w:basedOn w:val="Normal"/>
    <w:next w:val="Normal"/>
    <w:link w:val="23"/>
    <w:uiPriority w:val="29"/>
    <w:qFormat/>
    <w:rsid w:val="00f62e73"/>
    <w:pPr>
      <w:spacing w:lineRule="auto" w:line="240" w:before="0" w:after="0"/>
    </w:pPr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1"/>
    <w:uiPriority w:val="30"/>
    <w:qFormat/>
    <w:rsid w:val="00f62e73"/>
    <w:pPr>
      <w:pBdr>
        <w:bottom w:val="single" w:sz="4" w:space="4" w:color="4F81BD"/>
      </w:pBdr>
      <w:spacing w:lineRule="auto" w:line="240" w:before="200" w:after="280"/>
      <w:ind w:left="936" w:right="936"/>
    </w:pPr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uiPriority w:val="39"/>
    <w:qFormat/>
    <w:rsid w:val="00f62e73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2"/>
    <w:uiPriority w:val="99"/>
    <w:unhideWhenUsed/>
    <w:qFormat/>
    <w:rsid w:val="00f62e73"/>
    <w:pPr>
      <w:spacing w:lineRule="auto" w:line="240" w:before="0" w:after="0"/>
    </w:pPr>
    <w:rPr>
      <w:rFonts w:ascii="Times New Roman" w:hAnsi="Times New Roman" w:eastAsia="Calibri" w:cs="Times New Roman"/>
      <w:sz w:val="24"/>
      <w:szCs w:val="24"/>
      <w:lang w:val="x-none" w:eastAsia="x-none"/>
    </w:rPr>
  </w:style>
  <w:style w:type="paragraph" w:styleId="Style30" w:customStyle="1">
    <w:name w:val="Знак"/>
    <w:basedOn w:val="Normal"/>
    <w:qFormat/>
    <w:rsid w:val="00f62e73"/>
    <w:pPr>
      <w:spacing w:lineRule="exact" w:line="24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rsid w:val="00f62e73"/>
    <w:pPr>
      <w:numPr>
        <w:ilvl w:val="2"/>
        <w:numId w:val="2"/>
      </w:numPr>
      <w:spacing w:lineRule="auto" w:line="240" w:before="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314" w:customStyle="1">
    <w:name w:val="Список 31"/>
    <w:basedOn w:val="Normal"/>
    <w:qFormat/>
    <w:rsid w:val="00f62e73"/>
    <w:pPr>
      <w:numPr>
        <w:ilvl w:val="0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210" w:customStyle="1">
    <w:name w:val="Нумерованный список ур2"/>
    <w:basedOn w:val="Normal"/>
    <w:qFormat/>
    <w:rsid w:val="00f62e73"/>
    <w:pPr>
      <w:numPr>
        <w:ilvl w:val="1"/>
        <w:numId w:val="2"/>
      </w:numPr>
      <w:spacing w:lineRule="auto" w:line="240" w:before="120" w:after="0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Revision">
    <w:name w:val="Revision"/>
    <w:uiPriority w:val="99"/>
    <w:semiHidden/>
    <w:qFormat/>
    <w:rsid w:val="00f62e73"/>
    <w:pPr>
      <w:widowControl/>
      <w:suppressAutoHyphens w:val="true"/>
      <w:bidi w:val="0"/>
      <w:spacing w:before="0" w:after="0"/>
      <w:jc w:val="left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eastAsia="ru-RU" w:val="ru-RU" w:bidi="ar-SA"/>
    </w:rPr>
  </w:style>
  <w:style w:type="paragraph" w:styleId="ConsPlusNormal" w:customStyle="1">
    <w:name w:val="ConsPlusNormal"/>
    <w:qFormat/>
    <w:rsid w:val="00f62e73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36" w:customStyle="1">
    <w:name w:val="Знак Знак3 Знак Знак"/>
    <w:basedOn w:val="Normal"/>
    <w:qFormat/>
    <w:rsid w:val="00f62e73"/>
    <w:pPr>
      <w:spacing w:lineRule="exact" w:line="240"/>
      <w:jc w:val="both"/>
    </w:pPr>
    <w:rPr>
      <w:rFonts w:ascii="Verdana" w:hAnsi="Verdana" w:eastAsia="Times New Roman" w:cs="Verdana"/>
      <w:lang w:val="en-US"/>
    </w:rPr>
  </w:style>
  <w:style w:type="paragraph" w:styleId="Style31" w:customStyle="1">
    <w:name w:val="Пункт"/>
    <w:basedOn w:val="Normal"/>
    <w:qFormat/>
    <w:rsid w:val="00f62e73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20" w:customStyle="1">
    <w:name w:val="Абзац списка1"/>
    <w:basedOn w:val="Normal"/>
    <w:qFormat/>
    <w:rsid w:val="00f62e73"/>
    <w:pPr>
      <w:spacing w:lineRule="auto" w:line="276" w:before="0" w:after="200"/>
      <w:ind w:left="720"/>
      <w:contextualSpacing/>
    </w:pPr>
    <w:rPr>
      <w:rFonts w:ascii="Calibri" w:hAnsi="Calibri" w:eastAsia="Times New Roman" w:cs="Times New Roman"/>
    </w:rPr>
  </w:style>
  <w:style w:type="paragraph" w:styleId="Style32" w:customStyle="1">
    <w:name w:val="Таблица"/>
    <w:basedOn w:val="Normal"/>
    <w:qFormat/>
    <w:rsid w:val="00f62e73"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Style33" w:customStyle="1">
    <w:name w:val="Таблица шапка"/>
    <w:basedOn w:val="Normal"/>
    <w:qFormat/>
    <w:rsid w:val="00f62e73"/>
    <w:pPr>
      <w:keepNext w:val="true"/>
      <w:spacing w:lineRule="auto" w:line="240" w:before="40" w:after="40"/>
      <w:ind w:left="57" w:right="57"/>
    </w:pPr>
    <w:rPr>
      <w:rFonts w:ascii="Times New Roman" w:hAnsi="Times New Roman" w:eastAsia="Times New Roman" w:cs="Times New Roman"/>
      <w:szCs w:val="26"/>
      <w:lang w:eastAsia="ru-RU"/>
    </w:rPr>
  </w:style>
  <w:style w:type="paragraph" w:styleId="Style34" w:customStyle="1">
    <w:name w:val="Подподпункт"/>
    <w:basedOn w:val="Style26"/>
    <w:link w:val="Style15"/>
    <w:qFormat/>
    <w:rsid w:val="00f62e73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5" w:customStyle="1">
    <w:name w:val="УРОВЕНЬ_(а)"/>
    <w:basedOn w:val="ListParagraph"/>
    <w:qFormat/>
    <w:rsid w:val="00f62e73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f62e73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15" w:customStyle="1">
    <w:name w:val="УРОВЕНЬ_Абзац_тип2"/>
    <w:basedOn w:val="ListParagraph"/>
    <w:qFormat/>
    <w:rsid w:val="00f62e73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 w:customStyle="1">
    <w:name w:val="УРОВЕНЬ_Абзац_тип3"/>
    <w:basedOn w:val="ListParagraph"/>
    <w:link w:val="33"/>
    <w:qFormat/>
    <w:rsid w:val="00f62e73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6" w:customStyle="1">
    <w:name w:val="УРОВЕНЬ_Подпись"/>
    <w:basedOn w:val="ListParagraph"/>
    <w:qFormat/>
    <w:rsid w:val="00f62e73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21" w:customStyle="1">
    <w:name w:val="Стиль Заголовок 1 + по ширине"/>
    <w:basedOn w:val="Heading1"/>
    <w:qFormat/>
    <w:rsid w:val="00f62e73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rsid w:val="00f62e73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216" w:customStyle="1">
    <w:name w:val="Заголовок 2 КВВ"/>
    <w:basedOn w:val="Normal"/>
    <w:qFormat/>
    <w:rsid w:val="00f62e73"/>
    <w:pPr>
      <w:keepNext w:val="true"/>
      <w:numPr>
        <w:ilvl w:val="0"/>
        <w:numId w:val="5"/>
      </w:numPr>
      <w:spacing w:lineRule="auto" w:line="240" w:before="120" w:after="120"/>
      <w:jc w:val="both"/>
      <w:outlineLvl w:val="0"/>
    </w:pPr>
    <w:rPr>
      <w:rFonts w:ascii="Times New Roman" w:hAnsi="Times New Roman" w:eastAsia="Times New Roman" w:cs="Times New Roman"/>
      <w:b/>
      <w:kern w:val="2"/>
      <w:sz w:val="24"/>
      <w:szCs w:val="20"/>
      <w:lang w:eastAsia="x-none"/>
    </w:rPr>
  </w:style>
  <w:style w:type="paragraph" w:styleId="Style37" w:customStyle="1">
    <w:name w:val="Таблица текст"/>
    <w:basedOn w:val="Normal"/>
    <w:qFormat/>
    <w:rsid w:val="00f62e73"/>
    <w:pPr>
      <w:spacing w:lineRule="auto" w:line="240" w:before="40" w:after="40"/>
      <w:ind w:left="57" w:right="57"/>
    </w:pPr>
    <w:rPr>
      <w:rFonts w:ascii="Times New Roman" w:hAnsi="Times New Roman" w:eastAsia="Times New Roman" w:cs="Times New Roman"/>
      <w:sz w:val="24"/>
      <w:szCs w:val="26"/>
      <w:lang w:eastAsia="ru-RU"/>
    </w:rPr>
  </w:style>
  <w:style w:type="paragraph" w:styleId="NormalWeb">
    <w:name w:val="Normal (Web)"/>
    <w:basedOn w:val="Normal"/>
    <w:uiPriority w:val="99"/>
    <w:unhideWhenUsed/>
    <w:qFormat/>
    <w:rsid w:val="00f62e7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2" w:customStyle="1">
    <w:name w:val="УРОВЕНЬ_1."/>
    <w:basedOn w:val="ListParagraph"/>
    <w:link w:val="12"/>
    <w:qFormat/>
    <w:rsid w:val="00f62e73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61" w:customStyle="1">
    <w:name w:val="Оглавление 61"/>
    <w:basedOn w:val="Normal"/>
    <w:next w:val="Normal"/>
    <w:autoRedefine/>
    <w:unhideWhenUsed/>
    <w:qFormat/>
    <w:rsid w:val="00f62e73"/>
    <w:pPr>
      <w:spacing w:lineRule="auto" w:line="240" w:before="0" w:after="0"/>
      <w:ind w:left="1120"/>
    </w:pPr>
    <w:rPr>
      <w:rFonts w:eastAsia="Times New Roman" w:cs="Calibri"/>
      <w:sz w:val="20"/>
      <w:szCs w:val="20"/>
      <w:lang w:eastAsia="ru-RU"/>
    </w:rPr>
  </w:style>
  <w:style w:type="paragraph" w:styleId="71" w:customStyle="1">
    <w:name w:val="Оглавление 71"/>
    <w:basedOn w:val="Normal"/>
    <w:next w:val="Normal"/>
    <w:autoRedefine/>
    <w:unhideWhenUsed/>
    <w:qFormat/>
    <w:rsid w:val="00f62e73"/>
    <w:pPr>
      <w:spacing w:lineRule="auto" w:line="240" w:before="0" w:after="0"/>
      <w:ind w:left="1400"/>
    </w:pPr>
    <w:rPr>
      <w:rFonts w:eastAsia="Times New Roman" w:cs="Calibri"/>
      <w:sz w:val="20"/>
      <w:szCs w:val="20"/>
      <w:lang w:eastAsia="ru-RU"/>
    </w:rPr>
  </w:style>
  <w:style w:type="paragraph" w:styleId="81" w:customStyle="1">
    <w:name w:val="Оглавление 81"/>
    <w:basedOn w:val="Normal"/>
    <w:next w:val="Normal"/>
    <w:autoRedefine/>
    <w:unhideWhenUsed/>
    <w:qFormat/>
    <w:rsid w:val="00f62e73"/>
    <w:pPr>
      <w:spacing w:lineRule="auto" w:line="240" w:before="0" w:after="0"/>
      <w:ind w:left="1680"/>
    </w:pPr>
    <w:rPr>
      <w:rFonts w:eastAsia="Times New Roman" w:cs="Calibri"/>
      <w:sz w:val="20"/>
      <w:szCs w:val="20"/>
      <w:lang w:eastAsia="ru-RU"/>
    </w:rPr>
  </w:style>
  <w:style w:type="paragraph" w:styleId="TOC3">
    <w:name w:val="TOC 3"/>
    <w:basedOn w:val="Normal"/>
    <w:next w:val="Normal"/>
    <w:autoRedefine/>
    <w:uiPriority w:val="39"/>
    <w:unhideWhenUsed/>
    <w:rsid w:val="00f62e73"/>
    <w:pPr>
      <w:spacing w:before="0" w:after="100"/>
      <w:ind w:left="440"/>
    </w:pPr>
    <w:rPr/>
  </w:style>
  <w:style w:type="paragraph" w:styleId="TOC4">
    <w:name w:val="TOC 4"/>
    <w:basedOn w:val="Normal"/>
    <w:next w:val="Normal"/>
    <w:autoRedefine/>
    <w:uiPriority w:val="39"/>
    <w:unhideWhenUsed/>
    <w:rsid w:val="00c2183b"/>
    <w:pPr>
      <w:tabs>
        <w:tab w:val="clear" w:pos="709"/>
        <w:tab w:val="left" w:pos="1320" w:leader="none"/>
        <w:tab w:val="right" w:pos="10194" w:leader="dot"/>
      </w:tabs>
      <w:spacing w:before="0" w:after="100"/>
      <w:ind w:left="660"/>
    </w:pPr>
    <w:rPr>
      <w:rFonts w:ascii="Times New Roman" w:hAnsi="Times New Roman" w:cs="Times New Roman"/>
      <w:iCs/>
    </w:rPr>
  </w:style>
  <w:style w:type="paragraph" w:styleId="Style38" w:customStyle="1">
    <w:name w:val="Содержимое врезки"/>
    <w:basedOn w:val="Normal"/>
    <w:qFormat/>
    <w:pPr/>
    <w:rPr/>
  </w:style>
  <w:style w:type="paragraph" w:styleId="Style3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0" w:customStyle="1">
    <w:name w:val="Заголовок таблицы"/>
    <w:basedOn w:val="Style39"/>
    <w:qFormat/>
    <w:pPr>
      <w:jc w:val="center"/>
    </w:pPr>
    <w:rPr>
      <w:b/>
      <w:bCs/>
    </w:rPr>
  </w:style>
  <w:style w:type="paragraph" w:styleId="217" w:customStyle="1">
    <w:name w:val="Стиль2"/>
    <w:basedOn w:val="Normal"/>
    <w:qFormat/>
    <w:pPr>
      <w:tabs>
        <w:tab w:val="clear" w:pos="709"/>
        <w:tab w:val="left" w:pos="360" w:leader="none"/>
        <w:tab w:val="left" w:pos="900" w:leader="none"/>
      </w:tabs>
      <w:jc w:val="both"/>
    </w:pPr>
    <w:rPr>
      <w:rFonts w:ascii="Calibri" w:hAnsi="Calibri" w:eastAsia="Calibri"/>
      <w:sz w:val="24"/>
      <w:szCs w:val="24"/>
    </w:rPr>
  </w:style>
  <w:style w:type="paragraph" w:styleId="Default" w:customStyle="1">
    <w:name w:val="Default"/>
    <w:qFormat/>
    <w:rsid w:val="00840a6c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ru-RU" w:eastAsia="en-US" w:bidi="ar-SA"/>
    </w:rPr>
  </w:style>
  <w:style w:type="paragraph" w:styleId="Style41" w:customStyle="1">
    <w:name w:val="[РГ] Текст"/>
    <w:basedOn w:val="Normal"/>
    <w:qFormat/>
    <w:rsid w:val="004054d3"/>
    <w:pPr>
      <w:suppressAutoHyphens w:val="false"/>
      <w:spacing w:lineRule="auto" w:line="240" w:before="120" w:after="0"/>
      <w:jc w:val="both"/>
    </w:pPr>
    <w:rPr>
      <w:rFonts w:ascii="Times New Roman" w:hAnsi="Times New Roman" w:eastAsia="Times New Roman" w:cs="Times New Roman (???????? ?????"/>
      <w:color w:val="000000"/>
      <w:sz w:val="26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3a50cd"/>
    <w:pPr>
      <w:spacing w:lineRule="auto" w:line="240" w:before="0" w:after="0"/>
      <w:ind w:hanging="220" w:left="220"/>
    </w:pPr>
    <w:rPr/>
  </w:style>
  <w:style w:type="paragraph" w:styleId="411" w:customStyle="1">
    <w:name w:val="Маркированный список 41"/>
    <w:basedOn w:val="Normal"/>
    <w:qFormat/>
    <w:rsid w:val="00892ad3"/>
    <w:pPr>
      <w:tabs>
        <w:tab w:val="clear" w:pos="709"/>
        <w:tab w:val="left" w:pos="0" w:leader="none"/>
      </w:tabs>
      <w:spacing w:lineRule="auto" w:line="240" w:before="120" w:after="0"/>
      <w:ind w:hanging="360" w:left="-207"/>
      <w:jc w:val="both"/>
    </w:pPr>
    <w:rPr>
      <w:rFonts w:ascii="Garamond" w:hAnsi="Garamond" w:eastAsia="Times New Roman" w:cs="Times New Roman"/>
      <w:sz w:val="24"/>
      <w:szCs w:val="20"/>
      <w:lang w:eastAsia="ru-RU"/>
    </w:rPr>
  </w:style>
  <w:style w:type="paragraph" w:styleId="Tl1" w:customStyle="1">
    <w:name w:val="t_l"/>
    <w:basedOn w:val="Normal"/>
    <w:link w:val="Tl"/>
    <w:qFormat/>
    <w:rsid w:val="00892ad3"/>
    <w:pPr>
      <w:spacing w:lineRule="auto" w:line="240" w:before="0" w:after="0"/>
    </w:pPr>
    <w:rPr>
      <w:iCs/>
      <w:sz w:val="24"/>
      <w:szCs w:val="24"/>
    </w:rPr>
  </w:style>
  <w:style w:type="paragraph" w:styleId="218" w:customStyle="1">
    <w:name w:val="Маркированный 2"/>
    <w:basedOn w:val="Normal"/>
    <w:link w:val="26"/>
    <w:qFormat/>
    <w:rsid w:val="00611959"/>
    <w:pPr>
      <w:numPr>
        <w:ilvl w:val="0"/>
        <w:numId w:val="10"/>
      </w:numPr>
      <w:tabs>
        <w:tab w:val="clear" w:pos="709"/>
        <w:tab w:val="left" w:pos="993" w:leader="none"/>
      </w:tabs>
      <w:suppressAutoHyphens w:val="false"/>
      <w:spacing w:lineRule="auto" w:line="276" w:before="120" w:after="0"/>
      <w:jc w:val="both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ет списка1"/>
    <w:uiPriority w:val="99"/>
    <w:semiHidden/>
    <w:unhideWhenUsed/>
    <w:qFormat/>
    <w:rsid w:val="00f62e73"/>
  </w:style>
  <w:style w:type="numbering" w:styleId="124" w:customStyle="1">
    <w:name w:val="Стиль1"/>
    <w:uiPriority w:val="99"/>
    <w:qFormat/>
    <w:rsid w:val="00f62e73"/>
  </w:style>
  <w:style w:type="numbering" w:styleId="219" w:customStyle="1">
    <w:name w:val="Стиль21"/>
    <w:uiPriority w:val="99"/>
    <w:qFormat/>
    <w:rsid w:val="00f62e73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f">
    <w:name w:val="Table Grid"/>
    <w:basedOn w:val="a5"/>
    <w:uiPriority w:val="39"/>
    <w:rsid w:val="00f62e73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fb">
    <w:name w:val="Сетка таблицы1"/>
    <w:basedOn w:val="a5"/>
    <w:uiPriority w:val="39"/>
    <w:rsid w:val="00f62e73"/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f1">
    <w:name w:val="Сетка таблицы2"/>
    <w:basedOn w:val="a5"/>
    <w:uiPriority w:val="39"/>
    <w:rsid w:val="00926045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c">
    <w:name w:val="Сетка таблицы3"/>
    <w:basedOn w:val="a5"/>
    <w:uiPriority w:val="39"/>
    <w:rsid w:val="00bf48f2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5"/>
    <w:uiPriority w:val="39"/>
    <w:rsid w:val="001f2d84"/>
    <w:pPr>
      <w:spacing w:before="120" w:after="120"/>
      <w:jc w:val="both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">
    <w:name w:val="Сетка таблицы5"/>
    <w:basedOn w:val="a5"/>
    <w:uiPriority w:val="39"/>
    <w:rsid w:val="008e1b90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0">
    <w:name w:val="Сетка таблицы51"/>
    <w:basedOn w:val="a5"/>
    <w:uiPriority w:val="39"/>
    <w:rsid w:val="006d26d4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10">
    <w:name w:val="Сетка таблицы41"/>
    <w:basedOn w:val="a5"/>
    <w:uiPriority w:val="39"/>
    <w:rsid w:val="007157dc"/>
    <w:pPr>
      <w:spacing w:before="120" w:after="120"/>
      <w:jc w:val="both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20">
    <w:name w:val="Сетка таблицы52"/>
    <w:basedOn w:val="a5"/>
    <w:uiPriority w:val="39"/>
    <w:rsid w:val="007157dc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11">
    <w:name w:val="Сетка таблицы511"/>
    <w:basedOn w:val="a5"/>
    <w:uiPriority w:val="39"/>
    <w:rsid w:val="007157dc"/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20">
    <w:name w:val="Сетка таблицы42"/>
    <w:basedOn w:val="a5"/>
    <w:uiPriority w:val="39"/>
    <w:rsid w:val="00cf2d19"/>
    <w:pPr>
      <w:spacing w:before="120" w:after="120"/>
      <w:jc w:val="both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header" Target="header3.xml"/><Relationship Id="rId7" Type="http://schemas.openxmlformats.org/officeDocument/2006/relationships/header" Target="header4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<Relationship Id="rId1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7E0B-B3B0-4AA5-AC37-39D102D7F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AlterOffice/2026.2.0.0$Linux_X86_64 LibreOffice_project/bc4ef1adf80b36c7a6365f8ed6cbf29021361edd</Application>
  <AppVersion>15.0000</AppVersion>
  <Pages>37</Pages>
  <Words>5121</Words>
  <Characters>36151</Characters>
  <CharactersWithSpaces>40332</CharactersWithSpaces>
  <Paragraphs>959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2026-10-15T04:08:00Z</dcterms:created>
  <dc:creator>Муратова Светлана Витальевна</dc:creator>
  <dc:description/>
  <dc:language>ru-RU</dc:language>
  <cp:lastModifiedBy>surgutskiivo@corp.gidroogk.com</cp:lastModifiedBy>
  <cp:lastPrinted>2023-03-17T09:24:00Z</cp:lastPrinted>
  <dcterms:modified xsi:type="dcterms:W3CDTF">2026-10-15T23:43:33Z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