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240" w:after="60"/>
        <w:ind w:hanging="0" w:left="0"/>
        <w:jc w:val="center"/>
        <w:outlineLvl w:val="2"/>
        <w:rPr>
          <w:rFonts w:ascii="Arial" w:hAnsi="Arial" w:eastAsia="Times New Roman" w:cs="Arial"/>
          <w:bCs/>
          <w:sz w:val="26"/>
          <w:szCs w:val="26"/>
          <w:lang w:eastAsia="ru-RU"/>
        </w:rPr>
      </w:pPr>
      <w:r>
        <w:rPr>
          <w:rFonts w:eastAsia="Times New Roman" w:cs="Arial" w:ascii="Arial" w:hAnsi="Arial"/>
          <w:bCs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6"/>
        </w:rPr>
      </w:pPr>
      <w:r>
        <w:rPr>
          <w:rFonts w:cs="Times New Roman" w:ascii="Times New Roman" w:hAnsi="Times New Roman"/>
          <w:b/>
          <w:sz w:val="24"/>
          <w:szCs w:val="26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Задание</w:t>
      </w:r>
      <w:r>
        <w:rPr>
          <w:rFonts w:cs="Times New Roman" w:ascii="Times New Roman" w:hAnsi="Times New Roman"/>
          <w:b/>
          <w:sz w:val="26"/>
          <w:szCs w:val="26"/>
        </w:rPr>
        <w:t xml:space="preserve"> на </w:t>
      </w:r>
      <w:r>
        <w:rPr>
          <w:rFonts w:cs="Times New Roman" w:ascii="Times New Roman" w:hAnsi="Times New Roman"/>
          <w:b/>
          <w:sz w:val="26"/>
          <w:szCs w:val="26"/>
        </w:rPr>
        <w:t>оказание услуг</w:t>
      </w:r>
    </w:p>
    <w:p>
      <w:pPr>
        <w:pStyle w:val="Normal"/>
        <w:shd w:val="clear" w:fill="FFFFFF"/>
        <w:tabs>
          <w:tab w:val="clear" w:pos="708"/>
          <w:tab w:val="left" w:pos="284" w:leader="none"/>
        </w:tabs>
        <w:spacing w:lineRule="auto" w:line="240" w:before="0"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shd w:val="clear" w:fill="FFFFFF"/>
        <w:tabs>
          <w:tab w:val="clear" w:pos="708"/>
          <w:tab w:val="left" w:pos="284" w:leader="none"/>
        </w:tabs>
        <w:spacing w:lineRule="auto" w:line="240" w:before="0" w:after="0"/>
        <w:jc w:val="center"/>
        <w:rPr>
          <w:highlight w:val="none"/>
          <w:shd w:fill="FFFFFF" w:val="clear"/>
        </w:rPr>
      </w:pP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</w:rPr>
        <w:t>«ОКПД2 42.22.22.140. Выполнение работ по демонтажу ВЛ 35 кВ службы линий структурного подразделения "Центральные электрические сети", филиала "Хабаровские электрические сети"»</w:t>
      </w:r>
    </w:p>
    <w:p>
      <w:pPr>
        <w:pStyle w:val="Normal"/>
        <w:shd w:val="clear" w:fill="FFFFFF"/>
        <w:tabs>
          <w:tab w:val="clear" w:pos="708"/>
          <w:tab w:val="left" w:pos="284" w:leader="none"/>
        </w:tabs>
        <w:spacing w:lineRule="auto" w:line="240" w:before="0" w:after="0"/>
        <w:jc w:val="center"/>
        <w:rPr>
          <w:highlight w:val="none"/>
          <w:shd w:fill="FFFFFF" w:val="clear"/>
        </w:rPr>
      </w:pPr>
      <w:r>
        <w:rPr>
          <w:shd w:fill="FFFFFF" w:val="clear"/>
        </w:rPr>
      </w:r>
    </w:p>
    <w:p>
      <w:pPr>
        <w:pStyle w:val="Normal"/>
        <w:rPr>
          <w:rFonts w:ascii="Times New Roman" w:hAnsi="Times New Roman" w:cs="Times New Roman"/>
          <w:b/>
          <w:sz w:val="26"/>
          <w:szCs w:val="26"/>
          <w:highlight w:val="none"/>
          <w:shd w:fill="FFFFFF" w:val="clear"/>
        </w:rPr>
      </w:pPr>
      <w:r>
        <w:rPr>
          <w:rFonts w:cs="Times New Roman" w:ascii="Times New Roman" w:hAnsi="Times New Roman"/>
          <w:b/>
          <w:sz w:val="26"/>
          <w:szCs w:val="26"/>
          <w:shd w:fill="FFFFFF" w:val="clear"/>
        </w:rPr>
      </w:r>
    </w:p>
    <w:p>
      <w:pPr>
        <w:pStyle w:val="Normal"/>
        <w:rPr>
          <w:rFonts w:ascii="Times New Roman" w:hAnsi="Times New Roman" w:cs="Times New Roman"/>
          <w:b/>
          <w:sz w:val="26"/>
          <w:szCs w:val="26"/>
          <w:highlight w:val="none"/>
          <w:shd w:fill="FFFFFF" w:val="clear"/>
        </w:rPr>
      </w:pPr>
      <w:r>
        <w:rPr>
          <w:rFonts w:cs="Times New Roman" w:ascii="Times New Roman" w:hAnsi="Times New Roman"/>
          <w:b/>
          <w:sz w:val="26"/>
          <w:szCs w:val="26"/>
          <w:shd w:fill="FFFFFF" w:val="clear"/>
        </w:rPr>
      </w:r>
      <w:r>
        <w:br w:type="page"/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СОДЕРЖАНИЕ</w:t>
      </w:r>
    </w:p>
    <w:p>
      <w:pPr>
        <w:pStyle w:val="Normal"/>
        <w:jc w:val="center"/>
        <w:rPr/>
      </w:pPr>
      <w:r>
        <w:rPr/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left" w:pos="284" w:leader="none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color w:val="00000A"/>
              <w:sz w:val="22"/>
              <w:szCs w:val="22"/>
            </w:rPr>
          </w:pPr>
          <w:r>
            <w:fldChar w:fldCharType="begin"/>
          </w:r>
          <w:r>
            <w:rPr>
              <w:rStyle w:val="Style9"/>
              <w:b w:val="false"/>
            </w:rPr>
            <w:instrText xml:space="preserve"> TOC \o "1-4" \h</w:instrText>
          </w:r>
          <w:r>
            <w:rPr>
              <w:rStyle w:val="Style9"/>
              <w:b w:val="false"/>
            </w:rPr>
            <w:fldChar w:fldCharType="separate"/>
          </w:r>
          <w:hyperlink w:anchor="_Toc154561866">
            <w:r>
              <w:rPr>
                <w:rStyle w:val="Style9"/>
                <w:b w:val="false"/>
              </w:rPr>
              <w:t>1.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  <w:b w:val="false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00000A"/>
              <w:sz w:val="22"/>
              <w:szCs w:val="22"/>
            </w:rPr>
          </w:pPr>
          <w:hyperlink w:anchor="_Toc154561867">
            <w:r>
              <w:rPr>
                <w:rStyle w:val="Style9"/>
              </w:rPr>
              <w:t>1.1.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</w:rPr>
              <w:t>Наименование закупаемых работ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284" w:leader="none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color w:val="00000A"/>
              <w:sz w:val="22"/>
              <w:szCs w:val="22"/>
            </w:rPr>
          </w:pPr>
          <w:hyperlink w:anchor="_Toc154561868">
            <w:r>
              <w:rPr>
                <w:rStyle w:val="Style9"/>
                <w:b w:val="false"/>
              </w:rPr>
              <w:t>2.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  <w:b w:val="false"/>
              </w:rPr>
              <w:t>Требования к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00000A"/>
              <w:sz w:val="22"/>
              <w:szCs w:val="22"/>
            </w:rPr>
          </w:pPr>
          <w:hyperlink w:anchor="_Toc154561869">
            <w:r>
              <w:rPr>
                <w:rStyle w:val="Style9"/>
              </w:rPr>
              <w:t>2.1.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</w:rPr>
              <w:t>Требования к объемам и срокам выполнения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firstLine="454"/>
            <w:rPr>
              <w:rFonts w:ascii="Calibri" w:hAnsi="Calibri" w:eastAsia="" w:cs="" w:asciiTheme="minorHAnsi" w:cstheme="minorBidi" w:eastAsiaTheme="minorEastAsia" w:hAnsiTheme="minorHAnsi"/>
              <w:color w:val="00000A"/>
              <w:sz w:val="22"/>
              <w:szCs w:val="22"/>
            </w:rPr>
          </w:pPr>
          <w:hyperlink w:anchor="_Toc154561870">
            <w:r>
              <w:rPr>
                <w:rStyle w:val="Style9"/>
              </w:rPr>
              <w:t>2.1.1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_Toc154561870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</w:rPr>
              <w:t>Требования к видам и объемам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auto" w:line="360"/>
            <w:ind w:firstLine="454"/>
            <w:rPr>
              <w:rFonts w:ascii="Calibri" w:hAnsi="Calibri" w:eastAsia="" w:cs="" w:asciiTheme="minorHAnsi" w:cstheme="minorBidi" w:eastAsiaTheme="minorEastAsia" w:hAnsiTheme="minorHAnsi"/>
              <w:color w:val="00000A"/>
            </w:rPr>
          </w:pPr>
          <w:hyperlink w:anchor="_Toc154561871">
            <w:r>
              <w:rPr>
                <w:rStyle w:val="Style9"/>
              </w:rPr>
              <w:t>2.1.2.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color w:val="00000A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_Toc154561871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</w:rPr>
              <w:t>Требования к срокам выполнения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color w:val="00000A"/>
              <w:sz w:val="22"/>
              <w:szCs w:val="22"/>
            </w:rPr>
          </w:pPr>
          <w:hyperlink w:anchor="_Toc154561872">
            <w:r>
              <w:rPr>
                <w:rStyle w:val="Style9"/>
              </w:rPr>
              <w:t>2.2.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</w:rPr>
              <w:t>Требования к качеству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284" w:leader="none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color w:val="00000A"/>
              <w:sz w:val="22"/>
              <w:szCs w:val="22"/>
            </w:rPr>
          </w:pPr>
          <w:hyperlink w:anchor="_Toc154561873">
            <w:r>
              <w:rPr>
                <w:rStyle w:val="Style9"/>
                <w:b w:val="false"/>
              </w:rPr>
              <w:t>3.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  <w:b w:val="false"/>
              </w:rPr>
              <w:t>Требования к документации по ценообразованию на этапе закупки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284" w:leader="none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color w:val="00000A"/>
              <w:sz w:val="22"/>
              <w:szCs w:val="22"/>
            </w:rPr>
          </w:pPr>
          <w:hyperlink w:anchor="_Toc154561874">
            <w:r>
              <w:rPr>
                <w:rStyle w:val="Style9"/>
                <w:b w:val="false"/>
              </w:rPr>
              <w:t>4.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  <w:b w:val="false"/>
              </w:rPr>
              <w:t>Требования к документации по ценообразованию на этапе заключения договора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left" w:pos="284" w:leader="none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color w:val="00000A"/>
              <w:sz w:val="22"/>
              <w:szCs w:val="22"/>
            </w:rPr>
          </w:pPr>
          <w:hyperlink w:anchor="_Toc154561875">
            <w:r>
              <w:rPr>
                <w:rStyle w:val="Style9"/>
                <w:b w:val="false"/>
              </w:rPr>
              <w:t>5.</w:t>
            </w:r>
            <w:r>
              <w:rPr>
                <w:rStyle w:val="Style9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color w:val="00000A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_Toc154561875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9"/>
                <w:b w:val="false"/>
              </w:rPr>
              <w:t>Приложения:</w:t>
              <w:tab/>
              <w:t>8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9"/>
              <w:b w:val="false"/>
            </w:rPr>
            <w:fldChar w:fldCharType="end"/>
          </w:r>
        </w:p>
      </w:sdtContent>
    </w:sdt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9"/>
        </w:numPr>
        <w:jc w:val="center"/>
        <w:rPr/>
      </w:pPr>
      <w:bookmarkStart w:id="0" w:name="_Toc154561866"/>
      <w:bookmarkEnd w:id="0"/>
      <w:r>
        <w:rPr/>
        <w:t>Общие сведения</w:t>
      </w:r>
    </w:p>
    <w:p>
      <w:pPr>
        <w:pStyle w:val="Heading4"/>
        <w:numPr>
          <w:ilvl w:val="1"/>
          <w:numId w:val="9"/>
        </w:numPr>
        <w:ind w:firstLine="27"/>
        <w:rPr/>
      </w:pPr>
      <w:bookmarkStart w:id="1" w:name="_Toc154561867"/>
      <w:bookmarkEnd w:id="1"/>
      <w:r>
        <w:rPr/>
        <w:t>Наименование закупаемых работ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ind w:hanging="0" w:left="426"/>
        <w:jc w:val="both"/>
        <w:rPr>
          <w:rFonts w:ascii="Times New Roman" w:hAnsi="Times New Roman" w:cs="Times New Roman"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  <w:t>«ОКПД2 42.22.22.140. Выполнение работ по демонтажу ВЛ 35 кВ службы линий структурного подразделения "Центральные электрические сети", филиала "Хабаровские электрические сети"»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ind w:firstLine="426"/>
        <w:jc w:val="both"/>
        <w:rPr>
          <w:rFonts w:ascii="Times New Roman" w:hAnsi="Times New Roman" w:cs="Times New Roman"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ind w:firstLine="426"/>
        <w:jc w:val="both"/>
        <w:rPr>
          <w:sz w:val="24"/>
          <w:szCs w:val="24"/>
        </w:rPr>
      </w:pPr>
      <w:bookmarkStart w:id="2" w:name="_Toc54643126"/>
      <w:r>
        <w:rPr>
          <w:rFonts w:eastAsia="Times New Roman" w:cs="Times New Roman" w:ascii="Times New Roman" w:hAnsi="Times New Roman"/>
          <w:b/>
          <w:sz w:val="24"/>
          <w:szCs w:val="24"/>
          <w:lang w:val="x-none" w:eastAsia="ru-RU"/>
        </w:rPr>
        <w:t xml:space="preserve">Таблица 1. Перечень объектов </w:t>
      </w:r>
      <w:bookmarkEnd w:id="2"/>
      <w:r>
        <w:rPr>
          <w:rFonts w:eastAsia="Times New Roman" w:cs="Times New Roman" w:ascii="Times New Roman" w:hAnsi="Times New Roman"/>
          <w:b/>
          <w:sz w:val="24"/>
          <w:szCs w:val="24"/>
          <w:lang w:val="x-none" w:eastAsia="ru-RU"/>
        </w:rPr>
        <w:t>заказчика</w:t>
      </w:r>
    </w:p>
    <w:tbl>
      <w:tblPr>
        <w:tblW w:w="9688" w:type="dxa"/>
        <w:jc w:val="left"/>
        <w:tblInd w:w="445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"/>
        <w:gridCol w:w="2554"/>
        <w:gridCol w:w="2288"/>
        <w:gridCol w:w="3083"/>
        <w:gridCol w:w="1243"/>
      </w:tblGrid>
      <w:tr>
        <w:trPr/>
        <w:tc>
          <w:tcPr>
            <w:tcW w:w="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объекта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Расположение объекта </w:t>
              <w:br/>
              <w:t>(место производства работ)</w:t>
            </w:r>
          </w:p>
        </w:tc>
        <w:tc>
          <w:tcPr>
            <w:tcW w:w="3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>
        <w:trPr/>
        <w:tc>
          <w:tcPr>
            <w:tcW w:w="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876" w:hRule="atLeast"/>
        </w:trPr>
        <w:tc>
          <w:tcPr>
            <w:tcW w:w="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84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</w:r>
          </w:p>
        </w:tc>
        <w:tc>
          <w:tcPr>
            <w:tcW w:w="2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ВЛ-35кВ Т-11 ХЭС-М</w:t>
            </w:r>
          </w:p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4"/>
                <w:szCs w:val="24"/>
              </w:rPr>
            </w:r>
          </w:p>
        </w:tc>
        <w:tc>
          <w:tcPr>
            <w:tcW w:w="2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681000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, Хабаровский край,</w:t>
            </w:r>
          </w:p>
        </w:tc>
        <w:tc>
          <w:tcPr>
            <w:tcW w:w="3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ВЛ-35кВ Т-11 ХЭС-М,</w:t>
            </w:r>
          </w:p>
          <w:p>
            <w:pPr>
              <w:pStyle w:val="Normal"/>
              <w:widowControl w:val="false"/>
              <w:bidi w:val="0"/>
              <w:spacing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Инв. № НВ009965 (снята с бухгалтерского учета 30.09.2010г)</w:t>
            </w:r>
          </w:p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rFonts w:ascii="Times New Roman" w:hAnsi="Times New Roman" w:eastAsia="Times New Roman" w:cs="Times New Roman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СП «Центральные электри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ческие сети» филиала АО «ДРСК» «ХЭС»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  <w:t xml:space="preserve">Работы производятся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в населенной местности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вследствие чего Подрядчику необходимо проводить согласованные действия и мероприятия по охране труда согласно требованиям Правил по охране труда при эксплуатации электроустановок по (Приказ Минтруда РФ от 15.12.2020г. № 903н), СНиП 12-01-2004 п.4, СНиП 12-03-2001. ч.1, СНиП 12-04-2002. ч.2, СНиП 3.02.01-87, СНиП 3.05.06-85.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lang w:eastAsia="ru-RU"/>
        </w:rPr>
      </w:r>
    </w:p>
    <w:p>
      <w:pPr>
        <w:pStyle w:val="Heading1"/>
        <w:numPr>
          <w:ilvl w:val="0"/>
          <w:numId w:val="9"/>
        </w:numPr>
        <w:ind w:hanging="114" w:left="540"/>
        <w:jc w:val="center"/>
        <w:rPr/>
      </w:pPr>
      <w:bookmarkStart w:id="3" w:name="_Toc154561868"/>
      <w:bookmarkEnd w:id="3"/>
      <w:r>
        <w:rPr/>
        <w:t>Требования к продукции</w:t>
      </w:r>
    </w:p>
    <w:p>
      <w:pPr>
        <w:pStyle w:val="Heading4"/>
        <w:numPr>
          <w:ilvl w:val="1"/>
          <w:numId w:val="7"/>
        </w:numPr>
        <w:ind w:hanging="992" w:left="1418"/>
        <w:rPr/>
      </w:pPr>
      <w:bookmarkStart w:id="4" w:name="_Toc154561869"/>
      <w:bookmarkEnd w:id="4"/>
      <w:r>
        <w:rPr/>
        <w:t>Требования к объемам и срокам выполнения работ</w:t>
      </w:r>
    </w:p>
    <w:p>
      <w:pPr>
        <w:pStyle w:val="Heading4"/>
        <w:numPr>
          <w:ilvl w:val="2"/>
          <w:numId w:val="8"/>
        </w:numPr>
        <w:ind w:hanging="436" w:left="851"/>
        <w:rPr/>
      </w:pPr>
      <w:bookmarkStart w:id="5" w:name="_Toc154561870"/>
      <w:bookmarkEnd w:id="5"/>
      <w:r>
        <w:rPr/>
        <w:t>Требования к видам и объемам работ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Таблица 2. Перечень и объем выполняемых работ</w:t>
      </w:r>
    </w:p>
    <w:tbl>
      <w:tblPr>
        <w:tblW w:w="10206" w:type="dxa"/>
        <w:jc w:val="left"/>
        <w:tblInd w:w="48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5073"/>
        <w:gridCol w:w="2158"/>
        <w:gridCol w:w="2406"/>
      </w:tblGrid>
      <w:tr>
        <w:trPr/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работ / этапа работ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1281" w:hRule="atLeast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5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ВЛ-35кВ Т-11 ХЭС-М</w:t>
            </w:r>
          </w:p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eastAsia="Times New Roman" w:cs="Times New Roman"/>
                <w:strike w:val="false"/>
                <w:dstrike w:val="false"/>
                <w:outline w:val="false"/>
                <w:shadow w:val="false"/>
                <w:u w:val="none"/>
                <w:em w:val="none"/>
                <w:lang w:eastAsia="ru-RU"/>
              </w:rPr>
            </w:pPr>
            <w:r>
              <w:rPr>
                <w:rFonts w:eastAsia="Times New Roman" w:cs="Times New Roman"/>
                <w:strike w:val="false"/>
                <w:dstrike w:val="false"/>
                <w:outline w:val="false"/>
                <w:shadow w:val="false"/>
                <w:u w:val="none"/>
                <w:em w:val="none"/>
                <w:lang w:eastAsia="ru-RU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демонтаж металлоконструкций опор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демонтаж провода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84" w:leader="none"/>
              </w:tabs>
              <w:spacing w:lineRule="auto" w:line="240" w:before="0" w:after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демонтаж грозотроса</w:t>
            </w:r>
          </w:p>
        </w:tc>
        <w:tc>
          <w:tcPr>
            <w:tcW w:w="45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lang w:eastAsia="ru-RU"/>
              </w:rPr>
              <w:t>В соответствии с ведомостью дефектов и объемов работ (Приложения №1 к настоящим Техническим требованиям)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Heading3"/>
        <w:numPr>
          <w:ilvl w:val="2"/>
          <w:numId w:val="9"/>
        </w:numPr>
        <w:rPr>
          <w:lang w:val="x-none"/>
        </w:rPr>
      </w:pPr>
      <w:bookmarkStart w:id="6" w:name="_Toc51339696"/>
      <w:bookmarkStart w:id="7" w:name="_Toc154561871"/>
      <w:r>
        <w:rPr/>
        <w:t xml:space="preserve">Требования </w:t>
      </w:r>
      <w:bookmarkEnd w:id="6"/>
      <w:bookmarkEnd w:id="7"/>
      <w:r>
        <w:rPr/>
        <w:t>к срокам выполнения работ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Таблица 3. Требования по срокам выполнения работ</w:t>
      </w:r>
    </w:p>
    <w:tbl>
      <w:tblPr>
        <w:tblW w:w="10201" w:type="dxa"/>
        <w:jc w:val="left"/>
        <w:tblInd w:w="19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988"/>
        <w:gridCol w:w="2314"/>
        <w:gridCol w:w="2261"/>
      </w:tblGrid>
      <w:tr>
        <w:trPr/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работ/ этапа работ</w:t>
            </w:r>
          </w:p>
        </w:tc>
        <w:tc>
          <w:tcPr>
            <w:tcW w:w="2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выполнения работ/ этапа работ</w:t>
            </w:r>
          </w:p>
        </w:tc>
        <w:tc>
          <w:tcPr>
            <w:tcW w:w="2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</w:tr>
      <w:tr>
        <w:trPr>
          <w:trHeight w:val="360" w:hRule="atLeast"/>
        </w:trPr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34" w:leader="none"/>
              </w:tabs>
              <w:suppressAutoHyphens w:val="tru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  <w:lang w:eastAsia="ru-RU"/>
              </w:rPr>
            </w:r>
          </w:p>
        </w:tc>
        <w:tc>
          <w:tcPr>
            <w:tcW w:w="4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ВЛ-35кВ Т-11 ХЭС-М</w:t>
            </w:r>
          </w:p>
        </w:tc>
        <w:tc>
          <w:tcPr>
            <w:tcW w:w="2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  <w:tc>
          <w:tcPr>
            <w:tcW w:w="2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31 декабря 2026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6"/>
          <w:szCs w:val="26"/>
          <w:lang w:val="en-US"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val="en-US" w:eastAsia="ru-RU"/>
        </w:rPr>
      </w:r>
    </w:p>
    <w:p>
      <w:pPr>
        <w:pStyle w:val="Heading4"/>
        <w:numPr>
          <w:ilvl w:val="1"/>
          <w:numId w:val="9"/>
        </w:numPr>
        <w:rPr/>
      </w:pPr>
      <w:bookmarkStart w:id="8" w:name="_Toc154561872"/>
      <w:bookmarkEnd w:id="8"/>
      <w:r>
        <w:rPr/>
        <w:t>Требования к качеству работ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Таблица 4. Требования к качеству работ</w:t>
      </w:r>
    </w:p>
    <w:tbl>
      <w:tblPr>
        <w:tblW w:w="10206" w:type="dxa"/>
        <w:jc w:val="left"/>
        <w:tblInd w:w="48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888"/>
        <w:gridCol w:w="3354"/>
        <w:gridCol w:w="3003"/>
      </w:tblGrid>
      <w:tr>
        <w:trPr/>
        <w:tc>
          <w:tcPr>
            <w:tcW w:w="9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33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6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выполнению работ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lineRule="auto" w:line="240" w:before="60" w:after="0"/>
              <w:ind w:firstLine="142" w:left="-117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Общие требования к выполнению работ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>
          <w:trHeight w:val="420" w:hRule="atLeast"/>
        </w:trPr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1.1.1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Подрядчик создает условия для проживания своего персонала на объекте.</w:t>
            </w:r>
          </w:p>
        </w:tc>
        <w:tc>
          <w:tcPr>
            <w:tcW w:w="30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1.1.2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После выполнения полного объема работ Подрядчик: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производит уборку рабочего места от посторонних предметов, механизмов, приспособлений, отходов;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подписывает акт приемки объекта из ремонта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066" w:hRule="atLeast"/>
        </w:trPr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1.1.3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lineRule="auto" w:line="240" w:before="0" w:after="0"/>
              <w:jc w:val="both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Материалы и оборудование, высвобождаемые после демонтажа, передаются Заказчику с оформлением акта передачи на склад базы соответствующего РЭС Заказчика.</w:t>
            </w:r>
          </w:p>
          <w:p>
            <w:pPr>
              <w:pStyle w:val="Normal"/>
              <w:tabs>
                <w:tab w:val="clear" w:pos="708"/>
                <w:tab w:val="left" w:pos="993" w:leader="none"/>
                <w:tab w:val="left" w:pos="1212" w:leader="none"/>
              </w:tabs>
              <w:spacing w:lineRule="auto" w:line="240"/>
              <w:jc w:val="both"/>
              <w:rPr>
                <w:rFonts w:eastAsia="Calibri"/>
                <w:b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склад Службы Линий: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lineRule="auto" w:line="240"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Демонтируемый материал: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lineRule="auto" w:line="240"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Металлоконструкции — 9,11т;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lineRule="auto" w:line="240"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Провод марки АС-95,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lineRule="auto" w:line="240"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грозотрос марки С-35 — 0,39 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lineRule="auto" w:line="240"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Фундаменты — 46,85 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lineRule="auto" w:line="240" w:before="0" w:after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Порубочные остатки — 0,21 т.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lineRule="auto" w:line="240" w:before="60" w:after="0"/>
              <w:ind w:firstLine="142" w:left="-117"/>
              <w:contextualSpacing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6"/>
                <w:szCs w:val="26"/>
                <w:lang w:eastAsia="ru-RU"/>
              </w:rPr>
              <w:t>Требования к организации работ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-//-</w:t>
            </w:r>
          </w:p>
        </w:tc>
      </w:tr>
      <w:tr>
        <w:trPr>
          <w:trHeight w:val="705" w:hRule="atLeast"/>
        </w:trPr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1.2.1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Работы выполняются по проекту производства работ (ППР) и графику их выполнения, разработанных Подрядчиком и согласованных с Заказчиком. ППР выполняется с требованиями к разработке, указанными в (Приложение №3 к техническому требованию). ППР необходимо предоставить на согласование и утверждение главному инженеру СП в двух экземплярах за 15 (пятнадцать) дней до начала выполнения работ.</w:t>
            </w:r>
          </w:p>
        </w:tc>
        <w:tc>
          <w:tcPr>
            <w:tcW w:w="30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>
          <w:trHeight w:val="706" w:hRule="atLeast"/>
        </w:trPr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1.2.2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Заявка на вывод оборудования в ремонт подается Подрядчиком не позднее 10 дней до начала производства работ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lineRule="auto" w:line="240" w:before="60" w:after="0"/>
              <w:ind w:firstLine="142" w:left="-117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-//-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1.3.1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 xml:space="preserve">Поставка материалов и техники, необходимых для выполнения работ – 100% Подрядчика. Материалы, предоставляемые Подрядчиком должны соответствовать 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>государственным стандартам, техническим условиям и иметь соответствующие сертификаты, технические паспорта или другие документы, удостоверяющие их качество</w:t>
            </w: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. Подготовка и хранение материалов производится вне рабочей зоны. Оборудование и материалы доставляются к месту производства работ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Подрядчиком самостоятельно готовыми к применению.</w:t>
            </w:r>
          </w:p>
        </w:tc>
        <w:tc>
          <w:tcPr>
            <w:tcW w:w="30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1.3.2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Цветовые, текстурные решения материалов, эскизы предупреждающих плакатов и др. перед применением согласуются с Заказчиком.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contextualSpacing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Требования к контролю качества работ и материалов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-//-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1.4.1.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Обеспечение Подрядчиком внутреннего строительного контроля в соответствие с требованиями Постановления Правительства РФ от 21.06.2010 №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строительства».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330" w:left="360"/>
              <w:contextualSpacing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Требования к безопасности работ и охране труда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-//-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330" w:left="360"/>
              <w:contextualSpacing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ru-RU"/>
              </w:rPr>
              <w:t>1.5.1.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Работы необходимо выполнять в соответствии с действующими государственными нормами, правилами, техническими регламентами: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- Правила технической эксплуатации электрических станций и сетей РФ;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- СНиП 12-01-2004 «Организация строительства»;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- ГОСТ Р 59053-2020 «Охрана окружающей среды. Охрана и рациональное использование вод. Термины и определения»;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- ГОСТ Р 59061-2020 «Охрана окружающей среды. Загрязнение атмосферного воздуха. Термины и определения»;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- Правила противопожарного режима в РФ, утвержденные Постановлением Правительства РФ от 16.09.2020 №1479 «О противопожарном режиме».</w:t>
            </w:r>
          </w:p>
        </w:tc>
        <w:tc>
          <w:tcPr>
            <w:tcW w:w="30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330" w:left="360"/>
              <w:contextualSpacing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ru-RU"/>
              </w:rPr>
              <w:t>1.5.2.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Обеспечить выполнение требований Правил по охране труда при эксплуатации электроустановок (Приказ от 15 декабря 2020 г. № 930н)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330" w:left="360"/>
              <w:contextualSpacing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ru-RU"/>
              </w:rPr>
              <w:t>1.5.3.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Выполнять следующие виды работ с использованием комплектов для защиты от термических рисков электрической дуги (далее СИЗ):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без снятия напряжения с электроустановки, выполняемых с прикосновением к токоведущим частям, находящимся под напряжением или на расстоянии от этих токоведущих частей, менее указанных в п.3.3 и п.47.15 ПОТ ЭЭУ;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испытаниях оборудования повышенным напряжением;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выполняемых со снятием рабочего напряжения с электроустановки или ее части с прикосновением к токоведущим частям, находящимся под наведенным напряжением более 25 В на рабочем месте или на расстоянии от этих токоведущих частей менее допустимого;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иных работ, разрешенных к выполнению под напряжением на токоведущих частях в электроустановках, в соответствии с утвержденным перечнем работ в филиале АО «ДРСК» с учетом требований ПОТ ЭЭУ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330" w:left="360"/>
              <w:contextualSpacing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ru-RU"/>
              </w:rPr>
              <w:t>1.5.4.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Подрядчик: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обеспечивает участие своего персонала в получении вводного и первичного на рабочем месте инструктажей, проводимых персоналом Заказчика с применением видеофиксации;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обеспечивает участие своего персонала, допускаемого в электроустановки Заказчика в качестве командированного персонала или в качестве персонала строительно-монтажных (ремонтных, наладочных) организаций, в проводимой персоналом Заказчика видеофиксации допусков персонала Подрядчика к работе в электроустановках Заказчика;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обеспечивает участие своего персонала, выполняющего работы на объектах Общества в составе бригад, в проводимых персоналом Заказчика проверках данных бригад с применением видеофиксации;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- совместно с уведомлением о допуске(сопроводительным письмом) обеспечивает предоставление согласий вышеуказанного персонала на обработку персональных данных по форме Приложения 6 к техническим требованиям (Приложение В к Порядку работы с переносными средствами видеофиксации в АО «ДРСК» Прк-СМОЗиОБТ-9.1-01/09-26).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60" w:after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Требования к результатам работ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-//-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lineRule="auto" w:line="240" w:before="60" w:after="0"/>
              <w:ind w:firstLine="142" w:left="-117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Требования к порядку приемки результатов работ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-//-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2.1.1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Ежемесячная приемка объемов выполненных работ производится в срок до 25 числа отчетного месяца в соответствии с требованиями постановления Российского статистического агентства от 11 ноября 1999 г. N 100 «Об утверждении унифицированных форм первичного учета документации по учету работ в капитальном строительстве и ремонтно-строительных работ» (в том числе предоставляются акты освидетельствования скрытых работ).</w:t>
            </w:r>
          </w:p>
        </w:tc>
        <w:tc>
          <w:tcPr>
            <w:tcW w:w="30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2.1.2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Приёмка объекта из ремонта осуществляется в соответствии с «Правилами организации технического обслуживания и ремонта объектов электроэнергетики», утвержденных приказом Минэнерго России от 25.10.2017 № 1013, с оформлением и передачей Заказчику Акта приемки объекта из ремонта, актов освидетельствования скрытых работ и фотоотчета в электронном виде о выполненных работах (в т.ч. скрытых).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2.1.3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Приемка объемов выполненных работ производится при предъявлении подтверждающей справки по выполнению физических объемов (Приложение № 2 к настоящим Техническим требованиям), схемы выполненных работ, согласованных с представителем РЭС, и фотоотчета в эл. виде о выполненных работах (в т. ч. скрытых).</w:t>
            </w:r>
          </w:p>
        </w:tc>
        <w:tc>
          <w:tcPr>
            <w:tcW w:w="30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47" w:hRule="atLeast"/>
        </w:trPr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 w:left="30"/>
              <w:contextualSpacing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6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оформлению документации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-//-</w:t>
            </w:r>
          </w:p>
        </w:tc>
      </w:tr>
      <w:tr>
        <w:trPr>
          <w:trHeight w:val="2976" w:hRule="atLeast"/>
        </w:trPr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ind w:hanging="0"/>
              <w:contextualSpacing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2.2.1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При выполнении работ по расчистке просек «Участник» самостоятельно оформляет и осуществляет сдачу мест расчисток органам лесного хозяйства (лесничествам), и предоставляет документ, подтверждающий отсутствие претензий с их стороны. На основе данного документа «Участник» самостоятельно осуществляет оформление и предоставление документов от глав администраций, на территории которых расположены места расчисток, об отсутствии претензий с их стороны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right="397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2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ответственности и гарантиям подрядчика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sz w:val="26"/>
                <w:szCs w:val="26"/>
                <w:lang w:eastAsia="ru-RU"/>
              </w:rPr>
              <w:t>-//-</w:t>
            </w:r>
          </w:p>
        </w:tc>
      </w:tr>
      <w:tr>
        <w:trPr>
          <w:trHeight w:val="556" w:hRule="atLeast"/>
        </w:trPr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contextualSpacing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3.1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</w:r>
          </w:p>
        </w:tc>
        <w:tc>
          <w:tcPr>
            <w:tcW w:w="62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  <w:t>Гарантия исполнителя оговаривается в Договоре подряда на работы. Подрядчик (исполнитель) гарантирует своевременное и качественное выполнение работ, а также устранение дефектов, возникших по его вине в течение не менее 24-х месяцев с момента приёмки выполненных работ. Гарантия на материалы, поставляемые Подрядчиком не менее 24-х месяцев</w:t>
            </w:r>
          </w:p>
        </w:tc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/>
                <w:sz w:val="24"/>
                <w:szCs w:val="24"/>
                <w:lang w:eastAsia="ru-RU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6"/>
        </w:numPr>
        <w:rPr>
          <w:sz w:val="26"/>
          <w:szCs w:val="26"/>
        </w:rPr>
      </w:pPr>
      <w:bookmarkStart w:id="9" w:name="_Toc154561873"/>
      <w:bookmarkEnd w:id="9"/>
      <w:r>
        <w:rPr>
          <w:sz w:val="26"/>
          <w:szCs w:val="26"/>
        </w:rPr>
        <w:t>Требования к документации по ценообразованию на этапе закупки</w:t>
      </w:r>
    </w:p>
    <w:p>
      <w:pPr>
        <w:pStyle w:val="Normal"/>
        <w:keepNext w:val="true"/>
        <w:numPr>
          <w:ilvl w:val="1"/>
          <w:numId w:val="6"/>
        </w:numPr>
        <w:spacing w:lineRule="auto" w:line="240" w:before="120" w:after="60"/>
        <w:ind w:hanging="0" w:left="0"/>
        <w:jc w:val="both"/>
        <w:outlineLvl w:val="3"/>
        <w:rPr/>
      </w:pPr>
      <w:r>
        <w:rPr>
          <w:rFonts w:eastAsia="Times New Roman" w:cs="Times New Roman" w:ascii="Times New Roman;serif" w:hAnsi="Times New Roman;serif"/>
          <w:iCs/>
          <w:sz w:val="24"/>
          <w:szCs w:val="24"/>
        </w:rPr>
        <w:t xml:space="preserve">В обоснование стоимости своей заявки Участник предоставляет Коммерческое предложение по форме, приведенной в Документации о закупке (с указанием понижающего коэффициента), с учетом </w:t>
      </w:r>
      <w:r>
        <w:rPr>
          <w:rFonts w:eastAsia="Times New Roman" w:cs="Times New Roman" w:ascii="Times New Roman;serif" w:hAnsi="Times New Roman;serif"/>
          <w:bCs/>
          <w:iCs/>
          <w:sz w:val="24"/>
          <w:szCs w:val="24"/>
        </w:rPr>
        <w:t>требований к ценообразованию при формировании Коммерческого предложения в составе заявки участника</w:t>
      </w:r>
      <w:r>
        <w:rPr>
          <w:rFonts w:eastAsia="Times New Roman" w:cs="Times New Roman" w:ascii="Times New Roman;serif" w:hAnsi="Times New Roman;serif"/>
          <w:iCs/>
          <w:sz w:val="24"/>
          <w:szCs w:val="24"/>
        </w:rPr>
        <w:t xml:space="preserve"> (приложение 5 к Техническим требованиям)</w:t>
      </w:r>
    </w:p>
    <w:p>
      <w:pPr>
        <w:pStyle w:val="Normal"/>
        <w:keepNext w:val="true"/>
        <w:numPr>
          <w:ilvl w:val="1"/>
          <w:numId w:val="6"/>
        </w:numPr>
        <w:spacing w:lineRule="auto" w:line="240" w:before="120" w:after="60"/>
        <w:ind w:hanging="0" w:left="0"/>
        <w:jc w:val="both"/>
        <w:outlineLvl w:val="3"/>
        <w:rPr>
          <w:rFonts w:ascii="Times New Roman;serif" w:hAnsi="Times New Roman;serif" w:eastAsia="Times New Roman" w:cs="Times New Roman"/>
          <w:iCs/>
          <w:sz w:val="24"/>
          <w:szCs w:val="24"/>
        </w:rPr>
      </w:pPr>
      <w:r>
        <w:rPr>
          <w:rFonts w:eastAsia="Times New Roman" w:cs="Times New Roman" w:ascii="Times New Roman;serif" w:hAnsi="Times New Roman;serif"/>
          <w:iCs/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jc w:val="both"/>
        <w:outlineLvl w:val="3"/>
        <w:rPr>
          <w:rFonts w:ascii="Times New Roman" w:hAnsi="Times New Roman" w:eastAsia="Times New Roman" w:cs="Times New Roman"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</w:rPr>
      </w:r>
    </w:p>
    <w:p>
      <w:pPr>
        <w:pStyle w:val="Heading1"/>
        <w:numPr>
          <w:ilvl w:val="0"/>
          <w:numId w:val="6"/>
        </w:numPr>
        <w:rPr>
          <w:sz w:val="26"/>
          <w:szCs w:val="26"/>
        </w:rPr>
      </w:pPr>
      <w:bookmarkStart w:id="10" w:name="_Toc54646412"/>
      <w:bookmarkStart w:id="11" w:name="_Toc154561874"/>
      <w:r>
        <w:rPr>
          <w:sz w:val="26"/>
          <w:szCs w:val="26"/>
        </w:rPr>
        <w:t xml:space="preserve">Требования к документации по ценообразованию на этапе заключения </w:t>
      </w:r>
      <w:bookmarkEnd w:id="10"/>
      <w:bookmarkEnd w:id="11"/>
      <w:r>
        <w:rPr>
          <w:sz w:val="26"/>
          <w:szCs w:val="26"/>
        </w:rPr>
        <w:t>договора</w:t>
      </w:r>
    </w:p>
    <w:p>
      <w:pPr>
        <w:pStyle w:val="ListParagraph"/>
        <w:widowControl/>
        <w:numPr>
          <w:ilvl w:val="1"/>
          <w:numId w:val="6"/>
        </w:numPr>
        <w:bidi w:val="0"/>
        <w:spacing w:lineRule="auto" w:line="240" w:before="0" w:after="60"/>
        <w:ind w:hanging="0" w:left="0" w:right="0"/>
        <w:contextualSpacing/>
        <w:jc w:val="both"/>
        <w:outlineLvl w:val="0"/>
        <w:rPr>
          <w:rFonts w:ascii="Times New Roman;serif" w:hAnsi="Times New Roman;serif" w:eastAsia="Times New Roman" w:cs="Times New Roman"/>
          <w:iCs/>
          <w:color w:val="00000A"/>
          <w:sz w:val="24"/>
          <w:szCs w:val="24"/>
        </w:rPr>
      </w:pPr>
      <w:r>
        <w:rPr>
          <w:rFonts w:eastAsia="Times New Roman" w:cs="Times New Roman" w:ascii="Times New Roman;serif" w:hAnsi="Times New Roman;serif"/>
          <w:bCs/>
          <w:iCs/>
          <w:color w:val="00000A"/>
          <w:sz w:val="24"/>
          <w:szCs w:val="24"/>
          <w:lang w:eastAsia="x-none"/>
        </w:rPr>
        <w:t>Сметная документация разработана Заказчиком в рамках определения начальной (максимальной) цены договора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</w:t>
      </w:r>
    </w:p>
    <w:p>
      <w:pPr>
        <w:pStyle w:val="ListParagraph"/>
        <w:widowControl/>
        <w:numPr>
          <w:ilvl w:val="1"/>
          <w:numId w:val="6"/>
        </w:numPr>
        <w:bidi w:val="0"/>
        <w:spacing w:lineRule="auto" w:line="240" w:before="0" w:after="60"/>
        <w:ind w:firstLine="57" w:left="0" w:right="0"/>
        <w:contextualSpacing/>
        <w:jc w:val="both"/>
        <w:outlineLvl w:val="0"/>
        <w:rPr/>
      </w:pPr>
      <w:r>
        <w:rPr>
          <w:rFonts w:eastAsia="Times New Roman" w:cs="Times New Roman" w:ascii="Times New Roman;serif" w:hAnsi="Times New Roman;serif"/>
          <w:bCs/>
          <w:iCs/>
          <w:color w:val="000000"/>
          <w:sz w:val="24"/>
          <w:szCs w:val="24"/>
          <w:lang w:eastAsia="x-none"/>
        </w:rPr>
        <w:t>Внесение изменений в сметную документацию Заказчика, кроме применения понижающего коэффициента в соответствии с п.4.1, не допускается.</w:t>
      </w:r>
    </w:p>
    <w:p>
      <w:pPr>
        <w:pStyle w:val="Normal"/>
        <w:spacing w:lineRule="auto" w:line="240" w:before="60" w:after="6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60" w:after="6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Heading1"/>
        <w:numPr>
          <w:ilvl w:val="0"/>
          <w:numId w:val="6"/>
        </w:numPr>
        <w:jc w:val="center"/>
        <w:rPr>
          <w:sz w:val="26"/>
          <w:szCs w:val="26"/>
        </w:rPr>
      </w:pPr>
      <w:bookmarkStart w:id="12" w:name="_Toc154561875"/>
      <w:bookmarkEnd w:id="12"/>
      <w:r>
        <w:rPr>
          <w:sz w:val="26"/>
          <w:szCs w:val="26"/>
        </w:rPr>
        <w:t>Приложения:</w:t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40" w:before="0" w:after="0"/>
        <w:ind w:hanging="0" w:left="360"/>
        <w:contextualSpacing/>
        <w:rPr>
          <w:rFonts w:ascii="Times New Roman" w:hAnsi="Times New Roman" w:eastAsia="Times New Roman" w:cs="Times New Roman"/>
          <w:b/>
          <w:bCs/>
          <w:sz w:val="28"/>
          <w:szCs w:val="28"/>
          <w:lang w:val="x-none"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x-none" w:eastAsia="ar-SA"/>
        </w:rPr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76" w:before="0" w:after="0"/>
        <w:ind w:hanging="0" w:left="142"/>
        <w:contextualSpacing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Приложение № 1: Ведомость дефектов и объемов работ;</w:t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76" w:before="0" w:after="0"/>
        <w:ind w:hanging="0" w:left="142"/>
        <w:contextualSpacing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Приложение № 2: Справка по объемам выполненных работ;</w:t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76" w:before="0" w:after="0"/>
        <w:ind w:hanging="0" w:left="142"/>
        <w:contextualSpacing/>
        <w:jc w:val="both"/>
        <w:rPr>
          <w:rFonts w:ascii="Times New Roman" w:hAnsi="Times New Roman" w:eastAsia="Calibri" w:cs="Times New Roman"/>
          <w:b w:val="false"/>
          <w:bCs w:val="false"/>
          <w:i/>
          <w:i/>
          <w:color w:val="00000A"/>
          <w:sz w:val="24"/>
          <w:szCs w:val="24"/>
          <w:lang w:val="ru-RU" w:eastAsia="en-US" w:bidi="ar-SA"/>
        </w:rPr>
      </w:pPr>
      <w:r>
        <w:rPr>
          <w:rFonts w:cs="Times New Roman" w:ascii="Times New Roman" w:hAnsi="Times New Roman"/>
          <w:i/>
          <w:sz w:val="24"/>
          <w:szCs w:val="24"/>
        </w:rPr>
        <w:t>Приложение № 3: Требования к содержанию проекта производства работ подрядных организаций;</w:t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76" w:before="0" w:after="0"/>
        <w:ind w:hanging="0" w:left="142"/>
        <w:contextualSpacing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Приложение № 4: Сметная документация;</w:t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76" w:before="0" w:after="0"/>
        <w:ind w:hanging="0" w:left="142"/>
        <w:contextualSpacing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Приложение № 5: Требования к ценообразованию при формировании Коммерческого предложения в составе заявки Участника;</w:t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76" w:before="0" w:after="0"/>
        <w:ind w:hanging="0" w:left="142"/>
        <w:contextualSpacing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Приложение № 6: Согласие на обработку персональных данных.</w:t>
      </w:r>
    </w:p>
    <w:p>
      <w:pPr>
        <w:pStyle w:val="ListParagraph"/>
        <w:widowControl w:val="false"/>
        <w:tabs>
          <w:tab w:val="clear" w:pos="708"/>
          <w:tab w:val="left" w:pos="284" w:leader="none"/>
        </w:tabs>
        <w:suppressAutoHyphens w:val="true"/>
        <w:spacing w:lineRule="auto" w:line="276" w:before="0" w:after="0"/>
        <w:ind w:hanging="0" w:left="1222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footerReference w:type="default" r:id="rId2"/>
      <w:type w:val="nextPage"/>
      <w:pgSz w:w="11906" w:h="16838"/>
      <w:pgMar w:left="1134" w:right="851" w:gutter="0" w:header="0" w:top="567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Sylfaen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1"/>
      <w:pStyle w:val="Heading4"/>
      <w:numFmt w:val="decimal"/>
      <w:lvlText w:val="%1.%2."/>
      <w:lvlJc w:val="left"/>
      <w:pPr>
        <w:tabs>
          <w:tab w:val="num" w:pos="0"/>
        </w:tabs>
        <w:ind w:left="682" w:hanging="540"/>
      </w:pPr>
      <w:rPr/>
    </w:lvl>
    <w:lvl w:ilvl="2">
      <w:start w:val="2"/>
      <w:pStyle w:val="Heading3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i/>
        <w:iCs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67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1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5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39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943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47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51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527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76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08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12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16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0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24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028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04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6"/>
        <w:b/>
        <w:szCs w:val="24"/>
        <w:bCs w:val="false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6"/>
        <w:b/>
        <w:szCs w:val="24"/>
        <w:bCs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6"/>
        <w:b/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/>
        <w:rFonts w:ascii="Times New Roman;serif" w:hAnsi="Times New Roman;serif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7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1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0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3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6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56" w:hanging="1800"/>
      </w:pPr>
      <w:rPr/>
    </w:lvl>
  </w:abstractNum>
  <w:abstractNum w:abstractNumId="8">
    <w:lvl w:ilvl="0">
      <w:start w:val="2"/>
      <w:numFmt w:val="decimal"/>
      <w:lvlText w:val="%1"/>
      <w:lvlJc w:val="left"/>
      <w:pPr>
        <w:tabs>
          <w:tab w:val="num" w:pos="0"/>
        </w:tabs>
        <w:ind w:left="480" w:hanging="48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480" w:hanging="48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682" w:hanging="540"/>
      </w:pPr>
      <w:rPr/>
    </w:lvl>
    <w:lvl w:ilvl="2">
      <w:start w:val="2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 w:hint="default"/>
        <w:sz w:val="24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3">
    <w:name w:val="Heading 3"/>
    <w:basedOn w:val="Normal"/>
    <w:autoRedefine/>
    <w:qFormat/>
    <w:pPr>
      <w:keepNext w:val="true"/>
      <w:numPr>
        <w:ilvl w:val="2"/>
        <w:numId w:val="1"/>
      </w:numPr>
      <w:spacing w:lineRule="auto" w:line="240" w:before="120" w:after="60"/>
      <w:outlineLvl w:val="2"/>
    </w:pPr>
    <w:rPr>
      <w:rFonts w:ascii="Times New Roman" w:hAnsi="Times New Roman" w:cs="Times New Roman"/>
      <w:b/>
      <w:sz w:val="24"/>
      <w:szCs w:val="24"/>
      <w:lang w:eastAsia="x-none"/>
    </w:rPr>
  </w:style>
  <w:style w:type="paragraph" w:styleId="Heading4">
    <w:name w:val="Heading 4"/>
    <w:basedOn w:val="Heading3"/>
    <w:qFormat/>
    <w:pPr>
      <w:numPr>
        <w:ilvl w:val="1"/>
        <w:numId w:val="1"/>
      </w:numPr>
      <w:outlineLvl w:val="1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Нижний колонтитул Знак"/>
    <w:basedOn w:val="DefaultParagraphFont"/>
    <w:qFormat/>
    <w:rPr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Style7" w:customStyle="1">
    <w:name w:val="Верхний колонтитул Знак"/>
    <w:basedOn w:val="DefaultParagraphFont"/>
    <w:qFormat/>
    <w:rPr/>
  </w:style>
  <w:style w:type="character" w:styleId="2" w:customStyle="1">
    <w:name w:val="Основной текст 2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8" w:customStyle="1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9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2">
    <w:name w:val="Колонтитул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hanging="0" w:left="720"/>
      <w:contextualSpacing/>
    </w:pPr>
    <w:rPr/>
  </w:style>
  <w:style w:type="paragraph" w:styleId="TOC1">
    <w:name w:val="TOC 1"/>
    <w:basedOn w:val="Normal"/>
    <w:autoRedefine/>
    <w:uiPriority w:val="39"/>
    <w:pPr>
      <w:tabs>
        <w:tab w:val="clear" w:pos="708"/>
        <w:tab w:val="left" w:pos="560" w:leader="none"/>
        <w:tab w:val="right" w:pos="9911" w:leader="dot"/>
      </w:tabs>
      <w:spacing w:lineRule="auto" w:line="360" w:before="0" w:after="0"/>
    </w:pPr>
    <w:rPr>
      <w:rFonts w:ascii="Times New Roman" w:hAnsi="Times New Roman" w:eastAsia="Times New Roman" w:cs="Calibri"/>
      <w:b/>
      <w:bCs/>
      <w:iCs/>
      <w:sz w:val="24"/>
      <w:szCs w:val="24"/>
      <w:lang w:eastAsia="ru-RU"/>
    </w:rPr>
  </w:style>
  <w:style w:type="paragraph" w:styleId="TOC3">
    <w:name w:val="TOC 3"/>
    <w:basedOn w:val="Normal"/>
    <w:autoRedefine/>
    <w:uiPriority w:val="39"/>
    <w:pPr>
      <w:tabs>
        <w:tab w:val="clear" w:pos="708"/>
        <w:tab w:val="left" w:pos="284" w:leader="none"/>
        <w:tab w:val="left" w:pos="1134" w:leader="none"/>
        <w:tab w:val="right" w:pos="9911" w:leader="dot"/>
      </w:tabs>
      <w:spacing w:lineRule="auto" w:line="240" w:before="0" w:after="0"/>
      <w:ind w:firstLine="426"/>
    </w:pPr>
    <w:rPr>
      <w:rFonts w:ascii="Times New Roman" w:hAnsi="Times New Roman" w:eastAsia="Times New Roman" w:cs="Calibri"/>
      <w:sz w:val="24"/>
      <w:szCs w:val="24"/>
      <w:lang w:val="x-none" w:eastAsia="ru-RU"/>
    </w:rPr>
  </w:style>
  <w:style w:type="paragraph" w:styleId="TOC4">
    <w:name w:val="TOC 4"/>
    <w:basedOn w:val="Normal"/>
    <w:autoRedefine/>
    <w:uiPriority w:val="39"/>
    <w:pPr>
      <w:tabs>
        <w:tab w:val="clear" w:pos="708"/>
        <w:tab w:val="left" w:pos="851" w:leader="none"/>
        <w:tab w:val="left" w:pos="1120" w:leader="none"/>
        <w:tab w:val="left" w:pos="1400" w:leader="none"/>
        <w:tab w:val="right" w:pos="9911" w:leader="dot"/>
      </w:tabs>
      <w:spacing w:lineRule="auto" w:line="360" w:before="0" w:after="0"/>
      <w:ind w:firstLine="284"/>
    </w:pPr>
    <w:rPr>
      <w:rFonts w:ascii="Times New Roman" w:hAnsi="Times New Roman" w:eastAsia="Times New Roman" w:cs="Calibri"/>
      <w:sz w:val="24"/>
      <w:szCs w:val="24"/>
      <w:lang w:eastAsia="ru-RU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odyText2">
    <w:name w:val="Body Text 2"/>
    <w:basedOn w:val="Normal"/>
    <w:qFormat/>
    <w:pPr>
      <w:shd w:val="clear" w:color="auto" w:fill="FFFFFF"/>
      <w:tabs>
        <w:tab w:val="clear" w:pos="708"/>
        <w:tab w:val="left" w:pos="-3240" w:leader="none"/>
      </w:tabs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3" w:customStyle="1">
    <w:name w:val="Знак"/>
    <w:basedOn w:val="Normal"/>
    <w:qFormat/>
    <w:pPr>
      <w:tabs>
        <w:tab w:val="clear" w:pos="708"/>
        <w:tab w:val="left" w:pos="360" w:leader="none"/>
      </w:tabs>
      <w:spacing w:lineRule="exact" w:line="240"/>
    </w:pPr>
    <w:rPr>
      <w:rFonts w:ascii="Verdana" w:hAnsi="Verdana" w:eastAsia="Times New Roman" w:cs="Verdana"/>
      <w:color w:val="00000A"/>
      <w:sz w:val="20"/>
      <w:szCs w:val="20"/>
      <w:lang w:val="en-U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Содержимое таблицы"/>
    <w:basedOn w:val="Normal"/>
    <w:qFormat/>
    <w:pPr/>
    <w:rPr/>
  </w:style>
  <w:style w:type="paragraph" w:styleId="TOC2">
    <w:name w:val="TOC 2"/>
    <w:basedOn w:val="Style11"/>
    <w:pPr/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B00AB-1851-448A-948D-A2F838FE1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Application>AlterOffice/2026.2.0.0$Linux_X86_64 LibreOffice_project/bc4ef1adf80b36c7a6365f8ed6cbf29021361edd</Application>
  <AppVersion>15.0000</AppVersion>
  <Pages>8</Pages>
  <Words>1626</Words>
  <Characters>11244</Characters>
  <CharactersWithSpaces>12676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2023-12-26T23:42:00Z</dcterms:created>
  <dc:creator>Доронина Наталья Дмитриевна</dc:creator>
  <dc:description/>
  <dc:language>ru-RU</dc:language>
  <cp:lastModifiedBy>larionova_da</cp:lastModifiedBy>
  <cp:lastPrinted>2025-08-13T09:01:39Z</cp:lastPrinted>
  <dcterms:modified xsi:type="dcterms:W3CDTF">2026-10-14T15:55:57Z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