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4514"/>
        <w:gridCol w:w="4948"/>
      </w:tblGrid>
      <w:tr>
        <w:trPr/>
        <w:tc>
          <w:tcPr>
            <w:tcW w:w="4514" w:type="dxa"/>
            <w:tcBorders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ind w:hanging="0" w:left="0" w:right="-20"/>
              <w:outlineLvl w:val="0"/>
              <w:rPr>
                <w:bCs/>
                <w:i/>
                <w:i/>
                <w:sz w:val="16"/>
              </w:rPr>
            </w:pPr>
            <w:r>
              <w:rPr>
                <w:bCs/>
                <w:i/>
                <w:sz w:val="16"/>
              </w:rPr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48" w:type="dxa"/>
            <w:tcBorders/>
          </w:tcPr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sz w:val="20"/>
                <w:szCs w:val="20"/>
              </w:rPr>
              <w:t>Приложение № 1 к техническому заданию</w:t>
            </w:r>
          </w:p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 закупке №______лот___</w:t>
            </w:r>
          </w:p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1-6/9</w:t>
            </w:r>
          </w:p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Приказу «Об учетной политике</w:t>
            </w:r>
          </w:p>
          <w:p>
            <w:pPr>
              <w:pStyle w:val="Normal"/>
              <w:widowControl w:val="false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«ДРСК»</w:t>
            </w:r>
          </w:p>
        </w:tc>
      </w:tr>
    </w:tbl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Организация </w:t>
        <w:tab/>
        <w:t>АО ДРСК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Филиал </w:t>
        <w:tab/>
        <w:tab/>
        <w:t>ХЭС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СП  ЦЭС </w:t>
        <w:tab/>
        <w:tab/>
        <w:t>Служба Линий</w:t>
      </w:r>
    </w:p>
    <w:p>
      <w:pPr>
        <w:pStyle w:val="Normal"/>
        <w:numPr>
          <w:ilvl w:val="0"/>
          <w:numId w:val="0"/>
        </w:numPr>
        <w:ind w:hanging="0" w:left="0"/>
        <w:outlineLvl w:val="0"/>
        <w:rPr>
          <w:bCs/>
          <w:sz w:val="26"/>
          <w:szCs w:val="26"/>
        </w:rPr>
      </w:pPr>
      <w:r>
        <w:rPr>
          <w:sz w:val="26"/>
          <w:szCs w:val="26"/>
        </w:rPr>
        <w:t xml:space="preserve">Объект </w:t>
        <w:tab/>
        <w:tab/>
        <w:t>ВЛ-35 кВ ХЭС-М, Инв №</w:t>
      </w:r>
      <w:r>
        <w:rPr>
          <w:sz w:val="26"/>
          <w:szCs w:val="26"/>
        </w:rPr>
        <w:t>НВ009965, (снята с бухгалтерского учета 30.09.2010г)</w:t>
      </w:r>
      <w:r>
        <w:rPr>
          <w:bCs/>
          <w:sz w:val="26"/>
          <w:szCs w:val="26"/>
        </w:rPr>
        <w:t xml:space="preserve"> </w:t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ДЕФЕКТНАЯ ВЕДОМОСТЬ</w:t>
      </w:r>
    </w:p>
    <w:p>
      <w:pPr>
        <w:pStyle w:val="Normal"/>
        <w:jc w:val="both"/>
        <w:rPr>
          <w:szCs w:val="26"/>
        </w:rPr>
      </w:pPr>
      <w:r>
        <w:rPr>
          <w:szCs w:val="26"/>
        </w:rPr>
        <w:t xml:space="preserve">Комиссия провела обследование  </w:t>
      </w:r>
      <w:r>
        <w:rPr>
          <w:szCs w:val="26"/>
          <w:u w:val="single"/>
        </w:rPr>
        <w:t>ВЛ-35кВ Т-11 ХЭС-М</w:t>
      </w:r>
      <w:r>
        <w:rPr>
          <w:szCs w:val="26"/>
        </w:rPr>
        <w:t>,  вследствие чего приняла решение о необходимости  проведения следующего объема  работ по ремонту подрядным способом: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758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603"/>
        <w:gridCol w:w="3528"/>
        <w:gridCol w:w="16"/>
        <w:gridCol w:w="897"/>
        <w:gridCol w:w="55"/>
        <w:gridCol w:w="1077"/>
        <w:gridCol w:w="3582"/>
      </w:tblGrid>
      <w:tr>
        <w:trPr/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  <w:lang w:eastAsia="en-US"/>
              </w:rPr>
              <w:t>Обнаруженные дефекты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  <w:lang w:eastAsia="en-US"/>
              </w:rPr>
              <w:t>Наименование работ</w:t>
            </w:r>
          </w:p>
        </w:tc>
      </w:tr>
      <w:tr>
        <w:trPr>
          <w:trHeight w:val="496" w:hRule="atLeast"/>
        </w:trPr>
        <w:tc>
          <w:tcPr>
            <w:tcW w:w="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val="en-US"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val="en-US" w:eastAsia="en-US"/>
              </w:rPr>
            </w:r>
          </w:p>
        </w:tc>
        <w:tc>
          <w:tcPr>
            <w:tcW w:w="3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Демонтаж провода марки АС-95</w:t>
            </w:r>
            <w:r>
              <w:rPr>
                <w:rFonts w:eastAsia="Calibri" w:ascii="Liberation Serif" w:hAnsi="Liberation Serif"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Liberation Serif" w:hAnsi="Liberation Serif"/>
                <w:sz w:val="22"/>
                <w:szCs w:val="22"/>
              </w:rPr>
              <w:t>в пролётах опор № 1-10 и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грозотроса марки С-35 в пролётах опор № 6-10, 12-13.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Км линии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0,187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Демонтаж провода марки АС-95</w:t>
            </w:r>
            <w:r>
              <w:rPr>
                <w:rFonts w:eastAsia="Calibri" w:ascii="Liberation Serif" w:hAnsi="Liberation Serif"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Liberation Serif" w:hAnsi="Liberation Serif"/>
                <w:sz w:val="22"/>
                <w:szCs w:val="22"/>
              </w:rPr>
              <w:t>в пролётах опор № 9 -10.</w:t>
            </w:r>
          </w:p>
        </w:tc>
      </w:tr>
      <w:tr>
        <w:trPr>
          <w:trHeight w:val="496" w:hRule="atLeast"/>
        </w:trPr>
        <w:tc>
          <w:tcPr>
            <w:tcW w:w="6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36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Км линии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0,116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Демонтаж грозотроса марки С-35 в пролётах опор №  12-13.</w:t>
            </w:r>
          </w:p>
        </w:tc>
      </w:tr>
      <w:tr>
        <w:trPr>
          <w:trHeight w:val="437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Транспортировка демонтированных проводов, тросов, комплектов изоляторов и сцепной арматуры на базу СП ЦЭС.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0,39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Погрузочно-разгрузочные работы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Провод марки АС-95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Грозотрос марки С-35</w:t>
            </w:r>
          </w:p>
        </w:tc>
      </w:tr>
      <w:tr>
        <w:trPr>
          <w:trHeight w:val="437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0,39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Перевозка на расстояние 11 км (на базу ЦЭС) демонтированного материала (Провод, грозотрос, изоляторы)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Демонтаж опор.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опора/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5,434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 xml:space="preserve">Демонтаж тросостоек и </w:t>
            </w: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анкерной металлической опоры  марки У35-1</w:t>
            </w: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 xml:space="preserve"> с помощью газового резака и использованием вышки с краном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 xml:space="preserve">Опоры </w:t>
            </w: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№15,16,17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Транспортировка демонтированных опор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км/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тн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11/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5,434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Погрузка и перевозка на </w:t>
            </w: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расстояние 11 км (на базу ЦЭС) демонтированных опор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Демонтаж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опора/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6/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1,499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 xml:space="preserve">Демонтаж тросостоек и </w:t>
            </w: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промежуточной металлической опоры марки П-35</w:t>
            </w: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, с помощью газового резака и использованием вышки с краном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 xml:space="preserve">Опорf </w:t>
            </w: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№14.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Транспортировка демонтированных опор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км/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тн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11/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1,499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 xml:space="preserve">Погрузка и перевозка на </w:t>
            </w: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расстояние 11 км (на базу ЦЭС) демонтированных опор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Демонтаж фундаментов демонтированных анкерных металлических опор № 15,16,17.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котлован/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м</w:t>
            </w:r>
            <w:r>
              <w:rPr>
                <w:rFonts w:cs="Andalus" w:ascii="Liberation Serif" w:hAnsi="Liberation Serif"/>
                <w:sz w:val="22"/>
                <w:szCs w:val="22"/>
                <w:lang w:eastAsia="en-US"/>
              </w:rPr>
              <w:t>³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132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Откопка фундаментов марки Ф1-А с помощью экскаватора.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Объем одного котлована для фундаментов марки Ф1-А -44 м</w:t>
            </w:r>
            <w:r>
              <w:rPr>
                <w:rFonts w:cs="Andalus" w:ascii="Liberation Serif" w:hAnsi="Liberation Serif"/>
                <w:sz w:val="22"/>
                <w:szCs w:val="22"/>
                <w:lang w:eastAsia="en-US"/>
              </w:rPr>
              <w:t>³ (</w:t>
            </w: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анкерные металлические опоры №1,2,3,4,6,7,10,12,15,16,17)</w:t>
            </w:r>
          </w:p>
        </w:tc>
      </w:tr>
      <w:tr>
        <w:trPr>
          <w:trHeight w:val="621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224,4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Вывоз разработанного грунта на расстояние 10 км</w:t>
            </w:r>
          </w:p>
        </w:tc>
      </w:tr>
      <w:tr>
        <w:trPr>
          <w:trHeight w:val="286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фундамент/м3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12/12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Измельчение ж/б фундаментов при помощи электрического (или пневматического) отбойного молотка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 Фундаменты марки Ф1-А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км/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тн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80/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Погрузка и перевозка на расстояние 80 км для утилизации измельчённого бетона.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шт/т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24/384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Срезание стальных шпилек с фундамента с помощью газового резака.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Демонтаж фундаментов демонтированных промежуточных металлических опор № 14.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котлован/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м</w:t>
            </w:r>
            <w:r>
              <w:rPr>
                <w:rFonts w:cs="Andalus" w:ascii="Liberation Serif" w:hAnsi="Liberation Serif"/>
                <w:sz w:val="22"/>
                <w:szCs w:val="22"/>
                <w:lang w:eastAsia="en-US"/>
              </w:rPr>
              <w:t>³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Откопка монолитных фундаментов с помощью экскаватора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Объем котлована вокруг одного фундамента -3 м</w:t>
            </w:r>
            <w:r>
              <w:rPr>
                <w:rFonts w:cs="Andalus" w:ascii="Liberation Serif" w:hAnsi="Liberation Serif"/>
                <w:sz w:val="22"/>
                <w:szCs w:val="22"/>
                <w:lang w:eastAsia="en-US"/>
              </w:rPr>
              <w:t>³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cs="Andalus" w:ascii="Liberation Serif" w:hAnsi="Liberation Serif"/>
                <w:sz w:val="22"/>
                <w:szCs w:val="22"/>
                <w:lang w:eastAsia="en-US"/>
              </w:rPr>
              <w:t>(</w:t>
            </w: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промежуточные металлические опоры № 14)</w:t>
            </w:r>
          </w:p>
        </w:tc>
      </w:tr>
      <w:tr>
        <w:trPr>
          <w:trHeight w:val="600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30,6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Вывоз разработанного грунта на расстояние 10 км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фундамент/м3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1/6,75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Измельчение ж/б фундаментов при помощи электрического (или пневматического) отбойного молотка.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км/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тн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80/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14,85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Погрузка и перевозка на расстояние 80 км для утилизации измельчённого бетона.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шт/т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8/0,128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Срезание стальных шпилек фундамента с помощью газового резака.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Сопутствующие    работы</w:t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шт/га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4/0,0102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Расчистка банкеток опор вручную № 14,15,16,17 (</w:t>
            </w:r>
            <w:r>
              <w:rPr>
                <w:rFonts w:ascii="Liberation Serif" w:hAnsi="Liberation Serif"/>
                <w:sz w:val="22"/>
                <w:szCs w:val="22"/>
                <w:lang w:val="en-US" w:eastAsia="en-US"/>
              </w:rPr>
              <w:t>S</w:t>
            </w: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=6×6м).</w:t>
            </w:r>
          </w:p>
        </w:tc>
      </w:tr>
      <w:tr>
        <w:trPr>
          <w:trHeight w:val="944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т/м3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62,05/36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Погрузка и перевозка на расстояние 10 км ранее разработанного грунта для засыпки котлована</w:t>
            </w:r>
          </w:p>
        </w:tc>
      </w:tr>
      <w:tr>
        <w:trPr>
          <w:trHeight w:val="569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котлован/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м</w:t>
            </w:r>
            <w:r>
              <w:rPr>
                <w:rFonts w:cs="Andalus" w:ascii="Liberation Serif" w:hAnsi="Liberation Serif"/>
                <w:sz w:val="22"/>
                <w:szCs w:val="22"/>
                <w:lang w:eastAsia="en-US"/>
              </w:rPr>
              <w:t>³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4/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Засыпка котлованов ранее разработанным грунтом ( и привозным непросадочным грунтом) с уплотнением и планировкой под уровень поверхности земли с помощью экскаватора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-привозной непосадочный грунт-66,53м3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- ранее разработанный грунт-51,53 м3</w:t>
            </w:r>
          </w:p>
        </w:tc>
      </w:tr>
      <w:tr>
        <w:trPr>
          <w:trHeight w:val="598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м3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287,52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Работа на отвале вывезенного грунта</w:t>
            </w:r>
          </w:p>
        </w:tc>
      </w:tr>
      <w:tr>
        <w:trPr/>
        <w:tc>
          <w:tcPr>
            <w:tcW w:w="9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  <w:lang w:eastAsia="en-US"/>
              </w:rPr>
              <w:t>Материалы:</w:t>
            </w:r>
          </w:p>
        </w:tc>
      </w:tr>
      <w:tr>
        <w:trPr>
          <w:trHeight w:val="350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Пропан 50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м3/баллон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5,6/8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</w:tr>
      <w:tr>
        <w:trPr>
          <w:trHeight w:val="350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Кислород 40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м3/Баллон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51,2/8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</w:tr>
      <w:tr>
        <w:trPr>
          <w:trHeight w:val="350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Непосадочный грунт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м</w:t>
            </w:r>
            <w:r>
              <w:rPr>
                <w:rFonts w:cs="Andalus" w:ascii="Liberation Serif" w:hAnsi="Liberation Serif"/>
                <w:sz w:val="22"/>
                <w:szCs w:val="22"/>
                <w:lang w:eastAsia="en-US"/>
              </w:rPr>
              <w:t>³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282,75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</w:tr>
      <w:tr>
        <w:trPr>
          <w:trHeight w:val="365" w:hRule="atLeast"/>
        </w:trPr>
        <w:tc>
          <w:tcPr>
            <w:tcW w:w="9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  <w:lang w:eastAsia="en-US"/>
              </w:rPr>
              <w:t>Транспортная схема</w:t>
            </w:r>
          </w:p>
        </w:tc>
      </w:tr>
      <w:tr>
        <w:trPr>
          <w:trHeight w:val="360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От базы ЦЭС (г. Хабаровск, ул. Промышленная 13) до места производства работ.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</w:tr>
      <w:tr>
        <w:trPr>
          <w:trHeight w:val="360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Доставка непосадочного грунта от карьера до места производства работ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</w:tr>
      <w:tr>
        <w:trPr>
          <w:trHeight w:val="360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Вывоз строительного мусора, порубочных остатков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</w:tr>
      <w:tr>
        <w:trPr>
          <w:trHeight w:val="389" w:hRule="atLeast"/>
        </w:trPr>
        <w:tc>
          <w:tcPr>
            <w:tcW w:w="9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  <w:lang w:eastAsia="en-US"/>
              </w:rPr>
              <w:t>Погрузо-разгрузочные работы</w:t>
            </w:r>
          </w:p>
        </w:tc>
      </w:tr>
      <w:tr>
        <w:trPr>
          <w:trHeight w:val="580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Непосадочный грунт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м³/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282,75/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565,5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371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91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color w:val="000000"/>
                <w:sz w:val="22"/>
                <w:szCs w:val="22"/>
                <w:lang w:eastAsia="en-US"/>
              </w:rPr>
              <w:t>Демонтированный материал</w:t>
            </w:r>
          </w:p>
        </w:tc>
      </w:tr>
      <w:tr>
        <w:trPr>
          <w:trHeight w:val="257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Металлоконструкции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9,11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580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Провод марки АС-95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грозотрос марки С-35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0,39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248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Фундаменты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46,85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337" w:hRule="atLeast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rPr>
                <w:rFonts w:ascii="Liberation Serif" w:hAnsi="Liberation Serif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Порубочные остатки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т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  <w:lang w:eastAsia="en-US"/>
              </w:rPr>
              <w:t>0,21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297" w:hRule="atLeast"/>
        </w:trPr>
        <w:tc>
          <w:tcPr>
            <w:tcW w:w="9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Примечание:</w:t>
            </w:r>
          </w:p>
        </w:tc>
      </w:tr>
      <w:tr>
        <w:trPr>
          <w:trHeight w:val="580" w:hRule="atLeast"/>
        </w:trPr>
        <w:tc>
          <w:tcPr>
            <w:tcW w:w="9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Работы демонтажу металлических опор проводить в период: август-декабрь.</w:t>
            </w:r>
          </w:p>
          <w:p>
            <w:pPr>
              <w:pStyle w:val="Normal"/>
              <w:widowControl w:val="false"/>
              <w:spacing w:lineRule="auto" w:line="240"/>
              <w:jc w:val="both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Работа выполняется в стеснённых условиях в черте города и частном секторе. Уборка порубочных остатков производится в соответствии с «Правилами пожарной безопасности в лесах»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измельчением либо вывозом и утилизацией</w:t>
            </w:r>
            <w:r>
              <w:rPr>
                <w:rFonts w:ascii="Liberation Serif" w:hAnsi="Liberation Serif"/>
                <w:sz w:val="22"/>
                <w:szCs w:val="22"/>
              </w:rPr>
              <w:t>.</w:t>
            </w:r>
          </w:p>
        </w:tc>
      </w:tr>
    </w:tbl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hanging="0" w:left="-567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c724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Arial Unicode MS"/>
    </w:rPr>
  </w:style>
  <w:style w:type="paragraph" w:styleId="NoSpacing">
    <w:name w:val="No Spacing"/>
    <w:uiPriority w:val="1"/>
    <w:qFormat/>
    <w:rsid w:val="00317b5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583d99"/>
    <w:pPr>
      <w:spacing w:before="0" w:after="0"/>
      <w:ind w:hanging="0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934</TotalTime>
  <Application>AlterOffice/2026.2.0.0$Linux_X86_64 LibreOffice_project/bc4ef1adf80b36c7a6365f8ed6cbf29021361edd</Application>
  <AppVersion>15.0000</AppVersion>
  <Pages>3</Pages>
  <Words>617</Words>
  <Characters>3692</Characters>
  <CharactersWithSpaces>4129</CharactersWithSpaces>
  <Paragraphs>196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2022-06-20T23:07:00Z</dcterms:created>
  <dc:creator>Пользователь Windows</dc:creator>
  <dc:description/>
  <dc:language>ru-RU</dc:language>
  <cp:lastModifiedBy/>
  <dcterms:modified xsi:type="dcterms:W3CDTF">2026-07-31T09:24:24Z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