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hanging="0" w:left="5670"/>
        <w:jc w:val="righ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Style w:val="Style8"/>
          <w:rFonts w:eastAsia="Calibri"/>
          <w:i w:val="false"/>
          <w:i w:val="false"/>
          <w:sz w:val="26"/>
          <w:szCs w:val="26"/>
          <w:shd w:fill="auto" w:val="clear"/>
        </w:rPr>
      </w:pPr>
      <w:r>
        <w:rPr>
          <w:rFonts w:eastAsia="Calibri"/>
          <w:b/>
          <w:sz w:val="26"/>
          <w:szCs w:val="26"/>
        </w:rPr>
        <w:t xml:space="preserve">Технические требования 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rFonts w:ascii="Times New Roman" w:hAnsi="Times New Roman"/>
          <w:sz w:val="28"/>
          <w:szCs w:val="28"/>
        </w:rPr>
      </w:pPr>
      <w:r>
        <w:rPr>
          <w:rStyle w:val="Style8"/>
          <w:rFonts w:eastAsia="Calibri" w:cs="Arial" w:cstheme="minorBidi"/>
          <w:b/>
          <w:bCs/>
          <w:i/>
          <w:iCs/>
          <w:u w:val="single"/>
          <w:shd w:fill="auto" w:val="clear"/>
        </w:rPr>
        <w:t xml:space="preserve">ОКПД2: </w:t>
      </w:r>
      <w:r>
        <w:rPr>
          <w:rStyle w:val="Strong"/>
          <w:rFonts w:eastAsia="Calibri" w:cs="Arial" w:cstheme="minorBidi"/>
          <w:i/>
          <w:iCs/>
          <w:u w:val="single"/>
          <w:shd w:fill="auto" w:val="clear"/>
        </w:rPr>
        <w:t>14.12.30</w:t>
      </w:r>
      <w:r>
        <w:rPr>
          <w:rStyle w:val="Style8"/>
          <w:rFonts w:eastAsia="Calibri" w:cs="Arial" w:cstheme="minorBidi"/>
          <w:b/>
          <w:bCs/>
          <w:i/>
          <w:iCs/>
          <w:u w:val="single"/>
          <w:shd w:fill="auto" w:val="clear"/>
        </w:rPr>
        <w:t xml:space="preserve"> П</w:t>
      </w:r>
      <w:r>
        <w:rPr>
          <w:rStyle w:val="Style8"/>
          <w:rFonts w:eastAsia="Calibri" w:cs="Times New Roman"/>
          <w:b/>
          <w:bCs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u w:val="single"/>
          <w:shd w:fill="auto" w:val="clear"/>
          <w:em w:val="none"/>
          <w:lang w:val="ru-RU" w:eastAsia="ru-RU" w:bidi="ar-SA"/>
        </w:rPr>
        <w:t>оставка средств индивидуальной защиты от механических воздействий  (истирания) для нужд филиала ПАО «РусГидро» - «Камская ГЭС</w:t>
      </w:r>
      <w:r>
        <w:rPr>
          <w:rStyle w:val="Style8"/>
          <w:rFonts w:eastAsia="Calibri" w:cs="Times New Roman"/>
          <w:b/>
          <w:bCs/>
          <w:i/>
          <w:iCs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0"/>
          <w:kern w:val="0"/>
          <w:u w:val="single"/>
          <w:shd w:fill="auto" w:val="clear"/>
          <w:em w:val="none"/>
          <w:lang w:val="ru-RU" w:eastAsia="ru-RU" w:bidi="ar-SA"/>
        </w:rPr>
        <w:t>»</w:t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sz w:val="26"/>
          <w:szCs w:val="26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numPr>
              <w:ilvl w:val="0"/>
              <w:numId w:val="0"/>
            </w:numPr>
            <w:spacing w:before="480" w:after="60"/>
            <w:ind w:hanging="0" w:left="4613"/>
            <w:rPr>
              <w:rFonts w:ascii="Cambria" w:hAnsi="Cambria"/>
              <w:bCs/>
              <w:color w:val="365F91"/>
            </w:rPr>
          </w:pPr>
          <w:r>
            <w:rPr>
              <w:bCs/>
              <w:color w:val="365F91"/>
            </w:rPr>
          </w:r>
        </w:p>
        <w:p>
          <w:pPr>
            <w:pStyle w:val="TOCHeading"/>
            <w:numPr>
              <w:ilvl w:val="0"/>
              <w:numId w:val="0"/>
            </w:numPr>
            <w:spacing w:before="480" w:after="60"/>
            <w:ind w:hanging="0" w:left="4613"/>
            <w:rPr>
              <w:rFonts w:ascii="Cambria" w:hAnsi="Cambria"/>
              <w:bCs/>
              <w:color w:val="365F91"/>
            </w:rPr>
          </w:pPr>
          <w:r>
            <w:rPr>
              <w:bCs/>
              <w:color w:val="365F91"/>
            </w:rPr>
          </w:r>
        </w:p>
        <w:p>
          <w:pPr>
            <w:pStyle w:val="TOCHeading"/>
            <w:numPr>
              <w:ilvl w:val="0"/>
              <w:numId w:val="3"/>
            </w:numPr>
            <w:spacing w:before="480" w:after="60"/>
            <w:rPr>
              <w:rFonts w:ascii="Cambria" w:hAnsi="Cambria"/>
              <w:bCs/>
              <w:color w:val="365F91"/>
            </w:rPr>
          </w:pPr>
          <w:r>
            <w:rPr>
              <w:bCs/>
              <w:color w:val="365F91"/>
            </w:rPr>
            <w:t>Оглавление</w:t>
          </w:r>
        </w:p>
        <w:p>
          <w:pPr>
            <w:pStyle w:val="TOC1"/>
            <w:tabs>
              <w:tab w:val="clear" w:pos="708"/>
              <w:tab w:val="right" w:pos="9923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\f \o "1-9" \h</w:instrText>
          </w:r>
          <w:r>
            <w:rPr>
              <w:rStyle w:val="Style14"/>
            </w:rPr>
            <w:fldChar w:fldCharType="separate"/>
          </w:r>
          <w:hyperlink w:anchor="__RefHeading___Toc3882_499436595">
            <w:r>
              <w:rPr>
                <w:rStyle w:val="Style14"/>
              </w:rPr>
              <w:t>2.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3" w:leader="dot"/>
            </w:tabs>
            <w:rPr/>
          </w:pPr>
          <w:hyperlink w:anchor="__RefHeading___Toc3884_499436595">
            <w:r>
              <w:rPr>
                <w:rStyle w:val="Style14"/>
              </w:rPr>
              <w:t>2.1.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3" w:leader="dot"/>
            </w:tabs>
            <w:rPr/>
          </w:pPr>
          <w:hyperlink w:anchor="__RefHeading___Toc3886_499436595">
            <w:r>
              <w:rPr>
                <w:rStyle w:val="Style14"/>
              </w:rPr>
              <w:t>2.2.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3" w:leader="dot"/>
            </w:tabs>
            <w:rPr/>
          </w:pPr>
          <w:hyperlink w:anchor="__RefHeading___Toc3888_499436595">
            <w:r>
              <w:rPr>
                <w:rStyle w:val="Style14"/>
              </w:rPr>
              <w:t>2.3.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3" w:leader="dot"/>
            </w:tabs>
            <w:rPr/>
          </w:pPr>
          <w:hyperlink w:anchor="__RefHeading___Toc3890_499436595">
            <w:r>
              <w:rPr>
                <w:rStyle w:val="Style14"/>
              </w:rPr>
              <w:t>3.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3" w:leader="dot"/>
            </w:tabs>
            <w:rPr/>
          </w:pPr>
          <w:hyperlink w:anchor="__RefHeading___Toc3892_499436595">
            <w:r>
              <w:rPr>
                <w:rStyle w:val="Style14"/>
              </w:rPr>
              <w:t>3.1.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3" w:leader="dot"/>
            </w:tabs>
            <w:rPr/>
          </w:pPr>
          <w:hyperlink w:anchor="__RefHeading___Toc3894_499436595">
            <w:r>
              <w:rPr>
                <w:rStyle w:val="Style14"/>
              </w:rPr>
              <w:t>3.1.1.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3" w:leader="dot"/>
            </w:tabs>
            <w:rPr/>
          </w:pPr>
          <w:hyperlink w:anchor="__RefHeading___Toc3896_499436595">
            <w:r>
              <w:rPr>
                <w:rStyle w:val="Style14"/>
              </w:rPr>
              <w:t>Таблица 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3" w:leader="dot"/>
            </w:tabs>
            <w:rPr/>
          </w:pPr>
          <w:hyperlink w:anchor="__RefHeading___Toc3898_499436595">
            <w:r>
              <w:rPr>
                <w:rStyle w:val="Style14"/>
              </w:rPr>
              <w:t>3.1.2. Требования к срокам поставки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3" w:leader="dot"/>
            </w:tabs>
            <w:rPr/>
          </w:pPr>
          <w:hyperlink w:anchor="__RefHeading___Toc3900_499436595">
            <w:r>
              <w:rPr>
                <w:rStyle w:val="Style14"/>
              </w:rPr>
              <w:t>Таблица 2.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3" w:leader="dot"/>
            </w:tabs>
            <w:rPr/>
          </w:pPr>
          <w:hyperlink w:anchor="__RefHeading___Toc3902_499436595">
            <w:r>
              <w:rPr>
                <w:rStyle w:val="Style14"/>
              </w:rPr>
              <w:t>3.2.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3" w:leader="dot"/>
            </w:tabs>
            <w:rPr/>
          </w:pPr>
          <w:hyperlink w:anchor="__RefHeading___Toc3904_499436595">
            <w:r>
              <w:rPr>
                <w:rStyle w:val="Style14"/>
              </w:rPr>
              <w:t>Таблица 3. Требования к СИЗ для защиты от механических воздействий (истирания) и ОПЗ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3" w:leader="dot"/>
            </w:tabs>
            <w:rPr/>
          </w:pPr>
          <w:hyperlink w:anchor="__RefHeading___Toc3906_499436595">
            <w:r>
              <w:rPr>
                <w:rStyle w:val="Style14"/>
              </w:rPr>
              <w:t>4. Требования к документации по ценообразованию на этапе закупки</w:t>
              <w:tab/>
              <w:t>23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32"/>
          <w:szCs w:val="32"/>
        </w:rPr>
      </w:pPr>
      <w:bookmarkStart w:id="0" w:name="__RefHeading___Toc3882_499436595"/>
      <w:bookmarkStart w:id="1" w:name="_Toc51339692"/>
      <w:bookmarkStart w:id="2" w:name="_Toc75446566"/>
      <w:bookmarkStart w:id="3" w:name="_Toc193799639"/>
      <w:bookmarkEnd w:id="0"/>
      <w:r>
        <w:rPr>
          <w:sz w:val="32"/>
          <w:szCs w:val="32"/>
        </w:rPr>
        <w:t>Общие сведения</w:t>
      </w:r>
      <w:bookmarkEnd w:id="1"/>
      <w:bookmarkEnd w:id="2"/>
      <w:bookmarkEnd w:id="3"/>
    </w:p>
    <w:p>
      <w:pPr>
        <w:pStyle w:val="Heading4"/>
        <w:numPr>
          <w:ilvl w:val="1"/>
          <w:numId w:val="3"/>
        </w:numPr>
        <w:ind w:hanging="0" w:left="0"/>
        <w:jc w:val="left"/>
        <w:rPr>
          <w:sz w:val="24"/>
          <w:szCs w:val="24"/>
        </w:rPr>
      </w:pPr>
      <w:bookmarkStart w:id="4" w:name="__RefHeading___Toc3884_499436595"/>
      <w:bookmarkStart w:id="5" w:name="_Toc46743505"/>
      <w:bookmarkStart w:id="6" w:name="_Toc75446567"/>
      <w:bookmarkEnd w:id="4"/>
      <w:r>
        <w:rPr>
          <w:sz w:val="24"/>
          <w:szCs w:val="24"/>
        </w:rPr>
        <w:t>Обозначения и сокращения</w:t>
      </w:r>
      <w:bookmarkEnd w:id="5"/>
      <w:bookmarkEnd w:id="6"/>
    </w:p>
    <w:tbl>
      <w:tblPr>
        <w:tblW w:w="9923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2626"/>
        <w:gridCol w:w="7296"/>
      </w:tblGrid>
      <w:tr>
        <w:trPr>
          <w:trHeight w:val="249" w:hRule="atLeast"/>
          <w:cantSplit w:val="true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ТТ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Технические требования</w:t>
            </w:r>
          </w:p>
        </w:tc>
      </w:tr>
      <w:tr>
        <w:trPr>
          <w:trHeight w:val="249" w:hRule="atLeast"/>
          <w:cantSplit w:val="true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СИЗ 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bCs/>
                <w:iCs/>
                <w:color w:val="000000"/>
                <w:sz w:val="24"/>
                <w:szCs w:val="24"/>
              </w:rPr>
              <w:t>Средства индивидуальной защиты</w:t>
            </w:r>
          </w:p>
        </w:tc>
      </w:tr>
      <w:tr>
        <w:trPr>
          <w:trHeight w:val="249" w:hRule="atLeast"/>
          <w:cantSplit w:val="true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Филиал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bCs/>
                <w:i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>филиала ПАО «РусГидро» - «Камская ГЭС</w:t>
            </w:r>
            <w:r>
              <w:rPr>
                <w:color w:val="000000" w:themeColor="text1"/>
                <w:sz w:val="24"/>
                <w:szCs w:val="24"/>
                <w:lang w:eastAsia="x-none"/>
              </w:rPr>
              <w:t>»</w:t>
            </w:r>
          </w:p>
        </w:tc>
      </w:tr>
      <w:tr>
        <w:trPr>
          <w:trHeight w:val="249" w:hRule="atLeast"/>
          <w:cantSplit w:val="true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ОПЗ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  <w:t>общие производственные загрязнения</w:t>
            </w:r>
          </w:p>
        </w:tc>
      </w:tr>
      <w:tr>
        <w:trPr>
          <w:trHeight w:val="249" w:hRule="atLeast"/>
          <w:cantSplit w:val="true"/>
        </w:trPr>
        <w:tc>
          <w:tcPr>
            <w:tcW w:w="2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Ми</w:t>
            </w:r>
          </w:p>
        </w:tc>
        <w:tc>
          <w:tcPr>
            <w:tcW w:w="7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  <w:lang w:eastAsia="x-none"/>
              </w:rPr>
            </w:pPr>
            <w:r>
              <w:rPr>
                <w:color w:val="000000"/>
                <w:sz w:val="24"/>
                <w:szCs w:val="24"/>
              </w:rPr>
              <w:t>Механические истирания</w:t>
            </w:r>
          </w:p>
        </w:tc>
      </w:tr>
    </w:tbl>
    <w:p>
      <w:pPr>
        <w:pStyle w:val="Heading4"/>
        <w:numPr>
          <w:ilvl w:val="1"/>
          <w:numId w:val="3"/>
        </w:numPr>
        <w:ind w:hanging="0" w:left="0"/>
        <w:jc w:val="left"/>
        <w:rPr>
          <w:sz w:val="24"/>
          <w:szCs w:val="24"/>
        </w:rPr>
      </w:pPr>
      <w:bookmarkStart w:id="7" w:name="__RefHeading___Toc3886_499436595"/>
      <w:bookmarkStart w:id="8" w:name="_Toc46743506"/>
      <w:bookmarkStart w:id="9" w:name="_Toc75446568"/>
      <w:bookmarkEnd w:id="7"/>
      <w:r>
        <w:rPr>
          <w:sz w:val="24"/>
          <w:szCs w:val="24"/>
        </w:rPr>
        <w:t>Наименование закупаемой продукции</w:t>
      </w:r>
      <w:bookmarkEnd w:id="8"/>
      <w:bookmarkEnd w:id="9"/>
    </w:p>
    <w:p>
      <w:pPr>
        <w:pStyle w:val="Normal"/>
        <w:jc w:val="both"/>
        <w:rPr>
          <w:sz w:val="24"/>
          <w:szCs w:val="24"/>
          <w:lang w:val="x-none" w:eastAsia="x-none"/>
        </w:rPr>
      </w:pPr>
      <w:r>
        <w:rPr>
          <w:sz w:val="24"/>
          <w:szCs w:val="24"/>
          <w:lang w:val="x-none" w:eastAsia="x-none"/>
        </w:rPr>
        <w:t xml:space="preserve">Поставка </w:t>
      </w:r>
      <w:r>
        <w:rPr>
          <w:sz w:val="24"/>
          <w:szCs w:val="24"/>
          <w:lang w:eastAsia="x-none"/>
        </w:rPr>
        <w:t xml:space="preserve">СИЗ </w:t>
      </w:r>
      <w:r>
        <w:rPr>
          <w:sz w:val="24"/>
          <w:szCs w:val="24"/>
        </w:rPr>
        <w:t>от механических воздействий и общих производственных загрязнений</w:t>
      </w:r>
      <w:r>
        <w:rPr>
          <w:sz w:val="24"/>
          <w:szCs w:val="24"/>
          <w:lang w:eastAsia="x-none"/>
        </w:rPr>
        <w:t xml:space="preserve"> для нужд филиала ПАО «РусГидро» - «Камская ГЭС</w:t>
      </w:r>
      <w:r>
        <w:rPr>
          <w:color w:val="000000" w:themeColor="text1"/>
          <w:sz w:val="24"/>
          <w:szCs w:val="24"/>
          <w:lang w:eastAsia="x-none"/>
        </w:rPr>
        <w:t>»</w:t>
      </w:r>
      <w:r>
        <w:rPr>
          <w:sz w:val="24"/>
          <w:szCs w:val="24"/>
          <w:lang w:val="x-none" w:eastAsia="x-none"/>
        </w:rPr>
        <w:t>.</w:t>
      </w:r>
    </w:p>
    <w:p>
      <w:pPr>
        <w:pStyle w:val="Heading4"/>
        <w:numPr>
          <w:ilvl w:val="1"/>
          <w:numId w:val="3"/>
        </w:numPr>
        <w:ind w:hanging="0" w:left="0"/>
        <w:jc w:val="left"/>
        <w:rPr>
          <w:sz w:val="24"/>
          <w:szCs w:val="24"/>
        </w:rPr>
      </w:pPr>
      <w:bookmarkStart w:id="10" w:name="__RefHeading___Toc3888_499436595"/>
      <w:bookmarkStart w:id="11" w:name="_Toc75446569"/>
      <w:bookmarkStart w:id="12" w:name="_Toc46743507"/>
      <w:bookmarkEnd w:id="10"/>
      <w:r>
        <w:rPr>
          <w:sz w:val="24"/>
          <w:szCs w:val="24"/>
        </w:rPr>
        <w:t xml:space="preserve">Цель </w:t>
      </w:r>
      <w:bookmarkEnd w:id="12"/>
      <w:r>
        <w:rPr>
          <w:sz w:val="24"/>
          <w:szCs w:val="24"/>
        </w:rPr>
        <w:t xml:space="preserve">использования закупаемой продукции </w:t>
      </w:r>
      <w:bookmarkEnd w:id="11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  <w:t xml:space="preserve">Комплексная защита персонала предприятия от механических воздействий (истирания) и общих производственных загрязнений. </w:t>
      </w:r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bookmarkStart w:id="13" w:name="__RefHeading___Toc3890_499436595"/>
      <w:bookmarkStart w:id="14" w:name="_Toc51339693"/>
      <w:bookmarkStart w:id="15" w:name="_Toc75446573"/>
      <w:bookmarkStart w:id="16" w:name="_Toc193799640"/>
      <w:bookmarkStart w:id="17" w:name="_Toc50125126"/>
      <w:bookmarkStart w:id="18" w:name="_Toc46743510"/>
      <w:bookmarkEnd w:id="13"/>
      <w:bookmarkEnd w:id="17"/>
      <w:bookmarkEnd w:id="18"/>
      <w:r>
        <w:rPr>
          <w:sz w:val="24"/>
          <w:szCs w:val="24"/>
        </w:rPr>
        <w:t>Требования к продукции</w:t>
      </w:r>
      <w:bookmarkEnd w:id="14"/>
      <w:bookmarkEnd w:id="15"/>
      <w:bookmarkEnd w:id="16"/>
    </w:p>
    <w:p>
      <w:pPr>
        <w:pStyle w:val="Heading4"/>
        <w:numPr>
          <w:ilvl w:val="1"/>
          <w:numId w:val="3"/>
        </w:numPr>
        <w:ind w:hanging="0" w:left="0"/>
        <w:jc w:val="left"/>
        <w:rPr>
          <w:sz w:val="24"/>
          <w:szCs w:val="24"/>
        </w:rPr>
      </w:pPr>
      <w:bookmarkStart w:id="19" w:name="__RefHeading___Toc3892_499436595"/>
      <w:bookmarkStart w:id="20" w:name="_Toc75446574"/>
      <w:bookmarkEnd w:id="19"/>
      <w:r>
        <w:rPr>
          <w:sz w:val="24"/>
          <w:szCs w:val="24"/>
        </w:rPr>
        <w:t>Требования к объемам и срокам поставки</w:t>
      </w:r>
      <w:bookmarkEnd w:id="20"/>
    </w:p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21" w:name="__RefHeading___Toc3894_499436595"/>
      <w:bookmarkStart w:id="22" w:name="_Toc75446575"/>
      <w:bookmarkStart w:id="23" w:name="_Toc193726130"/>
      <w:bookmarkStart w:id="24" w:name="_Toc193799641"/>
      <w:bookmarkEnd w:id="21"/>
      <w:r>
        <w:rPr>
          <w:sz w:val="24"/>
          <w:szCs w:val="24"/>
        </w:rPr>
        <w:t>Перечень и объем закупаемой продукции</w:t>
      </w:r>
      <w:bookmarkEnd w:id="22"/>
      <w:bookmarkEnd w:id="23"/>
      <w:bookmarkEnd w:id="24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25" w:name="__RefHeading___Toc3896_499436595"/>
      <w:bookmarkStart w:id="26" w:name="_Toc75446576"/>
      <w:bookmarkStart w:id="27" w:name="_Toc193726131"/>
      <w:bookmarkStart w:id="28" w:name="_Toc193799642"/>
      <w:bookmarkStart w:id="29" w:name="_Toc51339695"/>
      <w:bookmarkEnd w:id="25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Перечень </w:t>
      </w:r>
      <w:bookmarkEnd w:id="29"/>
      <w:r>
        <w:rPr>
          <w:sz w:val="24"/>
          <w:szCs w:val="24"/>
        </w:rPr>
        <w:t>и объем закупаемой продукции</w:t>
      </w:r>
      <w:bookmarkEnd w:id="26"/>
      <w:bookmarkEnd w:id="27"/>
      <w:bookmarkEnd w:id="28"/>
    </w:p>
    <w:tbl>
      <w:tblPr>
        <w:tblW w:w="1020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9"/>
        <w:gridCol w:w="4113"/>
        <w:gridCol w:w="1407"/>
        <w:gridCol w:w="2276"/>
        <w:gridCol w:w="1561"/>
      </w:tblGrid>
      <w:tr>
        <w:trPr>
          <w:tblHeader w:val="true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Тип 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мужской/ женский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>
          <w:tblHeader w:val="true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4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14.12.1</w:t>
            </w:r>
            <w:r>
              <w:rPr>
                <w:color w:val="333333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sz w:val="24"/>
                <w:szCs w:val="24"/>
              </w:rPr>
              <w:t xml:space="preserve">Костюм для защиты от механических воздействий и ОПЗ для </w:t>
            </w:r>
            <w:r>
              <w:rPr>
                <w:color w:val="000000" w:themeColor="text1"/>
                <w:sz w:val="24"/>
                <w:szCs w:val="24"/>
              </w:rPr>
              <w:t>ИТР</w:t>
            </w:r>
            <w:r>
              <w:rPr>
                <w:sz w:val="24"/>
                <w:szCs w:val="24"/>
              </w:rPr>
              <w:t xml:space="preserve"> (куртка/брюки)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2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14.12.1</w:t>
            </w:r>
            <w:r>
              <w:rPr>
                <w:color w:val="333333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sz w:val="24"/>
                <w:szCs w:val="24"/>
              </w:rPr>
              <w:t xml:space="preserve">Костюм для защиты от механических воздействий и ОПЗ для </w:t>
            </w:r>
            <w:r>
              <w:rPr>
                <w:color w:val="000000" w:themeColor="text1"/>
                <w:sz w:val="24"/>
                <w:szCs w:val="24"/>
              </w:rPr>
              <w:t>ИТР</w:t>
            </w:r>
            <w:r>
              <w:rPr>
                <w:sz w:val="24"/>
                <w:szCs w:val="24"/>
              </w:rPr>
              <w:t xml:space="preserve"> (куртка/брюки)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2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14.12.2</w:t>
            </w:r>
            <w:r>
              <w:rPr>
                <w:color w:val="333333"/>
                <w:sz w:val="24"/>
                <w:szCs w:val="24"/>
                <w:shd w:fill="FFFFFF" w:val="clear"/>
              </w:rPr>
              <w:t xml:space="preserve"> </w:t>
            </w:r>
            <w:r>
              <w:rPr>
                <w:sz w:val="24"/>
                <w:szCs w:val="24"/>
              </w:rPr>
              <w:t xml:space="preserve">Костюм для защиты от механических воздействий и ОПЗ для </w:t>
            </w:r>
            <w:r>
              <w:rPr>
                <w:color w:val="000000" w:themeColor="text1"/>
                <w:sz w:val="24"/>
                <w:szCs w:val="24"/>
              </w:rPr>
              <w:t>ИТР</w:t>
            </w:r>
            <w:r>
              <w:rPr>
                <w:sz w:val="24"/>
                <w:szCs w:val="24"/>
              </w:rPr>
              <w:t xml:space="preserve"> (куртка/брюки)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2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женский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>
        <w:trPr/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jc w:val="center"/>
              <w:rPr/>
            </w:pPr>
            <w:r>
              <w:rPr/>
            </w:r>
          </w:p>
        </w:tc>
        <w:tc>
          <w:tcPr>
            <w:tcW w:w="41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ОКПД2 14.12.1</w:t>
            </w:r>
            <w:r>
              <w:rPr>
                <w:b w:val="false"/>
                <w:bCs w:val="false"/>
                <w:color w:val="000000"/>
                <w:sz w:val="24"/>
                <w:szCs w:val="24"/>
                <w:shd w:fill="FFFFFF" w:val="clear"/>
              </w:rPr>
              <w:t xml:space="preserve"> Куртка демисезонная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для защиты от механических воздействий и ОПЗ для </w:t>
            </w:r>
            <w:r>
              <w:rPr>
                <w:color w:val="000000" w:themeColor="text1"/>
                <w:sz w:val="24"/>
                <w:szCs w:val="24"/>
                <w:shd w:fill="FFFFFF" w:val="clear"/>
              </w:rPr>
              <w:t>ИТР</w:t>
            </w:r>
            <w:r>
              <w:rPr>
                <w:color w:val="000000"/>
                <w:sz w:val="24"/>
                <w:szCs w:val="24"/>
                <w:shd w:fill="FFFFFF" w:val="clear"/>
              </w:rPr>
              <w:t xml:space="preserve"> (куртка/брюки)</w:t>
            </w:r>
          </w:p>
        </w:tc>
        <w:tc>
          <w:tcPr>
            <w:tcW w:w="14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шт.</w:t>
            </w:r>
          </w:p>
        </w:tc>
        <w:tc>
          <w:tcPr>
            <w:tcW w:w="2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мужской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</w:tr>
    </w:tbl>
    <w:p>
      <w:pPr>
        <w:pStyle w:val="Heading3"/>
        <w:numPr>
          <w:ilvl w:val="2"/>
          <w:numId w:val="3"/>
        </w:numPr>
        <w:rPr>
          <w:sz w:val="24"/>
          <w:szCs w:val="24"/>
        </w:rPr>
      </w:pPr>
      <w:bookmarkStart w:id="30" w:name="__RefHeading___Toc3898_499436595"/>
      <w:bookmarkStart w:id="31" w:name="_Toc193799643"/>
      <w:bookmarkStart w:id="32" w:name="_Toc75446578"/>
      <w:bookmarkStart w:id="33" w:name="_Toc193726132"/>
      <w:bookmarkStart w:id="34" w:name="_Toc51339696"/>
      <w:bookmarkEnd w:id="30"/>
      <w:r>
        <w:rPr>
          <w:sz w:val="24"/>
          <w:szCs w:val="24"/>
        </w:rPr>
        <w:t xml:space="preserve">Требования </w:t>
      </w:r>
      <w:bookmarkEnd w:id="34"/>
      <w:r>
        <w:rPr>
          <w:sz w:val="24"/>
          <w:szCs w:val="24"/>
        </w:rPr>
        <w:t>к срокам поставки продукции</w:t>
      </w:r>
      <w:bookmarkEnd w:id="31"/>
      <w:bookmarkEnd w:id="32"/>
      <w:bookmarkEnd w:id="33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  <w:lang w:val="ru-RU"/>
        </w:rPr>
      </w:pPr>
      <w:bookmarkStart w:id="35" w:name="__RefHeading___Toc3900_499436595"/>
      <w:bookmarkStart w:id="36" w:name="_Toc75446579"/>
      <w:bookmarkStart w:id="37" w:name="_Toc193799644"/>
      <w:bookmarkStart w:id="38" w:name="_Toc193726133"/>
      <w:bookmarkStart w:id="39" w:name="_Toc51339697"/>
      <w:bookmarkStart w:id="40" w:name="_Toc50125127"/>
      <w:bookmarkEnd w:id="3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41" w:name="_Hlk50465284"/>
      <w:r>
        <w:rPr>
          <w:sz w:val="24"/>
          <w:szCs w:val="24"/>
        </w:rPr>
        <w:t xml:space="preserve">Требования по срокам </w:t>
      </w:r>
      <w:bookmarkEnd w:id="39"/>
      <w:bookmarkEnd w:id="40"/>
      <w:bookmarkEnd w:id="41"/>
      <w:r>
        <w:rPr>
          <w:sz w:val="24"/>
          <w:szCs w:val="24"/>
          <w:lang w:val="ru-RU"/>
        </w:rPr>
        <w:t>поставки продукции</w:t>
      </w:r>
      <w:bookmarkEnd w:id="36"/>
      <w:bookmarkEnd w:id="37"/>
      <w:bookmarkEnd w:id="38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37"/>
        <w:gridCol w:w="3695"/>
        <w:gridCol w:w="2694"/>
        <w:gridCol w:w="2549"/>
      </w:tblGrid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x-none"/>
              </w:rPr>
              <w:t xml:space="preserve">СИЗ для защиты от механических воздействий и ОПЗ в соответствии </w:t>
            </w:r>
            <w:r>
              <w:rPr>
                <w:sz w:val="24"/>
                <w:szCs w:val="24"/>
              </w:rPr>
              <w:t>с Таблицей 1 настоящих ТТ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Со дня, следующего  за днем заключения договора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  <w:r>
              <w:rPr>
                <w:sz w:val="24"/>
                <w:szCs w:val="24"/>
                <w:lang w:val="en-US"/>
              </w:rPr>
              <w:t>11</w:t>
            </w:r>
            <w:r>
              <w:rPr>
                <w:sz w:val="24"/>
                <w:szCs w:val="24"/>
              </w:rPr>
              <w:t>.2026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276" w:right="707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  <w:pStyle w:val="Normal"/>
        <w:spacing w:before="180" w:after="0"/>
        <w:rPr>
          <w:rFonts w:eastAsia="Calibri"/>
          <w:sz w:val="24"/>
          <w:szCs w:val="24"/>
        </w:rPr>
      </w:pPr>
      <w:r>
        <w:rPr>
          <w:rFonts w:eastAsia="Calibri"/>
          <w:i/>
          <w:iCs/>
          <w:sz w:val="24"/>
          <w:szCs w:val="24"/>
        </w:rPr>
        <w:t>Продукция поставляется одной партией в рамках вышеуказанных сроков.</w:t>
      </w:r>
    </w:p>
    <w:p>
      <w:pPr>
        <w:pStyle w:val="Heading4"/>
        <w:numPr>
          <w:ilvl w:val="1"/>
          <w:numId w:val="3"/>
        </w:numPr>
        <w:ind w:hanging="0" w:left="0"/>
        <w:jc w:val="left"/>
        <w:rPr>
          <w:sz w:val="24"/>
          <w:szCs w:val="24"/>
        </w:rPr>
      </w:pPr>
      <w:bookmarkStart w:id="42" w:name="__RefHeading___Toc3902_499436595"/>
      <w:bookmarkStart w:id="43" w:name="_Toc50125131"/>
      <w:bookmarkStart w:id="44" w:name="_Toc51339698"/>
      <w:bookmarkStart w:id="45" w:name="_Toc75446581"/>
      <w:bookmarkStart w:id="46" w:name="_Toc46743511"/>
      <w:bookmarkStart w:id="47" w:name="_Toc50125126_Копия_1"/>
      <w:bookmarkStart w:id="48" w:name="_Toc46743510_Копия_1"/>
      <w:bookmarkEnd w:id="42"/>
      <w:bookmarkEnd w:id="47"/>
      <w:bookmarkEnd w:id="48"/>
      <w:r>
        <w:rPr>
          <w:sz w:val="24"/>
          <w:szCs w:val="24"/>
        </w:rPr>
        <w:t xml:space="preserve">Требования к </w:t>
      </w:r>
      <w:bookmarkEnd w:id="46"/>
      <w:r>
        <w:rPr>
          <w:sz w:val="24"/>
          <w:szCs w:val="24"/>
        </w:rPr>
        <w:t>качеству продукции</w:t>
      </w:r>
      <w:bookmarkEnd w:id="45"/>
    </w:p>
    <w:p>
      <w:pPr>
        <w:pStyle w:val="Heading1"/>
        <w:numPr>
          <w:ilvl w:val="0"/>
          <w:numId w:val="0"/>
        </w:numPr>
        <w:ind w:hanging="0" w:left="0"/>
        <w:rPr>
          <w:sz w:val="24"/>
          <w:szCs w:val="24"/>
        </w:rPr>
      </w:pPr>
      <w:bookmarkStart w:id="49" w:name="__RefHeading___Toc3904_499436595"/>
      <w:bookmarkStart w:id="50" w:name="_Toc75446582"/>
      <w:bookmarkStart w:id="51" w:name="_Toc193726134"/>
      <w:bookmarkStart w:id="52" w:name="_Toc193799645"/>
      <w:bookmarkEnd w:id="49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43"/>
      <w:bookmarkEnd w:id="44"/>
      <w:bookmarkEnd w:id="50"/>
      <w:bookmarkEnd w:id="51"/>
      <w:bookmarkEnd w:id="52"/>
      <w:r>
        <w:rPr>
          <w:sz w:val="24"/>
          <w:szCs w:val="24"/>
        </w:rPr>
        <w:t>СИЗ для защиты от механических воздействий и ОПЗ</w:t>
      </w:r>
    </w:p>
    <w:tbl>
      <w:tblPr>
        <w:tblStyle w:val="2e"/>
        <w:tblW w:w="15689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08"/>
        <w:gridCol w:w="2022"/>
        <w:gridCol w:w="7087"/>
        <w:gridCol w:w="3464"/>
        <w:gridCol w:w="2208"/>
      </w:tblGrid>
      <w:tr>
        <w:trPr>
          <w:tblHeader w:val="true"/>
        </w:trPr>
        <w:tc>
          <w:tcPr>
            <w:tcW w:w="90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02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708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67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>
          <w:tblHeader w:val="true"/>
        </w:trPr>
        <w:tc>
          <w:tcPr>
            <w:tcW w:w="90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02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708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4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blHeader w:val="true"/>
        </w:trPr>
        <w:tc>
          <w:tcPr>
            <w:tcW w:w="9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02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708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4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ind w:firstLine="179" w:left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1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Общие требования к продукции </w:t>
            </w:r>
          </w:p>
        </w:tc>
        <w:tc>
          <w:tcPr>
            <w:tcW w:w="34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109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Спецодежда должна удовлетворять требованиям безопасности и защиты работника от опасных и вредных производственных факторов на протяжении всего срока эксплуатации, установленного типовыми нормами и соответствовать требованиям ТР ТС 019/2011.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Размер предоставляемых СИЗ должен соответствовать антропометрическим измерениям работников, в соответствии с размерами. Спецодежда должна быть удобной в эксплуатации.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Поставляемые костюмы должны быть новыми и ранее не использованными изготовлены не ранее года, предшествующего году поставки.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31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Требования к ткани 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31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Костюмы для защиты от механических воздействий и ОПЗ, должны быть изготовлены из тканей, произведенных в Российской Федерации. 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0" w:after="0"/>
              <w:ind w:hanging="0" w:left="31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С целью снижения риска поставок контрафактной продукции и упрощения контроля за используемыми при пошиве спецодежды тканями и материалами, при пошиве костюмов для защиты от механических воздействий и ОПЗ должны быть использованы ткани с нанесением на изнаночную сторону специальной несмываемой маркировки – фирменного логотипа производителя ткани.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31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швам, фурнитуре спецодежды и спецобуви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Разрывная нагрузка швов – не менее 250 Н (п. 4.3 ТР ТС 019/2011). Метод определения по ГОСТ 28073-89 «Изделия швейные. Методы определения разрывной нагрузки, удлинения ниточных швов, раздвигаемости нитей ткани в швах».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Устойчивость окраски по ГОСТ 11209-2014 «Ткани для специальной одежды. Общие технические требования. Методы испытаний».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Допускаемое отклонение размеров деталей нижних настилов не должно превышать отклонений в сторону уменьшения 1,5-2 мм.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Концы швов должны быть закреплены путем прошивания взад-вперед или снабжены закрепкой (с учетом особенностей оборудования).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Входы в карман, разрезы, застежки и др. должны быть дополнительно скреплены на специальных закрепочных машинах, для обеспечения безупречного внешнего вида и продления срока эксплуатации этих элементов.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Все отделочные и закрепляющие строчки не должны быть прерваны или рассечены по лицевой стороне.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Количество стежков и виды применяемых строчек при пошиве изделия должны соответствовать ГОСТ 12807-2003 и ГОСТ 29122-91.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Изделие должно быть укомплектовано запасной пуговицей и лоскутом (-тами) ткани 10*10 см для ремонта изделия.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Фурнитура (нитки, пуговицы, молнии) должна быть устойчива к воздействию пониженных температур, химической чистке, тепловой обработке.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На изделиях должны отсутствовать лишние нитки (ровный шов, обрезанные нитки), также не допускается сваливание строчек с края деталей или пропуск стежков.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Утеплитель должен быть качественно пришит, локально прилегать.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Должно отсутствовать вспучивание полимерных покрытий. 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маркированию</w:t>
            </w:r>
          </w:p>
        </w:tc>
        <w:tc>
          <w:tcPr>
            <w:tcW w:w="70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Маркировка СИЗ должна соответствовать следующим требованиям: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1560" w:leader="none"/>
              </w:tabs>
              <w:suppressAutoHyphens w:val="true"/>
              <w:spacing w:before="0" w:after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1.5.1.1. Каждая единица СИЗ, включая сменные комплектующие изделия, должна иметь маркировку. Маркировка наносится непосредственно на изделие и на его упаковку.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1560" w:leader="none"/>
              </w:tabs>
              <w:suppressAutoHyphens w:val="true"/>
              <w:spacing w:before="0" w:after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Если маркировку невозможно нанести непосредственно на изделие, она наносится на трудноудаляемую этикетку, прикрепленную к изделию. При отсутствии возможности нанесения маркировки в полном объеме непосредственно на само изделие, допускается не наносить часть информации в маркировке, при условии, что соответствующая информация нанесена на индивидуальную упаковку изделия и на прикрепленную к изделию трудноудаляемую этикетку.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1560" w:leader="none"/>
              </w:tabs>
              <w:suppressAutoHyphens w:val="true"/>
              <w:spacing w:before="0" w:after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1.5.1.2. Маркировка, наносимая </w:t>
            </w:r>
            <w:r>
              <w:rPr>
                <w:rFonts w:eastAsia="Calibri" w:cs="Times New Roman"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непосредственно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Calibri" w:cs="Times New Roman"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на изделие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или на трудноудаляемую этикетку, прикрепленную к изделию, должна содержать: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изделия (при наличии – наименование модели, кода, артикула);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изготовителя и (или) его товарный знак (при наличии);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защитные свойства;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(при наличии);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обозначение ТР ТС 019/2011, требованиям которого должно соответствовать СИЗ;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единый знак обращения продукции на рынке государств – членов Таможенного союза;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дату (месяц, год) изготовления или дату окончания срока годности, если она установлена;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сведения о классе защиты и климатическом поясе, определяемом в соответствии с таблицей 3 приложения № 3 к ТР ТС 019/2011 и в котором могут применяться СИЗ (при необходимости);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сведения о способах ухода и требованиях к утилизации СИЗ;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сведения о документе, в соответствии с которым изготовлено СИЗ;</w:t>
            </w:r>
          </w:p>
          <w:p>
            <w:pPr>
              <w:pStyle w:val="Normal"/>
              <w:widowControl w:val="false"/>
              <w:numPr>
                <w:ilvl w:val="0"/>
                <w:numId w:val="9"/>
              </w:numPr>
              <w:tabs>
                <w:tab w:val="clear" w:pos="708"/>
                <w:tab w:val="left" w:pos="0" w:leader="none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другую информацию в соответствии с документацией изготовителя;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1560" w:leader="none"/>
              </w:tabs>
              <w:suppressAutoHyphens w:val="true"/>
              <w:spacing w:before="0" w:after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1.5.1.3. Информация должна наноситься любым рельефным способом (в том числе тиснение, шелкография, гравировка, литье, штамповка) либо трудноудаляемой краской непосредственно на изделие или на трудноудаляемую этикетку, прикрепленную к изделию. Допускается нанесение информации в виде пиктограмм, которые могут использоваться в качестве указателей опасности или области применения СИЗ. Информация должна быть легко читаемой, стойкой при хранении, перевозке, реализации и использовании продукции по назначению в течение всего срока годности, срока службы и (или) гарантийного срока хранения;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1.5.1.4. Маркировка, наносимая на </w:t>
            </w:r>
            <w:r>
              <w:rPr>
                <w:rFonts w:eastAsia="Calibri" w:cs="Times New Roman"/>
                <w:i/>
                <w:color w:val="000000"/>
                <w:kern w:val="0"/>
                <w:sz w:val="24"/>
                <w:szCs w:val="24"/>
                <w:lang w:val="ru-RU" w:eastAsia="ru-RU" w:bidi="ar-SA"/>
              </w:rPr>
              <w:t>упаковку изделия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, должна содержать: 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изделия (при наличии – наименование модели, кода, артикула);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 страны-изготовителя;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наименование, юридический адрес и торговую марку (при наличии) изготовителя;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обозначение ТР ТС 019/2011, требованиям которого должно соответствовать СИЗ;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размер (при наличии);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защитные свойства изделия;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способы ухода за изделием (при необходимости);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дату изготовления, и (или) дату окончания срока годности, если установлены;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срок хранения для СИЗ, теряющих защитные свойства в процессе хранения;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единый знак обращения продукции на рынке государств – членов Таможенного союза;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сведения о классе защиты и климатическом поясе, определяемом в соответствии с таблицей 3 приложения № 3 к ТР ТС 019/2011, и в котором могут применяться СИЗ (при необходимости);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сведения о документе, в соответствии с которым изготовлено СИЗ;</w:t>
            </w:r>
          </w:p>
          <w:p>
            <w:pPr>
              <w:pStyle w:val="Normal"/>
              <w:widowControl w:val="false"/>
              <w:numPr>
                <w:ilvl w:val="0"/>
                <w:numId w:val="10"/>
              </w:numPr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ind w:firstLine="173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другую информацию в соответствии с документацией изготовителя.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Маркировка и эксплуатационные документы выполняются на официальном и государственном(ых) языке(ах) государства(в) – члена(ов) Таможенного союза, за исключением наименования изготовителя и наименования изделия, а также другого текста, входящего в зарегистрированный товарный знак. Допускается одновременное использование нескольких языков государств – членов Таможенного союза. 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suppressAutoHyphens w:val="true"/>
              <w:spacing w:before="0" w:after="0"/>
              <w:ind w:hanging="0" w:left="0"/>
              <w:contextualSpacing/>
              <w:jc w:val="both"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Маркировка СИЗ должна быть разборчивой, легкочитаемой и нанесена на поверхность продукции (этикетки, упаковки), доступную для осмотра без снятия упаковки, разборки или применения инструментов.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1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характеристикам продукции </w:t>
            </w:r>
          </w:p>
        </w:tc>
        <w:tc>
          <w:tcPr>
            <w:tcW w:w="34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костюму летнему для защиты от ОПЗ для ИТР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Позиция №1 в Таблице 1 настоящих ТТ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7087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Костюм для защиты от механических воздействий и ОПЗ мужской для руководителей состоит из куртки и брюк, предназначен для защиты от общих производственных загрязнений и Ми З. Должен соответствовать ТР ТС 019/2011 и изготавливаться с учетом требований ГОСТ 12.4.280-2014.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Куртка: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- прямой.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 эластичная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, дышащая, с малосминаемой отделкой.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Центральная застежка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на молнию с ветрозащитным клапаном на потайных кнопках. Закрытая молния исключает контакт фурнитуры с оборудованием.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Воротник-стойка.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Рукава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анатомического кроя соответствуют основному положению рук при работе.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Налокотники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объемные, из прочной ткани устойчивой к износу и истиранию.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Манжеты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 силиконовыми патами и кнопками для регулировки ширины.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Эргономичные фигурные складки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 трикотажными вставками на спинке обеспечивают свободу движения.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Защита от излучения телефона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– специальная экранирующая ткань внутри правого нагрудного кармана.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Карманы: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комбинированные нагрудные карманы с отлетным низом: правый с внутренней деталью из экранирующей ткани, с клапаном и полукольцом для крепления мелких предметов, под клапаном петля для крепления бейджа; левый фиксируется на потайную кнопку и имеет несколько отделений; слева нагрудный вертикальный карман на молнии;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нижние боковые карманы – вертикальные в рельефных швах, на молнии.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Пояс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 патами на кнопках по бокам для регулирования объема.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Элементы повышенной видимости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11" w:leader="none"/>
              </w:tabs>
              <w:suppressAutoHyphens w:val="true"/>
              <w:spacing w:before="0" w:after="0"/>
              <w:ind w:firstLine="142" w:left="-15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световозвращающие термопринты темно-серого цвета с точечным покрытием в области плеч спереди и на патах манжет и пояса;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11" w:leader="none"/>
              </w:tabs>
              <w:suppressAutoHyphens w:val="true"/>
              <w:spacing w:before="0" w:after="0"/>
              <w:ind w:firstLine="142" w:left="-15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световозвращающий принт для пиктограмм защитных свойств на поясе куртки;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tabs>
                <w:tab w:val="clear" w:pos="708"/>
                <w:tab w:val="left" w:pos="411" w:leader="none"/>
              </w:tabs>
              <w:suppressAutoHyphens w:val="true"/>
              <w:spacing w:lineRule="auto" w:line="276" w:before="0" w:after="0"/>
              <w:ind w:firstLine="142" w:left="-15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плоский световозвращающий кант шириной 3 мм на полочках и спинке, вверху передних и локтевых швов рукавов.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Ткань: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(62% полиэфир, 33% хлопок, 5% эластолефин) с малосминаемой отделкой, плотность 245 г/кв.м, цвет темно серый.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Ткань отделочная: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(65% полиэфир, 35% хлопок) с малосминаемой отделкой, с тиснением, плотность 245 г/кв.м, цвет темно-серый.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Ткань защитная: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«плотность 295 г/кв.м, цвет черный.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световозвращающий кант и принты с точечным покрытием темно-серого цвета.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Брюки:</w:t>
            </w:r>
            <w:bookmarkStart w:id="53" w:name="_GoBack"/>
            <w:bookmarkEnd w:id="53"/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прямой.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 эластичная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, дышащая, с малосминаемой отделкой.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Застежка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 молнию и пуговицу.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Пояс раздвижной регулируемый,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 эластичной тесьмой по бокам и со шлевками для ремня.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8 многофункциональных карманов: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- 2 боковых спереди;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- 2 накладных на боковых швах с отлетным низом, левый – с клапаном на липучке, правый – с несколькими отделениями;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- 2 накладных задних с отлетным низом, правый – с клапаном на липучке.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Наколенники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объемные, с вытачками для объема, выполнены из прочной ткани для защиты от истирания, одновременно являются карманами для амортизационных вкладышей.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Трикотажные вставки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под складками над наколенниками.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Вентиляционные отверстия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на молнии с сеткой. Сетка – для защиты от проникновения насекомых.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Элементы повышенной видимости: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световозвращающие термопринты темно-серого цвета с точечным покрытием вдоль боковых швов;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плоский световозвращающий кант шириной 3 мм по боковым швам и на накладных карманах.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(62% полиэфир, 33% хлопок, 5% эластолефин) с малосминаемой отделкой, плотность 245 г/кв.м.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 защитная: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 плотность 295 г/кв.м.</w:t>
              <w:br/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световозвращающий кант и принты с точечным покрытием темно-серого цвета.</w:t>
              <w:br/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Цвет: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темно-серый, отделка – черный.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Каждый костюм должен быть упакован в индивидуальный полиэтиленовый пакет.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Для маркировки готовых изделий должны применяться: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товарный ярлык;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контрольная лента;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инструкция по эксплуатации.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Обязательная форма подтверждения соответствия ТР ТС 019-2011 - декларация о соответствии (предоставляется при поставке СИЗ).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1" w:leader="none"/>
                <w:tab w:val="center" w:pos="951" w:leader="none"/>
              </w:tabs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/>
                <w:b w:val="false"/>
                <w:i w:val="false"/>
                <w:caps w:val="false"/>
                <w:smallCaps w:val="false"/>
                <w:color w:val="2C2D2E"/>
                <w:spacing w:val="0"/>
                <w:kern w:val="0"/>
                <w:sz w:val="24"/>
                <w:szCs w:val="24"/>
                <w:lang w:val="ru-RU" w:eastAsia="ru-RU" w:bidi="ar-SA"/>
              </w:rPr>
              <w:t>Предоставить в составе заявки протоколы испытаний, подтверждающие защитные и эксплуатационные свойства</w:t>
            </w:r>
          </w:p>
        </w:tc>
      </w:tr>
      <w:tr>
        <w:trPr/>
        <w:tc>
          <w:tcPr>
            <w:tcW w:w="90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костюму летнему для защиты от ОПЗ для ИТР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Позиция №2 в Таблице 1 настоящих ТТ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708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Костюм для защиты от механических воздействий и ОПЗ мужской состоит из куртки и брюк, предназначен для защиты от общих производственных загрязнений и Ми З. Должен соответствовать ТР ТС 019/2011 и изготавливаться с учетом требований ГОСТ 12.4.280-2014.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iCs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Куртка: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- прямой.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Центральная застежка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на молнию с ветрозащитным клапаном на потайных кнопках. Закрытая молния исключает контакт фурнитуры с оборудованием.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Воротник-стойка.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Рукава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анатомического кроя соответствуют основному положению рук при работе.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Кнопки</w:t>
            </w:r>
            <w:r>
              <w:rPr>
                <w:color w:val="000000"/>
                <w:sz w:val="24"/>
                <w:szCs w:val="24"/>
              </w:rPr>
              <w:t xml:space="preserve"> на ветрозащитном клапане расположены на усилительной тесьме контрастного цвета - для защиты ткани от повреждения.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Налокотники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объемные, из прочной ткани устойчивой к износу и истиранию.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Манжеты 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регулируются по ширине при помощи кнопки.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Эргономичные фигурные складки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 трикотажными вставками на спинке обеспечивают свободу движения.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Карманы: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нагрудных кармана с клапанами на кнопках и с отлетным низом - правый с объемом, левый - с дополнительными отделениями для карандашей/ручек;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нагрудный вертикальный - для документов;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нижних боковых на молнии;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на  рукаве на молнии, с двумя отделениями для карандашей/ручек.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Пояс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 патами на кнопках по бокам для регулирования объема.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Ткань: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(67% полиэфир, 33% хлопок,), плотность 245 г/кв.м.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световозвращающий кант и принты.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Цвет: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темно-синий, отделка – флуоресцентный красный и голубой.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Брюки:</w:t>
            </w:r>
            <w:bookmarkStart w:id="54" w:name="_GoBack_Копия_2"/>
            <w:bookmarkEnd w:id="54"/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прямой.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Застежка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 молнию и пуговицу.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Пояс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раздвижной.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Карманы: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боковых спереди, внутри правого дополнительный маленький карман;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накладных на боковых швах, с отлетным низом, с клапаном на кнопках, с держателями из тесьмы;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накладных задних с отлетным низом.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Наколенники 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усиленные – для защиты основной ткани от истирания.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(67% полиэфир, 33% хлопок) плотность 245 г/кв.м.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: световозвращающий кант и принты.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Цвет: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темно-синий, отделка – флуоресцентный красный и голубой.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Для маркировки готовых изделий должны применяться: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товарный ярлык;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контрольная лента;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инструкция по эксплуатации.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Обязательная форма подтверждения соответствия ТР ТС 019-2011 - декларация о соответствии (предоставляется при поставке СИЗ).</w:t>
            </w:r>
          </w:p>
        </w:tc>
        <w:tc>
          <w:tcPr>
            <w:tcW w:w="346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1" w:leader="none"/>
                <w:tab w:val="center" w:pos="951" w:leader="none"/>
              </w:tabs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2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костюму летнему для защиты от ОПЗ для ИТР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Позиция №3 в Таблице 1 настоящих ТТ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708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Костюм для защиты от механических воздействий и ОПЗ женский состоит из куртки и брюк, предназначен для защиты от общих производственных загрязнений и Ми З. Должен соответствовать ТР ТС 019/2011 и изготавливаться с учетом требований ГОСТ 12.4.280-2014.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iCs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Куртка: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- прямой.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Центральная застежка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на молнию с ветрозащитным клапаном на потайных кнопках. Закрытая молния исключает контакт фурнитуры с оборудованием.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Воротник-стойка.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Рукава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анатомического кроя соответствуют основному положению рук при работе.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Кнопки</w:t>
            </w:r>
            <w:r>
              <w:rPr>
                <w:color w:val="000000"/>
                <w:sz w:val="24"/>
                <w:szCs w:val="24"/>
              </w:rPr>
              <w:t xml:space="preserve"> на ветрозащитном клапане расположены на усилительной тесьме контрастного цвета - для защиты ткани от повреждения.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Манжеты 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регулируются по ширине при помощи кнопки.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Эргономичные фигурные складки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 с трикотажными вставками на спинке обеспечивают свободу движения.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Карманы: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нагрудных кармана с клапанами на кнопках и с отлетным низом - правый с объемом, левый - с дополнительными отделениями для карандашей/ручек;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нагрудный вертикальный - для документов;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нижних боковых на молнии;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1 на  рукаве на молнии, с двумя отделениями для карандашей/ручек.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Пояс</w:t>
            </w:r>
            <w:r>
              <w:rPr>
                <w:rFonts w:eastAsia="Times New Roman" w:cs="Times New Roman"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-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 патами на кнопках по бокам для регулирования объема.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Ткань: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(67% полиэфир, 33% хлопок,), плотность 245 г/кв.м.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световозвращающий кант и принты.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Цвет: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темно-синий, отделка – флуоресцентный красный и голубой.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i/>
                <w:i/>
                <w:i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Брюки:</w:t>
            </w:r>
            <w:bookmarkStart w:id="55" w:name="_GoBack_Копия_2_Копия_1"/>
            <w:bookmarkEnd w:id="55"/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прямой.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Застежка 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на молнию и пуговицу.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Пояс 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раздвижной.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Карманы: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боковых спереди, внутри правого дополнительный маленький карман;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накладных на боковых швах, с отлетным низом, с клапаном на кнопках, с держателями из тесьмы;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 накладных задних с отлетным низом.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Наколенники 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>усиленные – для защиты основной ткани от истирания.</w:t>
            </w:r>
          </w:p>
          <w:p>
            <w:pPr>
              <w:pStyle w:val="Normal"/>
              <w:widowControl w:val="false"/>
              <w:numPr>
                <w:ilvl w:val="0"/>
                <w:numId w:val="13"/>
              </w:numPr>
              <w:suppressAutoHyphens w:val="true"/>
              <w:spacing w:lineRule="auto" w:line="276" w:before="0" w:after="0"/>
              <w:ind w:hanging="360" w:left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Боковые</w:t>
            </w:r>
            <w:r>
              <w:rPr>
                <w:rFonts w:eastAsia="Times New Roman" w:cs="Times New Roman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эластичные вставки на поясе обеспечивают комфортную посадку по фигуре.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смесовая (67% полиэфир, 33% хлопок) плотность 245 </w:t>
            </w: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при поставке СИЗ).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световозвращающий кант и принты.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Цвет: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темно-синий, отделка – флуоресцентный красный и голубой.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Для маркировки готовых изделий должны применяться: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товарный ярлык;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контрольная лента;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инструкция по эксплуатации.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Обязательная форма подтверждения соответствия ТР ТС 019-2011 - декларация о соответствии (предоставляется при поставке СИЗ).</w:t>
            </w:r>
          </w:p>
        </w:tc>
        <w:tc>
          <w:tcPr>
            <w:tcW w:w="346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1" w:leader="none"/>
                <w:tab w:val="center" w:pos="951" w:leader="none"/>
              </w:tabs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2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1"/>
                <w:numId w:val="8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куртке демисезонной для защиты от ОПЗ для ИТР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Позиция №4 в Таблице 1 настоящих ТТ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)</w:t>
            </w:r>
          </w:p>
        </w:tc>
        <w:tc>
          <w:tcPr>
            <w:tcW w:w="7087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Куртка мужская демисезонная, куртка-ветровка прямого силуэта, удлиненная, подходит для ношения с пиджаком, для защиты от механических воздействий и ОПЗ, предназначена для защиты от общих производственных загрязнений и Ми З. Должен соответствовать ТР ТС 019/2011.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i/>
                <w:iCs/>
                <w:color w:val="000000"/>
                <w:kern w:val="0"/>
                <w:sz w:val="24"/>
                <w:szCs w:val="24"/>
                <w:u w:val="single"/>
                <w:lang w:val="ru-RU" w:eastAsia="ru-RU" w:bidi="ar-SA"/>
              </w:rPr>
              <w:t>Куртка-ветровка: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Силуэт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— прямой, удлиненный.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Планка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под молнией огибает замок сверху, чтобы исключить контакт фурнитуры с кожей.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Все швы герметичные, проклеены специальной лентой.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Воротник-стойка.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Застежка на двухзамковую молнию – удобно расстегивать снизу при работе в положении сидя.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Внешний ветрозащитный клапан фиксируется на магнитные кнопки.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Капюшон с козырьком и кулиской для регулировки объема. При необходимости капюшон можно убрать в стойку воротника.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Кулиска по низу куртки предназначена для регулировки объема и является дополнительной защитой от осадков и ветра.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Манжеты на рукавах регулируются по ширине при помощи кнопки.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Карманы: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нагрудных на молнии, закрыты клапанами;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нижних боковых с клапанами на потайной магнитной кнопке;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внутренних нагрудных на молнии</w:t>
            </w:r>
          </w:p>
          <w:p>
            <w:pPr>
              <w:pStyle w:val="Normal"/>
              <w:widowControl w:val="false"/>
              <w:numPr>
                <w:ilvl w:val="0"/>
                <w:numId w:val="12"/>
              </w:numPr>
              <w:suppressAutoHyphens w:val="true"/>
              <w:spacing w:before="0" w:after="0"/>
              <w:ind w:hanging="360" w:left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Ткань куртки-ветровки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: 100% полиэфир с микропористым антистатическим мембранным покрытием (водоупорность 10 000 мм вод.ст., паропроницаемость 13 000 г/кв.м за 24 часа), ветрозащитная, с водоотталкивающей отделкой, плотность 150 г/кв.м.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Подкладка куртки-ветровки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: 100% полиэфир, плотность 60 г/кв.м.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Сигнальные элементы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: световозвращающие принты и кант. 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Цвет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: темно-серый.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82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b/>
                <w:color w:val="000000"/>
                <w:kern w:val="0"/>
                <w:sz w:val="24"/>
                <w:szCs w:val="24"/>
                <w:lang w:val="ru-RU" w:eastAsia="ru-RU" w:bidi="ar-SA"/>
              </w:rPr>
              <w:t>Для маркировки готовых изделий должны применяться: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товарный ярлык;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контрольная лента;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- инструкция по эксплуатации.</w:t>
            </w:r>
          </w:p>
          <w:p>
            <w:pPr>
              <w:pStyle w:val="Normal"/>
              <w:widowControl w:val="false"/>
              <w:numPr>
                <w:ilvl w:val="2"/>
                <w:numId w:val="8"/>
              </w:numPr>
              <w:tabs>
                <w:tab w:val="clear" w:pos="708"/>
                <w:tab w:val="left" w:pos="860" w:leader="none"/>
              </w:tabs>
              <w:suppressAutoHyphens w:val="true"/>
              <w:spacing w:before="0" w:after="0"/>
              <w:ind w:firstLine="40" w:left="0"/>
              <w:contextualSpacing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Обязательная форма подтверждения соответствия ТР ТС 019-2011 - декларация о соответствии (предоставляется при поставке СИЗ).</w:t>
            </w:r>
          </w:p>
        </w:tc>
        <w:tc>
          <w:tcPr>
            <w:tcW w:w="3464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01" w:leader="none"/>
                <w:tab w:val="center" w:pos="951" w:leader="none"/>
              </w:tabs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208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/>
            </w:r>
          </w:p>
        </w:tc>
      </w:tr>
      <w:tr>
        <w:trPr/>
        <w:tc>
          <w:tcPr>
            <w:tcW w:w="90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8"/>
              </w:numPr>
              <w:suppressAutoHyphens w:val="true"/>
              <w:spacing w:before="60" w:after="60"/>
              <w:ind w:hanging="0" w:left="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1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упаковке, транспортировке, перемещению, условиям хранения, приемке</w:t>
            </w:r>
          </w:p>
        </w:tc>
        <w:tc>
          <w:tcPr>
            <w:tcW w:w="34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1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20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zh-CN" w:bidi="ar-SA"/>
              </w:rPr>
              <w:t>Место поставки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zh-CN" w:bidi="ar-SA"/>
              </w:rPr>
              <w:t xml:space="preserve">РФ, Пермский край, </w:t>
            </w: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zh-CN" w:bidi="ar-SA"/>
              </w:rPr>
              <w:t>г.Пермь,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  <w:lang w:eastAsia="zh-CN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zh-CN" w:bidi="ar-SA"/>
              </w:rPr>
              <w:t>ул Соликамская 329, нижняя проходная Камской ГЭС</w:t>
            </w:r>
          </w:p>
        </w:tc>
        <w:tc>
          <w:tcPr>
            <w:tcW w:w="34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 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ind w:hanging="0" w:left="-11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>3.2.</w:t>
            </w:r>
          </w:p>
        </w:tc>
        <w:tc>
          <w:tcPr>
            <w:tcW w:w="202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zh-CN" w:bidi="ar-SA"/>
              </w:rPr>
              <w:t>Требования к упаковке и доставке</w:t>
            </w:r>
          </w:p>
        </w:tc>
        <w:tc>
          <w:tcPr>
            <w:tcW w:w="7087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экстремальных температур, соли, осадков во время транспортировки. Поставщик несёт ответственность за качество упаковки. Поставщик должен обеспечить поставку продукции собственными силами и средствами.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При любом способе доставки продукции Поставщик обязуется согласовывать с Покупателем в письменном виде дату, время доставки, вид и государственный регистрационный номер автотранспорта, ФИО работников, доставляющих заказ, не позднее 3-х дней, предшествующих дню поставки.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57" w:leader="none"/>
              </w:tabs>
              <w:suppressAutoHyphens w:val="true"/>
              <w:spacing w:before="0" w:after="0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ru-RU" w:eastAsia="zh-CN" w:bidi="ar-SA"/>
              </w:rPr>
              <w:t>Поставка производится на склад Грузополучателя в г. Пермь, в рабочие дни с 8-00 до 12-00 и с 13-00 до 16-00 (по местному времени).</w:t>
            </w:r>
          </w:p>
        </w:tc>
        <w:tc>
          <w:tcPr>
            <w:tcW w:w="34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 </w:t>
            </w:r>
          </w:p>
        </w:tc>
      </w:tr>
      <w:tr>
        <w:trPr/>
        <w:tc>
          <w:tcPr>
            <w:tcW w:w="908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ind w:firstLine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1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34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ind w:firstLine="142" w:left="-11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Срок гарантии</w:t>
            </w:r>
          </w:p>
        </w:tc>
        <w:tc>
          <w:tcPr>
            <w:tcW w:w="708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Гарантийный срок на продукцию должен соответствовать гарантии, заявленной производителем, и исчисляется со дня подписания соответствующих Товарных накладных унифицированной формы ТОРГ-12 (или УПД).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 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0"/>
                <w:numId w:val="11"/>
              </w:numPr>
              <w:suppressAutoHyphens w:val="true"/>
              <w:spacing w:before="60" w:after="60"/>
              <w:ind w:firstLine="37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910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3464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08" w:type="dxa"/>
            <w:tcBorders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908" w:type="dxa"/>
            <w:tcBorders/>
          </w:tcPr>
          <w:p>
            <w:pPr>
              <w:pStyle w:val="Normal"/>
              <w:widowControl w:val="false"/>
              <w:numPr>
                <w:ilvl w:val="1"/>
                <w:numId w:val="11"/>
              </w:numPr>
              <w:suppressAutoHyphens w:val="true"/>
              <w:spacing w:before="60" w:after="60"/>
              <w:ind w:firstLine="142" w:left="-117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0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iCs/>
                <w:kern w:val="0"/>
                <w:sz w:val="24"/>
                <w:szCs w:val="24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7087" w:type="dxa"/>
            <w:tcBorders>
              <w:top w:val="outset" w:sz="6" w:space="0" w:color="000000"/>
              <w:bottom w:val="outset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предоставить: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-Товарную накладную унифицированной формы ТОРГ-12 (или УПД) в 2 экз.;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-Сертификаты соответствия, декларации о соответствии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Руководство (инструкция) по эксплуатации, уходу и ремонту СИЗ.</w:t>
            </w:r>
          </w:p>
        </w:tc>
        <w:tc>
          <w:tcPr>
            <w:tcW w:w="346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0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–  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1812" w:gutter="0" w:header="680" w:top="851" w:footer="0" w:bottom="993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0"/>
        </w:numPr>
        <w:spacing w:before="120" w:after="60"/>
        <w:ind w:hanging="0" w:left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7"/>
      <w:headerReference w:type="first" r:id="rId8"/>
      <w:type w:val="nextPage"/>
      <w:pgSz w:w="11906" w:h="16838"/>
      <w:pgMar w:left="1276" w:right="709" w:gutter="0" w:header="284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613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118" w:hanging="432"/>
      </w:pPr>
      <w:rPr>
        <w:sz w:val="28"/>
        <w:i w:val="false"/>
        <w:b/>
        <w:szCs w:val="28"/>
        <w:iCs/>
        <w:bCs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b w:val="false"/>
        <w:szCs w:val="24"/>
        <w:rFonts w:ascii="Times New Roman" w:hAnsi="Times New Roman" w:cs="Times New Roman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4"/>
      <w:numFmt w:val="decimal"/>
      <w:lvlText w:val="%1."/>
      <w:lvlJc w:val="left"/>
      <w:pPr>
        <w:tabs>
          <w:tab w:val="num" w:pos="0"/>
        </w:tabs>
        <w:ind w:left="928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00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b w:val="false"/>
        <w:szCs w:val="24"/>
        <w:color w:val="000000" w:themeColor="text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/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cb6c1f"/>
    <w:pPr>
      <w:keepNext w:val="true"/>
      <w:numPr>
        <w:ilvl w:val="2"/>
        <w:numId w:val="3"/>
      </w:numPr>
      <w:spacing w:before="120" w:after="60"/>
      <w:jc w:val="both"/>
      <w:outlineLvl w:val="2"/>
    </w:pPr>
    <w:rPr>
      <w:rFonts w:eastAsia="Calibri"/>
      <w:b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hanging="432" w:left="4118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>
    <w:name w:val="Strong1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cb6c1f"/>
    <w:rPr>
      <w:rFonts w:eastAsia="Calibri"/>
      <w:b/>
      <w:sz w:val="28"/>
      <w:szCs w:val="28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8"/>
      <w:szCs w:val="28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HTML" w:customStyle="1">
    <w:name w:val="Стандартный HTML Знак"/>
    <w:basedOn w:val="DefaultParagraphFont"/>
    <w:link w:val="HTMLPreformatted"/>
    <w:qFormat/>
    <w:rsid w:val="00ad7df8"/>
    <w:rPr>
      <w:rFonts w:ascii="Courier New" w:hAnsi="Courier New" w:cs="Courier New"/>
    </w:rPr>
  </w:style>
  <w:style w:type="character" w:styleId="Style14" w:customStyle="1">
    <w:name w:val="Ссылка указателя"/>
    <w:qFormat/>
    <w:rPr/>
  </w:style>
  <w:style w:type="character" w:styleId="Style15">
    <w:name w:val="Маркеры"/>
    <w:qFormat/>
    <w:rPr>
      <w:rFonts w:ascii="OpenSymbol" w:hAnsi="OpenSymbol" w:eastAsia="OpenSymbol" w:cs="OpenSymbol"/>
    </w:rPr>
  </w:style>
  <w:style w:type="character" w:styleId="Strong2">
    <w:name w:val="Strong2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HTMLPreformatted">
    <w:name w:val="HTML Preformatted"/>
    <w:basedOn w:val="Normal"/>
    <w:link w:val="HTML"/>
    <w:qFormat/>
    <w:rsid w:val="00ad7df8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>
    <w:name w:val="Содержимое таблицы"/>
    <w:basedOn w:val="Normal"/>
    <w:qFormat/>
    <w:pPr>
      <w:widowControl w:val="false"/>
      <w:suppressLineNumbers/>
    </w:pPr>
    <w:rPr/>
  </w:style>
  <w:style w:type="paragraph" w:styleId="Style36">
    <w:name w:val="Заголовок таблицы"/>
    <w:basedOn w:val="Style35"/>
    <w:qFormat/>
    <w:pPr>
      <w:suppressLineNumbers/>
      <w:jc w:val="center"/>
    </w:pPr>
    <w:rPr>
      <w:b/>
      <w:bCs/>
    </w:rPr>
  </w:style>
  <w:style w:type="paragraph" w:styleId="ListNumber">
    <w:name w:val="List Number"/>
    <w:basedOn w:val="Normal"/>
    <w:qFormat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e">
    <w:name w:val="Сетка таблицы2"/>
    <w:basedOn w:val="a5"/>
    <w:uiPriority w:val="39"/>
    <w:rsid w:val="002070a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BFDFC-EF84-449B-8217-93362E4A7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22429</TotalTime>
  <Application>AlterOffice/2026.2.0.0$Linux_X86_64 LibreOffice_project/bc4ef1adf80b36c7a6365f8ed6cbf29021361edd</Application>
  <AppVersion>15.0000</AppVersion>
  <Pages>21</Pages>
  <Words>2938</Words>
  <Characters>18772</Characters>
  <CharactersWithSpaces>21289</CharactersWithSpaces>
  <Paragraphs>358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2025-03-25T11:02:00Z</dcterms:created>
  <dc:creator>Быстров Олег Геннадьевич</dc:creator>
  <dc:description/>
  <dc:language>ru-RU</dc:language>
  <cp:lastModifiedBy>bezmaternyheb@corp.gidroogk.com</cp:lastModifiedBy>
  <cp:lastPrinted>2026-10-14T15:00:58Z</cp:lastPrinted>
  <dcterms:modified xsi:type="dcterms:W3CDTF">2026-10-16T09:11:44Z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