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567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32"/>
        </w:rPr>
      </w:pPr>
      <w:r>
        <w:rPr>
          <w:rFonts w:eastAsia="Calibri"/>
          <w:b/>
          <w:sz w:val="32"/>
        </w:rPr>
        <w:t xml:space="preserve">Технические требования </w:t>
      </w:r>
    </w:p>
    <w:p>
      <w:pPr>
        <w:pStyle w:val="Normal"/>
        <w:keepNext w:val="true"/>
        <w:keepLines/>
        <w:jc w:val="center"/>
        <w:rPr>
          <w:b/>
          <w:sz w:val="32"/>
        </w:rPr>
      </w:pPr>
      <w:r>
        <w:rPr>
          <w:b/>
          <w:sz w:val="32"/>
        </w:rPr>
      </w:r>
    </w:p>
    <w:p>
      <w:pPr>
        <w:pStyle w:val="Normal"/>
        <w:jc w:val="center"/>
        <w:rPr>
          <w:rFonts w:eastAsia="Calibri"/>
        </w:rPr>
      </w:pPr>
      <w:r>
        <w:rPr>
          <w:rFonts w:eastAsia="Calibri"/>
        </w:rPr>
        <w:t>ОКПД2 49.41.20.000 Оказание услуг по предоставлению спецтехники с экипажем для нужд Воткинского филиала</w:t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/>
      </w:pPr>
      <w:r>
        <w:rPr>
          <w:rFonts w:eastAsia="Calibri"/>
        </w:rPr>
        <w:t>Л</w:t>
      </w:r>
      <w:r>
        <w:rPr>
          <w:rFonts w:eastAsia="Calibri"/>
          <w:color w:val="000000"/>
        </w:rPr>
        <w:t>от 0001-ТПиР БЕЗОП ДОХ-2027-ГРВКК-ВотФ-Стор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keepNext w:val="true"/>
        <w:keepLines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10196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  <w:rFonts w:eastAsia="Calibri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  <w:rFonts w:eastAsia="Calibri"/>
            </w:rPr>
            <w:fldChar w:fldCharType="separate"/>
          </w:r>
          <w:hyperlink w:anchor="_Toc212809314">
            <w:r>
              <w:rPr>
                <w:webHidden/>
                <w:rStyle w:val="Style14"/>
                <w:rFonts w:eastAsia="Calibri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_Toc212809314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10196" w:leader="dot"/>
            </w:tabs>
            <w:rPr/>
          </w:pPr>
          <w:hyperlink w:anchor="_Toc212809315">
            <w:r>
              <w:rPr>
                <w:webHidden/>
                <w:rStyle w:val="Style14"/>
                <w:rFonts w:eastAsia="Calibri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_Toc212809315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10196" w:leader="dot"/>
            </w:tabs>
            <w:rPr/>
          </w:pPr>
          <w:hyperlink w:anchor="_Toc212809316">
            <w:r>
              <w:rPr>
                <w:webHidden/>
                <w:rStyle w:val="Style14"/>
                <w:rFonts w:eastAsia="Calibri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_Toc212809316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10196" w:leader="dot"/>
            </w:tabs>
            <w:rPr/>
          </w:pPr>
          <w:hyperlink w:anchor="_Toc212809317">
            <w:r>
              <w:rPr>
                <w:webHidden/>
                <w:rStyle w:val="Style14"/>
                <w:rFonts w:eastAsia="Calibri"/>
                <w:iCs/>
                <w:vanish w:val="false"/>
                <w:sz w:val="24"/>
                <w:szCs w:val="24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_Toc212809317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10196" w:leader="dot"/>
            </w:tabs>
            <w:rPr/>
          </w:pPr>
          <w:hyperlink w:anchor="_Toc212809318">
            <w:r>
              <w:rPr>
                <w:webHidden/>
                <w:rStyle w:val="Style14"/>
                <w:rFonts w:eastAsia="Calibri"/>
                <w:vanish w:val="false"/>
              </w:rPr>
              <w:t>Таблица 1. Перечень объектов заказчика.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_Toc212809318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10196" w:leader="dot"/>
            </w:tabs>
            <w:rPr/>
          </w:pPr>
          <w:hyperlink w:anchor="_Toc212809319">
            <w:r>
              <w:rPr>
                <w:webHidden/>
                <w:rStyle w:val="Style14"/>
                <w:rFonts w:eastAsia="Calibri"/>
                <w:iCs/>
                <w:vanish w:val="false"/>
                <w:sz w:val="24"/>
                <w:szCs w:val="24"/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</w:rPr>
              <w:t>Иные требования и сведения общего характера.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_Toc212809319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10196" w:leader="dot"/>
            </w:tabs>
            <w:rPr/>
          </w:pPr>
          <w:hyperlink w:anchor="_Toc212809320">
            <w:r>
              <w:rPr>
                <w:webHidden/>
                <w:rStyle w:val="Style14"/>
                <w:rFonts w:eastAsia="Calibri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rFonts w:eastAsia="Calibri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_Toc212809320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560" w:leader="none"/>
              <w:tab w:val="right" w:pos="10196" w:leader="dot"/>
            </w:tabs>
            <w:rPr/>
          </w:pPr>
          <w:hyperlink w:anchor="_Toc212809321">
            <w:r>
              <w:rPr>
                <w:webHidden/>
                <w:rStyle w:val="Style14"/>
                <w:rFonts w:eastAsia="Calibri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</w:rPr>
              <w:t>Требования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_Toc212809321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560" w:leader="none"/>
              <w:tab w:val="right" w:pos="10196" w:leader="dot"/>
            </w:tabs>
            <w:rPr/>
          </w:pPr>
          <w:hyperlink w:anchor="_Toc212809322">
            <w:r>
              <w:rPr>
                <w:webHidden/>
                <w:rStyle w:val="Style14"/>
                <w:rFonts w:eastAsia="Calibri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</w:rPr>
              <w:t>Требования к перечню и объему услуг</w:t>
            </w:r>
            <w:r>
              <w:rPr>
                <w:rStyle w:val="Style14"/>
                <w:sz w:val="24"/>
                <w:szCs w:val="24"/>
              </w:rPr>
              <w:tab/>
            </w:r>
          </w:hyperlink>
          <w:r>
            <w:rPr>
              <w:sz w:val="24"/>
              <w:szCs w:val="24"/>
            </w:rPr>
            <w:t>4</w:t>
          </w:r>
        </w:p>
        <w:p>
          <w:pPr>
            <w:pStyle w:val="TOC1"/>
            <w:tabs>
              <w:tab w:val="clear" w:pos="708"/>
              <w:tab w:val="right" w:pos="10196" w:leader="dot"/>
            </w:tabs>
            <w:rPr/>
          </w:pPr>
          <w:hyperlink w:anchor="_Toc212809323">
            <w:r>
              <w:rPr>
                <w:webHidden/>
                <w:rStyle w:val="Style14"/>
                <w:rFonts w:eastAsia="Calibri"/>
                <w:vanish w:val="false"/>
              </w:rPr>
              <w:t>Таблица 2. Перечень и объем оказываемых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_Toc212809323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10196" w:leader="dot"/>
            </w:tabs>
            <w:rPr/>
          </w:pPr>
          <w:hyperlink w:anchor="_Toc212809324">
            <w:r>
              <w:rPr>
                <w:webHidden/>
                <w:rStyle w:val="Style14"/>
                <w:rFonts w:eastAsia="Calibri"/>
                <w:vanish w:val="false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_Toc212809324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10196" w:leader="dot"/>
            </w:tabs>
            <w:rPr/>
          </w:pPr>
          <w:hyperlink w:anchor="_Toc212809325">
            <w:r>
              <w:rPr>
                <w:webHidden/>
                <w:rStyle w:val="Style14"/>
                <w:rFonts w:eastAsia="Calibri"/>
                <w:vanish w:val="false"/>
              </w:rPr>
              <w:t>Таблица 3. 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_Toc212809325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clear" w:pos="708"/>
              <w:tab w:val="left" w:pos="560" w:leader="none"/>
              <w:tab w:val="right" w:pos="10196" w:leader="dot"/>
            </w:tabs>
            <w:rPr/>
          </w:pPr>
          <w:hyperlink w:anchor="_Toc212809326">
            <w:r>
              <w:rPr>
                <w:webHidden/>
                <w:rStyle w:val="Style14"/>
                <w:rFonts w:eastAsia="Calibri"/>
                <w:iCs/>
                <w:vanish w:val="false"/>
                <w:sz w:val="24"/>
                <w:szCs w:val="24"/>
                <w:lang w:val="x-none" w:eastAsia="x-none"/>
              </w:rPr>
              <w:t>2.3.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  <w:lang w:val="x-none" w:eastAsia="x-none"/>
              </w:rPr>
              <w:t xml:space="preserve">Требования к </w:t>
            </w:r>
            <w:r>
              <w:rPr>
                <w:rStyle w:val="Style14"/>
                <w:rFonts w:eastAsia="Calibri"/>
                <w:sz w:val="24"/>
                <w:szCs w:val="24"/>
                <w:lang w:eastAsia="x-none"/>
              </w:rPr>
              <w:t>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_Toc212809326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10196" w:leader="dot"/>
            </w:tabs>
            <w:rPr/>
          </w:pPr>
          <w:hyperlink w:anchor="_Toc212809327">
            <w:r>
              <w:rPr>
                <w:webHidden/>
                <w:rStyle w:val="Style14"/>
                <w:rFonts w:eastAsia="Calibri"/>
                <w:vanish w:val="false"/>
                <w:lang w:val="x-none" w:eastAsia="x-none"/>
              </w:rPr>
              <w:t>Таблица </w:t>
            </w:r>
            <w:r>
              <w:rPr>
                <w:rStyle w:val="Style14"/>
                <w:rFonts w:eastAsia="Calibri"/>
                <w:lang w:eastAsia="x-none"/>
              </w:rPr>
              <w:t>4</w:t>
            </w:r>
            <w:r>
              <w:rPr>
                <w:rStyle w:val="Style14"/>
                <w:rFonts w:eastAsia="Calibri"/>
                <w:lang w:val="x-none" w:eastAsia="x-none"/>
              </w:rPr>
              <w:t xml:space="preserve">. Требования к </w:t>
            </w:r>
            <w:r>
              <w:rPr>
                <w:rStyle w:val="Style14"/>
                <w:rFonts w:eastAsia="Calibri"/>
                <w:lang w:eastAsia="x-none"/>
              </w:rPr>
              <w:t>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_Toc212809327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10196" w:leader="dot"/>
            </w:tabs>
            <w:rPr/>
          </w:pPr>
          <w:hyperlink w:anchor="_Toc212809328">
            <w:r>
              <w:rPr>
                <w:webHidden/>
                <w:rStyle w:val="Style14"/>
                <w:rFonts w:eastAsia="Calibri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rFonts w:eastAsia="Calibri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_Toc212809328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rFonts w:eastAsia="" w:eastAsiaTheme="minorEastAsia"/>
        </w:rPr>
      </w:pPr>
      <w:r>
        <w:rPr>
          <w:rFonts w:eastAsia="" w:eastAsiaTheme="minorEastAsia"/>
        </w:rPr>
      </w:r>
    </w:p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212809314"/>
      <w:r>
        <w:rPr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212809315"/>
      <w:bookmarkStart w:id="3" w:name="_Toc46743505"/>
      <w:r>
        <w:rPr/>
        <w:t>Обозначения и сокращения</w:t>
      </w:r>
      <w:bookmarkEnd w:id="2"/>
      <w:bookmarkEnd w:id="3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rStyle w:val="Style7"/>
                <w:b w:val="false"/>
                <w:bCs/>
                <w:i w:val="false"/>
                <w:i w:val="false"/>
                <w:sz w:val="24"/>
                <w:szCs w:val="22"/>
              </w:rPr>
            </w:pPr>
            <w:r>
              <w:rPr>
                <w:sz w:val="24"/>
                <w:szCs w:val="22"/>
                <w:lang w:val="en-US"/>
              </w:rPr>
              <w:t>Камская</w:t>
            </w:r>
            <w:r>
              <w:rPr>
                <w:sz w:val="24"/>
                <w:szCs w:val="22"/>
              </w:rPr>
              <w:t xml:space="preserve"> 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7"/>
                <w:b w:val="false"/>
                <w:bCs/>
                <w:i w:val="false"/>
                <w:i w:val="false"/>
                <w:sz w:val="24"/>
                <w:szCs w:val="22"/>
              </w:rPr>
            </w:pPr>
            <w:r>
              <w:rPr>
                <w:sz w:val="24"/>
                <w:szCs w:val="22"/>
              </w:rPr>
              <w:t>Филиала ПАО «РусГидро» – «Камская ГЭС».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РФ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Воткинский филиал АО «Гидроремонт-ВКК» в г. Чайковский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ГСМ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4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Горюче-смазочные материалы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3"/>
              <w:widowControl w:val="false"/>
              <w:shd w:val="clear" w:color="auto" w:fill="auto"/>
              <w:spacing w:lineRule="auto" w:line="240"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13"/>
              <w:widowControl w:val="false"/>
              <w:shd w:val="clear" w:color="auto" w:fill="auto"/>
              <w:spacing w:lineRule="auto" w:line="240" w:before="40" w:after="4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РФ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Подъемное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сооружение</w:t>
            </w:r>
          </w:p>
        </w:tc>
      </w:tr>
    </w:tbl>
    <w:p>
      <w:pPr>
        <w:pStyle w:val="Heading4"/>
        <w:numPr>
          <w:ilvl w:val="1"/>
          <w:numId w:val="3"/>
        </w:numPr>
        <w:rPr>
          <w:lang w:val="ru-RU"/>
        </w:rPr>
      </w:pPr>
      <w:bookmarkStart w:id="4" w:name="_Toc212809316"/>
      <w:r>
        <w:rPr/>
        <w:t>Наименование закупаемой продукции</w:t>
      </w:r>
      <w:bookmarkEnd w:id="4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ОКПД2 49.41.20.000 Оказание услуг по предоставлению спецтехники с экипажем для нужд Воткинского филиала. </w:t>
      </w:r>
    </w:p>
    <w:p>
      <w:pPr>
        <w:pStyle w:val="Heading4"/>
        <w:numPr>
          <w:ilvl w:val="1"/>
          <w:numId w:val="3"/>
        </w:numPr>
        <w:rPr/>
      </w:pPr>
      <w:bookmarkStart w:id="5" w:name="_Toc212809317"/>
      <w:bookmarkStart w:id="6" w:name="_Toc75446569"/>
      <w:bookmarkStart w:id="7" w:name="_Toc46743507"/>
      <w:r>
        <w:rPr/>
        <w:t xml:space="preserve">Цель </w:t>
      </w:r>
      <w:bookmarkEnd w:id="6"/>
      <w:bookmarkEnd w:id="7"/>
      <w:r>
        <w:rPr>
          <w:lang w:val="ru-RU"/>
        </w:rPr>
        <w:t>оказания услуг</w:t>
      </w:r>
      <w:bookmarkEnd w:id="5"/>
    </w:p>
    <w:p>
      <w:pPr>
        <w:pStyle w:val="Normal"/>
        <w:tabs>
          <w:tab w:val="clear" w:pos="708"/>
          <w:tab w:val="left" w:pos="993" w:leader="none"/>
        </w:tabs>
        <w:jc w:val="both"/>
        <w:rPr/>
      </w:pPr>
      <w:r>
        <w:rPr>
          <w:sz w:val="24"/>
          <w:szCs w:val="24"/>
        </w:rPr>
        <w:t>Оказание услуг по предоставлению спецтехники с экипажем для выполнения работ по лоту № 0042-ТПиР БЕЗОП-2026-КамГЭС «ОКПД2 43.21.10.140. Техническое перевооружение комплекса инженерно-технических средств охраны Камской ГЭС в рамках выполнения инвестиционного проекта K_T-1180-033», по договору подряда № 5586-2026 заключаемому с филиалом ПАО «РусГидро»-«Камская ГЭС»</w:t>
      </w:r>
      <w:r>
        <w:rPr>
          <w:iCs/>
          <w:color w:val="000000" w:themeColor="text1"/>
          <w:sz w:val="24"/>
          <w:szCs w:val="24"/>
        </w:rPr>
        <w:t>.</w:t>
      </w:r>
    </w:p>
    <w:p>
      <w:pPr>
        <w:pStyle w:val="Normal"/>
        <w:tabs>
          <w:tab w:val="clear" w:pos="708"/>
          <w:tab w:val="left" w:pos="993" w:leader="none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Heading1"/>
        <w:tabs>
          <w:tab w:val="clear" w:pos="0"/>
        </w:tabs>
        <w:ind w:left="284" w:hanging="284"/>
        <w:rPr>
          <w:rStyle w:val="Style7"/>
          <w:b/>
          <w:bCs/>
          <w:color w:val="000000" w:themeColor="text1"/>
          <w:sz w:val="24"/>
          <w:szCs w:val="24"/>
        </w:rPr>
      </w:pPr>
      <w:bookmarkStart w:id="8" w:name="_Toc125982700"/>
      <w:bookmarkStart w:id="9" w:name="_Toc212809318"/>
      <w:r>
        <w:rPr>
          <w:sz w:val="24"/>
          <w:szCs w:val="24"/>
        </w:rPr>
        <w:t>Таблица 1. Перечень объектов заказчика.</w:t>
      </w:r>
      <w:bookmarkEnd w:id="8"/>
      <w:bookmarkEnd w:id="9"/>
    </w:p>
    <w:tbl>
      <w:tblPr>
        <w:tblW w:w="10173" w:type="dxa"/>
        <w:jc w:val="left"/>
        <w:tblInd w:w="2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58"/>
        <w:gridCol w:w="2117"/>
        <w:gridCol w:w="2854"/>
        <w:gridCol w:w="3118"/>
        <w:gridCol w:w="1526"/>
      </w:tblGrid>
      <w:tr>
        <w:trPr/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ind w:hanging="6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284" w:hanging="6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ind w:left="284" w:hanging="6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284" w:hanging="6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Расположение объекта</w:t>
              <w:br/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(место оказания услуг)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284" w:hanging="6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35" w:hanging="6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>
        <w:trPr>
          <w:trHeight w:val="881" w:hRule="atLeast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before="0" w:after="200"/>
              <w:ind w:left="284" w:hanging="279"/>
              <w:contextualSpacing/>
              <w:rPr>
                <w:i/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73" w:hanging="6"/>
              <w:jc w:val="both"/>
              <w:rPr/>
            </w:pPr>
            <w:r>
              <w:rPr>
                <w:sz w:val="24"/>
                <w:szCs w:val="24"/>
              </w:rPr>
              <w:t>Филиал ПАО «РусГидро» - «Камская ГЭС»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pacing w:before="0" w:after="0"/>
              <w:contextualSpacing/>
              <w:jc w:val="both"/>
              <w:rPr>
                <w:i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РФ, </w:t>
            </w:r>
            <w:r>
              <w:rPr>
                <w:rStyle w:val="Style7"/>
                <w:b w:val="false"/>
                <w:i w:val="false"/>
                <w:color w:val="000000"/>
                <w:sz w:val="24"/>
                <w:szCs w:val="24"/>
                <w:shd w:fill="FFFFFF" w:val="clear"/>
              </w:rPr>
              <w:t>Пермский край, г.Пермь, филиал ПАО «РусГидро» - «Камская ГЭС».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6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Основное и вспомогательное оборудование филиала ПАО «РусГидро»- «Камская ГЭС»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right="113" w:hanging="0"/>
              <w:jc w:val="center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Heading4"/>
        <w:ind w:left="284" w:hanging="0"/>
        <w:rPr/>
      </w:pPr>
      <w:r>
        <w:rPr/>
      </w:r>
    </w:p>
    <w:p>
      <w:pPr>
        <w:pStyle w:val="Heading1"/>
        <w:numPr>
          <w:ilvl w:val="0"/>
          <w:numId w:val="3"/>
        </w:numPr>
        <w:spacing w:before="62" w:after="6"/>
        <w:ind w:left="0" w:hanging="0"/>
        <w:rPr>
          <w:sz w:val="24"/>
          <w:szCs w:val="24"/>
        </w:rPr>
      </w:pPr>
      <w:bookmarkStart w:id="10" w:name="_Toc125982704"/>
      <w:bookmarkStart w:id="11" w:name="_Toc513396931"/>
      <w:bookmarkStart w:id="12" w:name="_Toc546437021"/>
      <w:bookmarkStart w:id="13" w:name="_Toc212809320"/>
      <w:r>
        <w:rPr>
          <w:sz w:val="24"/>
          <w:szCs w:val="24"/>
          <w:lang w:val="ru-RU"/>
        </w:rPr>
        <w:t>Требования</w:t>
      </w:r>
      <w:r>
        <w:rPr>
          <w:sz w:val="24"/>
          <w:szCs w:val="24"/>
        </w:rPr>
        <w:t xml:space="preserve"> к продукции</w:t>
      </w:r>
      <w:bookmarkEnd w:id="10"/>
      <w:bookmarkEnd w:id="11"/>
      <w:bookmarkEnd w:id="12"/>
      <w:bookmarkEnd w:id="13"/>
    </w:p>
    <w:p>
      <w:pPr>
        <w:pStyle w:val="Heading2"/>
        <w:numPr>
          <w:ilvl w:val="1"/>
          <w:numId w:val="3"/>
        </w:numPr>
        <w:spacing w:before="62" w:after="6"/>
        <w:rPr/>
      </w:pPr>
      <w:bookmarkStart w:id="14" w:name="_Toc125982705"/>
      <w:bookmarkStart w:id="15" w:name="_Toc546437031"/>
      <w:bookmarkStart w:id="16" w:name="_Toc212809321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4"/>
      <w:bookmarkEnd w:id="15"/>
      <w:bookmarkEnd w:id="16"/>
    </w:p>
    <w:p>
      <w:pPr>
        <w:pStyle w:val="Heading2"/>
        <w:numPr>
          <w:ilvl w:val="1"/>
          <w:numId w:val="3"/>
        </w:numPr>
        <w:spacing w:before="62" w:after="6"/>
        <w:rPr/>
      </w:pPr>
      <w:bookmarkStart w:id="17" w:name="_Toc212809322"/>
      <w:bookmarkStart w:id="18" w:name="_Toc125982706"/>
      <w:bookmarkStart w:id="19" w:name="_Toc546437041"/>
      <w:r>
        <w:rPr/>
        <w:t>Требования к перечню и объему услуг</w:t>
      </w:r>
      <w:bookmarkEnd w:id="17"/>
      <w:bookmarkEnd w:id="18"/>
      <w:bookmarkEnd w:id="19"/>
    </w:p>
    <w:p>
      <w:pPr>
        <w:pStyle w:val="Heading1"/>
        <w:tabs>
          <w:tab w:val="clear" w:pos="0"/>
        </w:tabs>
        <w:spacing w:before="62" w:after="6"/>
        <w:ind w:left="426" w:hanging="426"/>
        <w:rPr/>
      </w:pPr>
      <w:bookmarkStart w:id="20" w:name="_Toc546437051"/>
      <w:bookmarkStart w:id="21" w:name="_Toc125982707"/>
      <w:bookmarkStart w:id="22" w:name="_Toc212809323"/>
      <w:bookmarkStart w:id="23" w:name="_Toc51339695"/>
      <w:r>
        <w:rPr>
          <w:sz w:val="24"/>
          <w:szCs w:val="24"/>
        </w:rPr>
        <w:t xml:space="preserve">Таблица 2. Перечень </w:t>
      </w:r>
      <w:bookmarkEnd w:id="23"/>
      <w:r>
        <w:rPr>
          <w:sz w:val="24"/>
          <w:szCs w:val="24"/>
        </w:rPr>
        <w:t>и объем оказываемых услуг</w:t>
      </w:r>
      <w:bookmarkEnd w:id="20"/>
      <w:bookmarkEnd w:id="21"/>
      <w:bookmarkEnd w:id="22"/>
    </w:p>
    <w:tbl>
      <w:tblPr>
        <w:tblW w:w="993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10"/>
        <w:gridCol w:w="2112"/>
        <w:gridCol w:w="3750"/>
        <w:gridCol w:w="1703"/>
        <w:gridCol w:w="1657"/>
      </w:tblGrid>
      <w:tr>
        <w:trPr>
          <w:trHeight w:val="725" w:hRule="atLeast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техники</w:t>
            </w:r>
          </w:p>
          <w:p>
            <w:pPr>
              <w:pStyle w:val="Normal"/>
              <w:widowControl w:val="false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характеристикам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Ориентиро-вочное кол-во</w:t>
            </w:r>
          </w:p>
        </w:tc>
      </w:tr>
      <w:tr>
        <w:trPr>
          <w:trHeight w:val="351" w:hRule="atLeast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</w:tr>
      <w:tr>
        <w:trPr>
          <w:trHeight w:val="60" w:hRule="atLeast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ind w:hanging="57"/>
              <w:jc w:val="center"/>
              <w:rPr/>
            </w:pPr>
            <w:r>
              <w:rPr/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eastAsia="Calibri"/>
                <w:sz w:val="24"/>
                <w:szCs w:val="28"/>
                <w:lang w:eastAsia="en-US"/>
              </w:rPr>
              <w:t>Авто</w:t>
            </w:r>
            <w:r>
              <w:rPr>
                <w:rFonts w:eastAsia="Calibri"/>
                <w:sz w:val="24"/>
                <w:szCs w:val="28"/>
                <w:lang w:val="en-US" w:eastAsia="en-US"/>
              </w:rPr>
              <w:t xml:space="preserve">мобильный </w:t>
            </w:r>
            <w:r>
              <w:rPr>
                <w:rFonts w:eastAsia="Calibri"/>
                <w:sz w:val="24"/>
                <w:szCs w:val="28"/>
                <w:lang w:eastAsia="en-US"/>
              </w:rPr>
              <w:t>подъемник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</w:tabs>
              <w:ind w:left="57" w:hanging="0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eastAsia="Calibri"/>
                <w:sz w:val="24"/>
                <w:szCs w:val="28"/>
                <w:lang w:eastAsia="en-US"/>
              </w:rPr>
              <w:t>Высота подъема - от 18 до 22 метров.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0" w:leader="none"/>
              </w:tabs>
              <w:ind w:left="57" w:hanging="0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eastAsia="Calibri"/>
                <w:sz w:val="24"/>
                <w:szCs w:val="28"/>
                <w:lang w:eastAsia="en-US"/>
              </w:rPr>
              <w:t>Наличие координатной защиты.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sz w:val="24"/>
                <w:szCs w:val="28"/>
              </w:rPr>
              <w:t>час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sz w:val="24"/>
                <w:szCs w:val="28"/>
              </w:rPr>
              <w:t>570</w:t>
            </w:r>
          </w:p>
        </w:tc>
      </w:tr>
      <w:tr>
        <w:trPr>
          <w:trHeight w:val="60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ind w:hanging="57"/>
              <w:jc w:val="center"/>
              <w:rPr/>
            </w:pPr>
            <w:r>
              <w:rPr/>
            </w:r>
          </w:p>
        </w:tc>
        <w:tc>
          <w:tcPr>
            <w:tcW w:w="2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sz w:val="24"/>
                <w:szCs w:val="28"/>
              </w:rPr>
              <w:t>Автокран</w:t>
            </w:r>
          </w:p>
        </w:tc>
        <w:tc>
          <w:tcPr>
            <w:tcW w:w="3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sz w:val="24"/>
                <w:szCs w:val="28"/>
              </w:rPr>
              <w:t>Грузоподъемность, не менее 16 т.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sz w:val="24"/>
                <w:szCs w:val="28"/>
              </w:rPr>
              <w:t>Наличие координатной защиты.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sz w:val="24"/>
                <w:szCs w:val="28"/>
              </w:rPr>
              <w:t>час</w:t>
            </w:r>
          </w:p>
        </w:tc>
        <w:tc>
          <w:tcPr>
            <w:tcW w:w="1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sz w:val="24"/>
                <w:szCs w:val="28"/>
              </w:rPr>
              <w:t>210</w:t>
            </w:r>
          </w:p>
        </w:tc>
      </w:tr>
      <w:tr>
        <w:trPr>
          <w:trHeight w:val="60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ind w:hanging="57"/>
              <w:jc w:val="center"/>
              <w:rPr/>
            </w:pPr>
            <w:r>
              <w:rPr/>
            </w:r>
          </w:p>
        </w:tc>
        <w:tc>
          <w:tcPr>
            <w:tcW w:w="2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8"/>
              <w:widowControl w:val="false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sz w:val="24"/>
                <w:szCs w:val="28"/>
              </w:rPr>
              <w:t>Самосвал</w:t>
            </w:r>
          </w:p>
        </w:tc>
        <w:tc>
          <w:tcPr>
            <w:tcW w:w="3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8"/>
              <w:widowControl w:val="false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sz w:val="24"/>
                <w:szCs w:val="28"/>
              </w:rPr>
              <w:t>Грузоподъемность 15 т.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sz w:val="24"/>
                <w:szCs w:val="28"/>
              </w:rPr>
              <w:t>час</w:t>
            </w:r>
          </w:p>
        </w:tc>
        <w:tc>
          <w:tcPr>
            <w:tcW w:w="1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sz w:val="24"/>
                <w:szCs w:val="28"/>
              </w:rPr>
              <w:t>50</w:t>
            </w:r>
          </w:p>
        </w:tc>
      </w:tr>
      <w:tr>
        <w:trPr>
          <w:trHeight w:val="60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ind w:hanging="57"/>
              <w:jc w:val="center"/>
              <w:rPr/>
            </w:pPr>
            <w:r>
              <w:rPr/>
            </w:r>
          </w:p>
        </w:tc>
        <w:tc>
          <w:tcPr>
            <w:tcW w:w="2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8"/>
              <w:widowControl w:val="false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sz w:val="24"/>
                <w:szCs w:val="28"/>
              </w:rPr>
              <w:t>Автобетоносмесители</w:t>
            </w:r>
          </w:p>
        </w:tc>
        <w:tc>
          <w:tcPr>
            <w:tcW w:w="3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color w:val="000000"/>
              </w:rPr>
            </w:pPr>
            <w:r>
              <w:rPr>
                <w:bCs/>
                <w:color w:val="000000"/>
                <w:sz w:val="24"/>
                <w:szCs w:val="28"/>
              </w:rPr>
              <w:t xml:space="preserve">Объем </w:t>
            </w:r>
            <w:r>
              <w:rPr>
                <w:bCs/>
                <w:color w:val="000000"/>
                <w:sz w:val="24"/>
                <w:szCs w:val="28"/>
              </w:rPr>
              <w:t>6</w:t>
            </w:r>
            <w:r>
              <w:rPr>
                <w:bCs/>
                <w:color w:val="000000"/>
                <w:sz w:val="24"/>
                <w:szCs w:val="28"/>
              </w:rPr>
              <w:t xml:space="preserve"> м3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sz w:val="24"/>
                <w:szCs w:val="28"/>
              </w:rPr>
              <w:t>час</w:t>
            </w:r>
          </w:p>
        </w:tc>
        <w:tc>
          <w:tcPr>
            <w:tcW w:w="1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sz w:val="24"/>
                <w:szCs w:val="28"/>
              </w:rPr>
              <w:t>41</w:t>
            </w:r>
          </w:p>
        </w:tc>
      </w:tr>
      <w:tr>
        <w:trPr>
          <w:trHeight w:val="60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ind w:hanging="57"/>
              <w:jc w:val="center"/>
              <w:rPr/>
            </w:pPr>
            <w:r>
              <w:rPr/>
            </w:r>
          </w:p>
        </w:tc>
        <w:tc>
          <w:tcPr>
            <w:tcW w:w="2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sz w:val="24"/>
                <w:szCs w:val="28"/>
              </w:rPr>
              <w:t>Автомобиль бортовой</w:t>
            </w:r>
          </w:p>
        </w:tc>
        <w:tc>
          <w:tcPr>
            <w:tcW w:w="3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Грузоподъемность 10 т.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sz w:val="24"/>
                <w:szCs w:val="28"/>
              </w:rPr>
              <w:t>Высота автомашины не более 4 метров.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sz w:val="24"/>
                <w:szCs w:val="28"/>
              </w:rPr>
              <w:t>час</w:t>
            </w:r>
          </w:p>
        </w:tc>
        <w:tc>
          <w:tcPr>
            <w:tcW w:w="1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sz w:val="24"/>
                <w:szCs w:val="28"/>
              </w:rPr>
              <w:t>170</w:t>
            </w:r>
          </w:p>
        </w:tc>
      </w:tr>
      <w:tr>
        <w:trPr>
          <w:trHeight w:val="60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ind w:hanging="57"/>
              <w:jc w:val="center"/>
              <w:rPr/>
            </w:pPr>
            <w:r>
              <w:rPr/>
            </w:r>
          </w:p>
        </w:tc>
        <w:tc>
          <w:tcPr>
            <w:tcW w:w="2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8"/>
              <w:widowControl w:val="false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sz w:val="24"/>
                <w:szCs w:val="28"/>
              </w:rPr>
              <w:t>Машины бурильно-крановые</w:t>
            </w:r>
          </w:p>
        </w:tc>
        <w:tc>
          <w:tcPr>
            <w:tcW w:w="3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3"/>
                <w:szCs w:val="28"/>
              </w:rPr>
              <w:t>Машины бурильные d500 мм, глубина 1.5-3 метра.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8"/>
              </w:rPr>
              <w:t>Автомобиль бортовой по типу самосвала.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sz w:val="24"/>
                <w:szCs w:val="28"/>
              </w:rPr>
              <w:t>час</w:t>
            </w:r>
          </w:p>
        </w:tc>
        <w:tc>
          <w:tcPr>
            <w:tcW w:w="1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sz w:val="24"/>
                <w:szCs w:val="28"/>
              </w:rPr>
              <w:t>43</w:t>
            </w:r>
          </w:p>
        </w:tc>
      </w:tr>
    </w:tbl>
    <w:p>
      <w:pPr>
        <w:pStyle w:val="Heading1"/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bookmarkStart w:id="24" w:name="_Toc125982708"/>
      <w:bookmarkStart w:id="25" w:name="_Toc212809324"/>
      <w:r>
        <w:rPr>
          <w:sz w:val="24"/>
          <w:szCs w:val="24"/>
        </w:rPr>
        <w:t>Требования к срокам оказания услуг</w:t>
      </w:r>
      <w:bookmarkEnd w:id="24"/>
      <w:bookmarkEnd w:id="25"/>
    </w:p>
    <w:p>
      <w:pPr>
        <w:pStyle w:val="Heading1"/>
        <w:tabs>
          <w:tab w:val="clear" w:pos="0"/>
        </w:tabs>
        <w:ind w:left="426" w:hanging="426"/>
        <w:rPr>
          <w:sz w:val="24"/>
          <w:szCs w:val="24"/>
          <w:lang w:val="ru-RU"/>
        </w:rPr>
      </w:pPr>
      <w:bookmarkStart w:id="26" w:name="_Toc212809325"/>
      <w:bookmarkStart w:id="27" w:name="_Toc54643707"/>
      <w:bookmarkStart w:id="28" w:name="_Toc125982709"/>
      <w:bookmarkStart w:id="29" w:name="_Toc501251271"/>
      <w:bookmarkStart w:id="30" w:name="_Toc51339697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1" w:name="_Hlk504652841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9"/>
      <w:bookmarkEnd w:id="30"/>
      <w:bookmarkEnd w:id="31"/>
      <w:r>
        <w:rPr>
          <w:sz w:val="24"/>
          <w:szCs w:val="24"/>
          <w:lang w:val="ru-RU"/>
        </w:rPr>
        <w:t>оказания услуг</w:t>
      </w:r>
      <w:bookmarkEnd w:id="26"/>
      <w:bookmarkEnd w:id="27"/>
      <w:bookmarkEnd w:id="28"/>
    </w:p>
    <w:tbl>
      <w:tblPr>
        <w:tblW w:w="10093" w:type="dxa"/>
        <w:jc w:val="left"/>
        <w:tblInd w:w="2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08"/>
        <w:gridCol w:w="4003"/>
        <w:gridCol w:w="2695"/>
        <w:gridCol w:w="2686"/>
      </w:tblGrid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before="0" w:after="200"/>
              <w:contextualSpacing/>
              <w:rPr/>
            </w:pPr>
            <w:r>
              <w:rPr/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Оказание услуг по предоставлению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спецтехники с экипажем для нужд Воткинского филиала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С момента подписания договора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31.</w:t>
            </w: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.202</w:t>
            </w:r>
            <w:bookmarkStart w:id="32" w:name="_Toc54646399"/>
            <w:bookmarkStart w:id="33" w:name="_Toc46743508"/>
            <w:bookmarkEnd w:id="32"/>
            <w:bookmarkEnd w:id="33"/>
            <w:r>
              <w:rPr>
                <w:sz w:val="24"/>
                <w:szCs w:val="24"/>
              </w:rPr>
              <w:t>7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ListParagraph"/>
        <w:keepNext w:val="true"/>
        <w:numPr>
          <w:ilvl w:val="1"/>
          <w:numId w:val="3"/>
        </w:numPr>
        <w:tabs>
          <w:tab w:val="clear" w:pos="708"/>
          <w:tab w:val="left" w:pos="0" w:leader="none"/>
          <w:tab w:val="left" w:pos="567" w:leader="none"/>
          <w:tab w:val="left" w:pos="851" w:leader="none"/>
        </w:tabs>
        <w:suppressAutoHyphens w:val="false"/>
        <w:spacing w:before="120" w:after="200"/>
        <w:contextualSpacing/>
        <w:jc w:val="both"/>
        <w:outlineLvl w:val="1"/>
        <w:rPr>
          <w:sz w:val="24"/>
          <w:szCs w:val="24"/>
        </w:rPr>
      </w:pPr>
      <w:bookmarkStart w:id="34" w:name="_Toc125982710"/>
      <w:bookmarkStart w:id="35" w:name="_Toc212809326"/>
      <w:r>
        <w:rPr>
          <w:rFonts w:eastAsia="Calibri"/>
          <w:b/>
          <w:bCs/>
          <w:sz w:val="24"/>
          <w:szCs w:val="24"/>
          <w:lang w:val="x-none" w:eastAsia="x-none"/>
        </w:rPr>
        <w:t xml:space="preserve">Требования к </w:t>
      </w:r>
      <w:r>
        <w:rPr>
          <w:rFonts w:eastAsia="Calibri"/>
          <w:b/>
          <w:bCs/>
          <w:sz w:val="24"/>
          <w:szCs w:val="24"/>
          <w:lang w:eastAsia="x-none"/>
        </w:rPr>
        <w:t>качеству услуг</w:t>
      </w:r>
      <w:bookmarkEnd w:id="34"/>
      <w:bookmarkEnd w:id="35"/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0" w:leader="none"/>
          <w:tab w:val="left" w:pos="567" w:leader="none"/>
          <w:tab w:val="left" w:pos="851" w:leader="none"/>
        </w:tabs>
        <w:suppressAutoHyphens w:val="false"/>
        <w:spacing w:before="120" w:after="60"/>
        <w:ind w:left="426" w:hanging="426"/>
        <w:outlineLvl w:val="0"/>
        <w:rPr>
          <w:sz w:val="24"/>
          <w:szCs w:val="24"/>
        </w:rPr>
      </w:pPr>
      <w:bookmarkStart w:id="36" w:name="_Toc212809327"/>
      <w:r>
        <w:rPr>
          <w:rFonts w:eastAsia="Calibri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/>
          <w:b/>
          <w:sz w:val="24"/>
          <w:szCs w:val="24"/>
          <w:lang w:eastAsia="x-none"/>
        </w:rPr>
        <w:t>4</w:t>
      </w:r>
      <w:r>
        <w:rPr>
          <w:rFonts w:eastAsia="Calibri"/>
          <w:b/>
          <w:sz w:val="24"/>
          <w:szCs w:val="24"/>
          <w:lang w:val="x-none" w:eastAsia="x-none"/>
        </w:rPr>
        <w:t xml:space="preserve">. Требования к </w:t>
      </w:r>
      <w:r>
        <w:rPr>
          <w:rFonts w:eastAsia="Calibri"/>
          <w:b/>
          <w:sz w:val="24"/>
          <w:szCs w:val="24"/>
          <w:lang w:eastAsia="x-none"/>
        </w:rPr>
        <w:t>качеству услуг</w:t>
      </w:r>
      <w:bookmarkEnd w:id="36"/>
      <w:r>
        <w:rPr>
          <w:rFonts w:eastAsia="Calibri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suppressAutoHyphens w:val="false"/>
        <w:rPr>
          <w:sz w:val="24"/>
          <w:szCs w:val="24"/>
        </w:rPr>
      </w:pPr>
      <w:r>
        <w:rPr>
          <w:b/>
          <w:bCs/>
          <w:sz w:val="24"/>
          <w:szCs w:val="24"/>
        </w:rPr>
        <w:t>Наименование услуг:</w:t>
      </w:r>
      <w:r>
        <w:rPr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ОКПД2 49.41.20.000 Оказание услуги по предоставлению спецтехники с экипажем для нужд Воткинского филиала. </w:t>
      </w:r>
    </w:p>
    <w:tbl>
      <w:tblPr>
        <w:tblStyle w:val="affffc"/>
        <w:tblW w:w="1008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87"/>
        <w:gridCol w:w="2149"/>
        <w:gridCol w:w="6949"/>
      </w:tblGrid>
      <w:tr>
        <w:trPr>
          <w:trHeight w:val="562" w:hRule="atLeast"/>
        </w:trPr>
        <w:tc>
          <w:tcPr>
            <w:tcW w:w="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1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9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1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9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98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90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</w:tr>
      <w:tr>
        <w:trPr/>
        <w:tc>
          <w:tcPr>
            <w:tcW w:w="98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90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</w:tr>
      <w:tr>
        <w:trPr/>
        <w:tc>
          <w:tcPr>
            <w:tcW w:w="98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214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Соблюдение при оказании услуги норм и правил нормативно-технических документов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94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«Правила организации технического обслуживания и ремонта объектов электроэнергетики», зарегистрирован 26.03.2019; приказ Минэнерго России от 25.10.2017 №1013;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-Правила по охране труда при эксплуатации электроустановок», приказ Минтруда России от 15.12.2020 №903н;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-Приказ №461 от 26.11.2020 г. об утверждении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 Правила по охране труда на автомобильном транспорте (утв. приказом Минтруда России от 18.12.2020 №871н.</w:t>
            </w:r>
          </w:p>
        </w:tc>
      </w:tr>
      <w:tr>
        <w:trPr/>
        <w:tc>
          <w:tcPr>
            <w:tcW w:w="98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214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Документация, предоставляемая Исполнителем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соответствии с обязательными требованиями промышленной безопасности</w:t>
            </w:r>
          </w:p>
        </w:tc>
        <w:tc>
          <w:tcPr>
            <w:tcW w:w="6949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-свидетельство о регистрации опасного производственного объекта (включая приложения) (копия);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-сведения характеризующие опасный производственной объект, в составе которого эксплуатируется предоставляемый автомобильный подъемник, грузоподъемный кран (копия, все страницы);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-паспорт изготовителя предоставляемого автомобильного подъемника, грузоподъемного крана (копия, все страницы);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-руководство (инструкция) по эксплуатации изготовителя предоставляемого автомобильного подъемника, грузоподъемного крана (копия, все страницы);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-внесенное в реестр Ростехнадзора заключение экспертизы промышленной безопасности с выводами о соответствии ПС требованиям промышленной безопасности (для автомобильного подъемника, грузоподъемного крана с истёкшим срок службы), (копия, все страницы);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-страховой полис обязательного страхования гражданской ответственности владельца опасного объекта за причинение вреда в результате аварии в составе которых эксплуатируются предоставляемый автомобильный подъемник, грузоподъемный кран;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-копии удостоверений, протоколов проверки знаний персонала, обслуживающего автомобильные подъемники, грузоподъемные краны. Документация предоставляет во время заключения Договора.</w:t>
            </w:r>
          </w:p>
        </w:tc>
      </w:tr>
      <w:tr>
        <w:trPr/>
        <w:tc>
          <w:tcPr>
            <w:tcW w:w="98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214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ind w:right="-104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использования</w:t>
            </w:r>
          </w:p>
        </w:tc>
        <w:tc>
          <w:tcPr>
            <w:tcW w:w="6949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Заказчик планирует использовать (применять) спецтехнику в соответствии с Таблицей 2 ТТ «Перечень и объем оказываемых услуг» и продолжительностью применения, указанной в подаваемых заявках.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этом Заказчик оставляет за собой право исполнить договор не в полном объёме и не применять какую-либо из перечисленной спецтехники в случае отсутствия необходимости.</w:t>
            </w:r>
          </w:p>
        </w:tc>
      </w:tr>
      <w:tr>
        <w:trPr/>
        <w:tc>
          <w:tcPr>
            <w:tcW w:w="98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214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Объем и место оказания услуг</w:t>
            </w:r>
          </w:p>
        </w:tc>
        <w:tc>
          <w:tcPr>
            <w:tcW w:w="6949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Планируемый объем и место оказания услуг указывается в подаваемых Заказчиком в заявках.</w:t>
            </w:r>
          </w:p>
        </w:tc>
      </w:tr>
      <w:tr>
        <w:trPr/>
        <w:tc>
          <w:tcPr>
            <w:tcW w:w="98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90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/>
        <w:tc>
          <w:tcPr>
            <w:tcW w:w="98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x-none" w:bidi="ar-SA"/>
              </w:rPr>
              <w:t>1.2.1.</w:t>
            </w:r>
          </w:p>
        </w:tc>
        <w:tc>
          <w:tcPr>
            <w:tcW w:w="21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69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эксплуатацией спецтехники, включая, расходы на заработную плату водителей (машинистов, операторов подъемников, машинистов кранов), оплату топлива, горюче-смазочных материалов и эксплуатационных жидкостей, оплату ремонта и запасных частей, налоговых пошлин, страховых сборов, штрафов, и иных расходов, возникающих в связи с эксплуатацией спецтехники в рамках Договора.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предоставлять спецтехнику в технически исправном состоянии с заправкой ГСМ и необходимой документацией (в т.ч. путевым листом), укомплектованная необходимыми вспомогательными средствами: огнетушителем, аварийным знаком, аптечкой с медикаментами, в соответствии с согласованными Сторонами в Заявке временем и местом подачи.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обеспечить соблюдение водителями (машинистами, операторами подъемника, машинистами кранов)  правил и инструкций по охране труда, безопасности дорожного движения, пожарной и электробезопасности во время оказания услуг. Исполнитель несет ответственность за соблюдение действующих норм и правил при работе с подъемными сооружениями.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при невозможности предоставления спецтехники, согласованной в Заявке (ДТП, постановка в ремонт / на техническое обслуживание, угон ТС, иные причины) незамедлительно уведомить об этом Заказчика и по согласованию с Заказчиком предоставить подменную спецтехнику с аналогичными техническими характеристиками, соответствующими условиям Договора и на условиях, согласованных в Заявках. Время простоя, по причине неисправной техники, не оплачивается.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соблюдать законодательство РФ при эксплуатации, обслуживании и предоставлении транспортных средств, подъемных сооружений и т.д. указанных в п.2.1. данных технических требований.</w:t>
            </w:r>
          </w:p>
        </w:tc>
      </w:tr>
      <w:tr>
        <w:trPr/>
        <w:tc>
          <w:tcPr>
            <w:tcW w:w="98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909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применяемым при оказании услуг </w:t>
            </w: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оборудованию и материалам</w:t>
            </w:r>
          </w:p>
        </w:tc>
      </w:tr>
      <w:tr>
        <w:trPr/>
        <w:tc>
          <w:tcPr>
            <w:tcW w:w="98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21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Спецтехника</w:t>
            </w:r>
          </w:p>
        </w:tc>
        <w:tc>
          <w:tcPr>
            <w:tcW w:w="69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Должна предоставляться в исправном состоянии вместе с экипажем (водителями, машинистами, операторами подъемников, машинистами кранов)  с путевым листом, вахтенным журналом, укомплектованы необходимыми вспомогательными средствами: огнетушителем, аварийным знаком, аптечкой с медикаментами, заземляющим устройством - проводник сечением не менее 10 мм2.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Лица, управляющие спецтехникой должны иметь водительское удостоверение с разрешенной категорией.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использовании автомобильных подъемников и грузоподъемных кранов в электроустановках (ОРУ, освещение, охранная зона ВЛ и т.п.) у водителей-операторов подъемника, машинистов крана необходимо наличие удостоверения по электробезопасности не ниже второй группы согласно Правилам по охране труда при эксплуатации электроустановок.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Документы предоставляются после заключения договора.</w:t>
            </w:r>
          </w:p>
        </w:tc>
      </w:tr>
      <w:tr>
        <w:trPr>
          <w:trHeight w:val="412" w:hRule="atLeast"/>
        </w:trPr>
        <w:tc>
          <w:tcPr>
            <w:tcW w:w="98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90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/>
        <w:tc>
          <w:tcPr>
            <w:tcW w:w="98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90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</w:tr>
      <w:tr>
        <w:trPr/>
        <w:tc>
          <w:tcPr>
            <w:tcW w:w="98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21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Учет времени</w:t>
            </w:r>
          </w:p>
        </w:tc>
        <w:tc>
          <w:tcPr>
            <w:tcW w:w="69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Учет времени эксплуатации спецтехники производится по факту отработанного времени, указанному в путевых листах, подписанных Заказчиком.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Работа техники указанной в Таблице 2. «Перечень и объем оказываемых услуг» производится ежедневно в 12-ти часовой рабочий день (с 8-00 до 20-00), в том числе в выходные дни.</w:t>
            </w:r>
          </w:p>
        </w:tc>
      </w:tr>
      <w:tr>
        <w:trPr/>
        <w:tc>
          <w:tcPr>
            <w:tcW w:w="98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90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/>
        <w:tc>
          <w:tcPr>
            <w:tcW w:w="98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214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услуг</w:t>
            </w:r>
          </w:p>
        </w:tc>
        <w:tc>
          <w:tcPr>
            <w:tcW w:w="694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считаются оказанными Исполнителем и принятыми Заказчиком с момента подписания Сторонами Акта сдачи-приемки Услуг с приложением путевых листов</w:t>
            </w:r>
          </w:p>
        </w:tc>
      </w:tr>
      <w:tr>
        <w:trPr/>
        <w:tc>
          <w:tcPr>
            <w:tcW w:w="98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90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</w:tr>
      <w:tr>
        <w:trPr/>
        <w:tc>
          <w:tcPr>
            <w:tcW w:w="98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214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Оформление документов по закупке</w:t>
            </w:r>
          </w:p>
        </w:tc>
        <w:tc>
          <w:tcPr>
            <w:tcW w:w="69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Акта сдачи-приемки Услуг должен быть предоставлен Исполнителем по окончании отчетного месяца, в котором были оказаны услуги в 2-х экземплярах с приложением путевых листов.</w:t>
            </w:r>
          </w:p>
        </w:tc>
      </w:tr>
      <w:tr>
        <w:trPr/>
        <w:tc>
          <w:tcPr>
            <w:tcW w:w="98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2149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94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представить Заказчику счет-фактуру в течение 5 (пяти) календарных дней с даты подписания Сторонами Акта сдачи-приемки Услуг.</w:t>
            </w:r>
          </w:p>
        </w:tc>
      </w:tr>
      <w:tr>
        <w:trPr/>
        <w:tc>
          <w:tcPr>
            <w:tcW w:w="98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90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</w:tr>
      <w:tr>
        <w:trPr>
          <w:trHeight w:val="805" w:hRule="atLeast"/>
        </w:trPr>
        <w:tc>
          <w:tcPr>
            <w:tcW w:w="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x-none" w:bidi="ar-SA"/>
              </w:rPr>
              <w:t>3.1.</w:t>
            </w:r>
          </w:p>
        </w:tc>
        <w:tc>
          <w:tcPr>
            <w:tcW w:w="214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</w:t>
            </w:r>
          </w:p>
        </w:tc>
        <w:tc>
          <w:tcPr>
            <w:tcW w:w="694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Оформлять путевые листы в соответствии с требованиями Приказа № 390 от 28 сентября 2022 года Министерства транспорта Российской Федерации.</w:t>
            </w:r>
          </w:p>
        </w:tc>
      </w:tr>
      <w:tr>
        <w:trPr>
          <w:trHeight w:val="762" w:hRule="atLeast"/>
        </w:trPr>
        <w:tc>
          <w:tcPr>
            <w:tcW w:w="98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90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</w:tr>
      <w:tr>
        <w:trPr>
          <w:trHeight w:val="1125" w:hRule="atLeast"/>
        </w:trPr>
        <w:tc>
          <w:tcPr>
            <w:tcW w:w="98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214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Ответственность Исполнителя</w:t>
            </w:r>
          </w:p>
        </w:tc>
        <w:tc>
          <w:tcPr>
            <w:tcW w:w="69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несет ответственность за техническое состояние спецтехники,  качество, работоспособность, функциональные свойства используемой для оказания услуг спецтехники в соответствии с настоящими техническими требованиями и действующими нормативными актами РФ. Исполнитель несет ответственность за</w:t>
            </w:r>
          </w:p>
        </w:tc>
      </w:tr>
      <w:tr>
        <w:trPr>
          <w:trHeight w:val="983" w:hRule="atLeast"/>
        </w:trPr>
        <w:tc>
          <w:tcPr>
            <w:tcW w:w="98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2149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</w:r>
          </w:p>
        </w:tc>
        <w:tc>
          <w:tcPr>
            <w:tcW w:w="69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невозможности предоставления спецтехники, согласованной в Заявке Исполнитель обязан незамедлительно уведомить об этом Заказчика и по согласованию с ним предоставить подменную спецтехнику с аналогичными техническими характеристиками и на условиях, согласованных в Заявках. Время простоя, по причине неисправной спецтехники, не оплачивается.</w:t>
            </w:r>
          </w:p>
        </w:tc>
      </w:tr>
      <w:tr>
        <w:trPr>
          <w:trHeight w:val="546" w:hRule="atLeast"/>
        </w:trPr>
        <w:tc>
          <w:tcPr>
            <w:tcW w:w="98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 w:val="false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90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</w:tr>
      <w:tr>
        <w:trPr>
          <w:trHeight w:val="482" w:hRule="atLeast"/>
        </w:trPr>
        <w:tc>
          <w:tcPr>
            <w:tcW w:w="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x-none" w:bidi="ar-SA"/>
              </w:rPr>
              <w:t>5.1.</w:t>
            </w:r>
          </w:p>
        </w:tc>
        <w:tc>
          <w:tcPr>
            <w:tcW w:w="21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69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для исполнения договора должен иметь ТС в собственности или на праве аренды.</w:t>
            </w:r>
          </w:p>
        </w:tc>
      </w:tr>
      <w:tr>
        <w:trPr>
          <w:trHeight w:val="346" w:hRule="atLeast"/>
        </w:trPr>
        <w:tc>
          <w:tcPr>
            <w:tcW w:w="987" w:type="dxa"/>
            <w:tcBorders/>
            <w:vAlign w:val="center"/>
          </w:tcPr>
          <w:p>
            <w:pPr>
              <w:pStyle w:val="ListParagraph"/>
              <w:widowControl w:val="false"/>
              <w:suppressAutoHyphens w:val="false"/>
              <w:spacing w:before="0" w:after="0"/>
              <w:ind w:left="0" w:hanging="0"/>
              <w:contextualSpacing w:val="false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6.</w:t>
            </w:r>
          </w:p>
        </w:tc>
        <w:tc>
          <w:tcPr>
            <w:tcW w:w="90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оказанию услуг</w:t>
            </w:r>
          </w:p>
        </w:tc>
      </w:tr>
      <w:tr>
        <w:trPr>
          <w:trHeight w:val="668" w:hRule="atLeast"/>
        </w:trPr>
        <w:tc>
          <w:tcPr>
            <w:tcW w:w="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x-none" w:bidi="ar-SA"/>
              </w:rPr>
              <w:t>6.1.</w:t>
            </w:r>
          </w:p>
        </w:tc>
        <w:tc>
          <w:tcPr>
            <w:tcW w:w="2149" w:type="dxa"/>
            <w:tcBorders/>
            <w:vAlign w:val="center"/>
          </w:tcPr>
          <w:p>
            <w:pPr>
              <w:pStyle w:val="Style31"/>
              <w:keepNext w:val="false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Стоимость за 1 маш/час (смену; км)</w:t>
            </w:r>
          </w:p>
        </w:tc>
        <w:tc>
          <w:tcPr>
            <w:tcW w:w="6949" w:type="dxa"/>
            <w:tcBorders/>
            <w:vAlign w:val="center"/>
          </w:tcPr>
          <w:p>
            <w:pPr>
              <w:pStyle w:val="Style31"/>
              <w:keepNext w:val="false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7" w:name="_Toc125982018"/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По каждой единице ТС является фиксированной на протяжении всего срока действия договора</w:t>
            </w:r>
            <w:bookmarkEnd w:id="37"/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</w:tr>
      <w:tr>
        <w:trPr>
          <w:trHeight w:val="668" w:hRule="atLeast"/>
        </w:trPr>
        <w:tc>
          <w:tcPr>
            <w:tcW w:w="98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6.2.</w:t>
            </w:r>
          </w:p>
        </w:tc>
        <w:tc>
          <w:tcPr>
            <w:tcW w:w="2149" w:type="dxa"/>
            <w:tcBorders>
              <w:top w:val="nil"/>
            </w:tcBorders>
            <w:vAlign w:val="center"/>
          </w:tcPr>
          <w:p>
            <w:pPr>
              <w:pStyle w:val="Style31"/>
              <w:keepNext w:val="false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Требование к водителю автотранспорта</w:t>
            </w:r>
          </w:p>
        </w:tc>
        <w:tc>
          <w:tcPr>
            <w:tcW w:w="69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соответствии с требованиями Инструкции по обеспечению режима секретности в РФ, утвержденной ПП РФ № 3-1 от 05.01.2004, а также Регламента проведения приема иностранных граждан (приказ ПАО «РусГидро» № 245 от 28.03.2019), водитель, оператор подъемни</w:t>
            </w:r>
            <w:bookmarkStart w:id="38" w:name="_GoBack"/>
            <w:bookmarkEnd w:id="38"/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ка, машинист крана должен иметь гражданство Российской Федерации.</w:t>
            </w:r>
          </w:p>
        </w:tc>
      </w:tr>
    </w:tbl>
    <w:p>
      <w:pPr>
        <w:pStyle w:val="Normal"/>
        <w:jc w:val="both"/>
        <w:rPr>
          <w:sz w:val="12"/>
          <w:szCs w:val="24"/>
          <w:lang w:eastAsia="x-none"/>
        </w:rPr>
      </w:pPr>
      <w:r>
        <w:rPr>
          <w:sz w:val="12"/>
          <w:szCs w:val="24"/>
          <w:lang w:eastAsia="x-none"/>
        </w:rPr>
      </w:r>
    </w:p>
    <w:p>
      <w:pPr>
        <w:pStyle w:val="Heading1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8897" w:type="dxa"/>
        <w:jc w:val="left"/>
        <w:tblInd w:w="6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098"/>
        <w:gridCol w:w="4798"/>
      </w:tblGrid>
      <w:tr>
        <w:trPr/>
        <w:tc>
          <w:tcPr>
            <w:tcW w:w="4098" w:type="dxa"/>
            <w:tcBorders/>
            <w:shd w:color="auto" w:fill="FFFFFF" w:val="clea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От Заказчика:</w:t>
            </w:r>
          </w:p>
        </w:tc>
        <w:tc>
          <w:tcPr>
            <w:tcW w:w="4798" w:type="dxa"/>
            <w:tcBorders/>
            <w:shd w:color="auto" w:fill="FFFFFF" w:val="clea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От Исполнителя:</w:t>
            </w:r>
          </w:p>
        </w:tc>
      </w:tr>
      <w:tr>
        <w:trPr/>
        <w:tc>
          <w:tcPr>
            <w:tcW w:w="4098" w:type="dxa"/>
            <w:tcBorders/>
            <w:shd w:color="auto" w:fill="FFFFFF" w:val="clear"/>
          </w:tcPr>
          <w:p>
            <w:pPr>
              <w:pStyle w:val="Normal"/>
              <w:widowControl w:val="false"/>
              <w:snapToGrid w:val="false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</w:r>
          </w:p>
        </w:tc>
        <w:tc>
          <w:tcPr>
            <w:tcW w:w="4798" w:type="dxa"/>
            <w:tcBorders/>
            <w:shd w:color="auto" w:fill="FFFFFF" w:val="clear"/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first" r:id="rId5"/>
      <w:type w:val="nextPage"/>
      <w:pgSz w:w="11906" w:h="16838"/>
      <w:pgMar w:left="1134" w:right="566" w:gutter="0" w:header="680" w:top="1134" w:footer="737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652785314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0E1BD3D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1BD3D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8"/>
        <w:b/>
        <w:szCs w:val="28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982"/>
        </w:tabs>
        <w:ind w:left="2206" w:hanging="504"/>
      </w:pPr>
      <w:rPr>
        <w:sz w:val="24"/>
        <w:b w:val="false"/>
        <w:szCs w:val="24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false"/>
        <w:i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uiPriority="99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2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794" w:hanging="51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нак сноски1"/>
    <w:qFormat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2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" w:customStyle="1">
    <w:name w:val="Название Знак"/>
    <w:link w:val="18"/>
    <w:uiPriority w:val="10"/>
    <w:qFormat/>
    <w:rsid w:val="00d22f6d"/>
    <w:rPr>
      <w:sz w:val="28"/>
    </w:rPr>
  </w:style>
  <w:style w:type="character" w:styleId="Style1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2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3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3" w:customStyle="1">
    <w:name w:val="Подпункт Знак1"/>
    <w:link w:val="Style25"/>
    <w:qFormat/>
    <w:locked/>
    <w:rsid w:val="00d22f6d"/>
    <w:rPr>
      <w:sz w:val="28"/>
    </w:rPr>
  </w:style>
  <w:style w:type="character" w:styleId="Style4" w:customStyle="1">
    <w:name w:val="Текст сноски Знак"/>
    <w:uiPriority w:val="99"/>
    <w:qFormat/>
    <w:rsid w:val="00d22f6d"/>
    <w:rPr/>
  </w:style>
  <w:style w:type="character" w:styleId="Style5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6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7" w:customStyle="1">
    <w:name w:val="комментарий"/>
    <w:qFormat/>
    <w:rsid w:val="0025139e"/>
    <w:rPr>
      <w:b/>
      <w:i/>
      <w:shd w:fill="FFFF99" w:val="clear"/>
    </w:rPr>
  </w:style>
  <w:style w:type="character" w:styleId="Style8" w:customStyle="1">
    <w:name w:val="Подподпункт Знак"/>
    <w:link w:val="Style33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9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0" w:customStyle="1">
    <w:name w:val="Текст примечания Знак"/>
    <w:link w:val="Annotationtext"/>
    <w:semiHidden/>
    <w:qFormat/>
    <w:rsid w:val="00dc0f7d"/>
    <w:rPr/>
  </w:style>
  <w:style w:type="character" w:styleId="Style11" w:customStyle="1">
    <w:name w:val="Текст концевой сноски Знак"/>
    <w:basedOn w:val="DefaultParagraphFont"/>
    <w:qFormat/>
    <w:rsid w:val="003879d4"/>
    <w:rPr/>
  </w:style>
  <w:style w:type="character" w:styleId="14" w:customStyle="1">
    <w:name w:val="Знак концевой сноски1"/>
    <w:qFormat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5" w:customStyle="1">
    <w:name w:val="УРОВЕНЬ_1. Знак"/>
    <w:link w:val="112"/>
    <w:qFormat/>
    <w:rsid w:val="004a17ae"/>
    <w:rPr>
      <w:rFonts w:eastAsia="Calibri"/>
      <w:caps/>
      <w:sz w:val="28"/>
      <w:szCs w:val="28"/>
      <w:lang w:eastAsia="en-US"/>
    </w:rPr>
  </w:style>
  <w:style w:type="character" w:styleId="16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b41520"/>
    <w:rPr>
      <w:rFonts w:ascii="Calibri" w:hAnsi="Calibri" w:eastAsia="Calibri" w:cs="" w:cstheme="minorBidi" w:eastAsiaTheme="minorHAnsi"/>
      <w:sz w:val="22"/>
      <w:szCs w:val="21"/>
      <w:lang w:eastAsia="en-US"/>
    </w:rPr>
  </w:style>
  <w:style w:type="character" w:styleId="Style13" w:customStyle="1">
    <w:name w:val="Нижний колонтитул Знак"/>
    <w:basedOn w:val="DefaultParagraphFont"/>
    <w:uiPriority w:val="99"/>
    <w:qFormat/>
    <w:rsid w:val="001a1545"/>
    <w:rPr>
      <w:sz w:val="28"/>
      <w:szCs w:val="28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Основной текст_"/>
    <w:link w:val="113"/>
    <w:uiPriority w:val="99"/>
    <w:qFormat/>
    <w:locked/>
    <w:rsid w:val="001419cf"/>
    <w:rPr>
      <w:sz w:val="28"/>
      <w:szCs w:val="28"/>
      <w:shd w:fill="FFFFFF" w:val="clear"/>
    </w:rPr>
  </w:style>
  <w:style w:type="character" w:styleId="Hyperlink">
    <w:name w:val="Hyperlink"/>
    <w:uiPriority w:val="99"/>
    <w:rPr>
      <w:color w:val="000080"/>
      <w:u w:val="single"/>
    </w:rPr>
  </w:style>
  <w:style w:type="character" w:styleId="Style16" w:customStyle="1">
    <w:name w:val="Символ сноски"/>
    <w:semiHidden/>
    <w:unhideWhenUsed/>
    <w:qFormat/>
    <w:rsid w:val="001260ab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8" w:customStyle="1">
    <w:name w:val="Символ нумерации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5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11" w:customStyle="1">
    <w:name w:val="index heading11111"/>
    <w:basedOn w:val="Title"/>
    <w:qFormat/>
    <w:pPr/>
    <w:rPr/>
  </w:style>
  <w:style w:type="paragraph" w:styleId="Style21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2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3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4"/>
    <w:uiPriority w:val="99"/>
    <w:rsid w:val="00d561d9"/>
    <w:pPr/>
    <w:rPr>
      <w:sz w:val="20"/>
      <w:szCs w:val="20"/>
    </w:rPr>
  </w:style>
  <w:style w:type="paragraph" w:styleId="17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8" w:customStyle="1">
    <w:name w:val="Название1"/>
    <w:basedOn w:val="Normal"/>
    <w:link w:val="Style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13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5" w:customStyle="1">
    <w:name w:val="Подпункт"/>
    <w:basedOn w:val="Normal"/>
    <w:link w:val="13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1567af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6" w:customStyle="1">
    <w:name w:val="Раздел регламента"/>
    <w:basedOn w:val="Normal"/>
    <w:qFormat/>
    <w:rsid w:val="00e228fa"/>
    <w:pPr/>
    <w:rPr/>
  </w:style>
  <w:style w:type="paragraph" w:styleId="Style27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0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9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8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1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6"/>
    <w:uiPriority w:val="99"/>
    <w:qFormat/>
    <w:pPr>
      <w:spacing w:before="0" w:after="200"/>
      <w:ind w:left="720" w:hanging="0"/>
      <w:contextualSpacing/>
    </w:pPr>
    <w:rPr/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2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3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9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0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10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1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2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3" w:customStyle="1">
    <w:name w:val="Подподпункт"/>
    <w:basedOn w:val="Style25"/>
    <w:link w:val="Style8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4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lang w:eastAsia="en-US"/>
    </w:rPr>
  </w:style>
  <w:style w:type="paragraph" w:styleId="Style35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lang w:eastAsia="en-US"/>
    </w:rPr>
  </w:style>
  <w:style w:type="paragraph" w:styleId="111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1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6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2" w:customStyle="1">
    <w:name w:val="УРОВЕНЬ_1."/>
    <w:basedOn w:val="ListParagraph"/>
    <w:link w:val="15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b41520"/>
    <w:pPr/>
    <w:rPr>
      <w:rFonts w:ascii="Calibri" w:hAnsi="Calibri" w:eastAsia="Calibri" w:cs="" w:cstheme="minorBidi" w:eastAsiaTheme="minorHAnsi"/>
      <w:sz w:val="22"/>
      <w:szCs w:val="21"/>
      <w:lang w:eastAsia="en-US"/>
    </w:rPr>
  </w:style>
  <w:style w:type="paragraph" w:styleId="Style37" w:customStyle="1">
    <w:name w:val="Содержимое врезки"/>
    <w:basedOn w:val="Normal"/>
    <w:qFormat/>
    <w:pPr/>
    <w:rPr/>
  </w:style>
  <w:style w:type="paragraph" w:styleId="Style38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9" w:customStyle="1">
    <w:name w:val="Заголовок таблицы"/>
    <w:basedOn w:val="Style38"/>
    <w:qFormat/>
    <w:pPr>
      <w:jc w:val="center"/>
    </w:pPr>
    <w:rPr>
      <w:b/>
      <w:bCs/>
    </w:rPr>
  </w:style>
  <w:style w:type="paragraph" w:styleId="113" w:customStyle="1">
    <w:name w:val="Основной текст1"/>
    <w:basedOn w:val="Normal"/>
    <w:link w:val="Style15"/>
    <w:qFormat/>
    <w:rsid w:val="001419cf"/>
    <w:pPr>
      <w:widowControl w:val="false"/>
      <w:shd w:val="clear" w:color="auto" w:fill="FFFFFF"/>
      <w:suppressAutoHyphens w:val="false"/>
      <w:spacing w:lineRule="exact" w:line="302"/>
    </w:pPr>
    <w:rPr/>
  </w:style>
  <w:style w:type="paragraph" w:styleId="114" w:customStyle="1">
    <w:name w:val="Заголовок №1"/>
    <w:basedOn w:val="Normal"/>
    <w:qFormat/>
    <w:pPr>
      <w:shd w:val="clear" w:color="auto" w:fill="FFFFFF"/>
      <w:spacing w:lineRule="atLeast" w:line="0" w:before="0" w:after="420"/>
      <w:ind w:hanging="680"/>
      <w:outlineLvl w:val="0"/>
    </w:pPr>
    <w:rPr>
      <w:sz w:val="27"/>
      <w:szCs w:val="27"/>
    </w:rPr>
  </w:style>
  <w:style w:type="numbering" w:styleId="NoList" w:default="1">
    <w:name w:val="No List"/>
    <w:uiPriority w:val="99"/>
    <w:semiHidden/>
    <w:unhideWhenUsed/>
    <w:qFormat/>
  </w:style>
  <w:style w:type="numbering" w:styleId="115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c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1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4B5FA-319C-4F25-A4C3-975E64C7A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</TotalTime>
  <Application>AlterOffice/3.4.0.9$Linux_X86_64 LibreOffice_project/b8daf9e823b1a5463a2f48435ddc2e8696e7d4fc</Application>
  <AppVersion>15.0000</AppVersion>
  <Pages>7</Pages>
  <Words>1460</Words>
  <Characters>10231</Characters>
  <CharactersWithSpaces>11480</CharactersWithSpaces>
  <Paragraphs>212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2024-10-25T03:02:00Z</dcterms:created>
  <dc:creator>Быстров Олег Геннадьевич</dc:creator>
  <dc:description/>
  <dc:language>ru-RU</dc:language>
  <cp:lastModifiedBy>zavylovamv@corp.gidroogk.com</cp:lastModifiedBy>
  <cp:lastPrinted>2006-07-26T14:04:00Z</cp:lastPrinted>
  <dcterms:modified xsi:type="dcterms:W3CDTF">2026-10-16T13:49:02Z</dcterms:modified>
  <cp:revision>116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