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word/_rels/document.xml.rels" ContentType="application/vnd.openxmlformats-package.relationships+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footer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header4.xml" ContentType="application/vnd.openxmlformats-officedocument.wordprocessingml.header+xml"/>
  <Override PartName="/word/header3.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 xml:space="preserve">Договор подряда № </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пгт.Правокубанский</w:t>
        <w:tab/>
        <w:tab/>
        <w:tab/>
        <w:tab/>
        <w:tab/>
        <w:tab/>
        <w:t xml:space="preserve">                        «___» _________ 2026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lang w:val="ru-RU"/>
        </w:rPr>
        <w:t>Публичное акционерное общество «Федеральная гидрогенерирующая компания – РусГидро» (ПАО «РусГидро»)</w:t>
      </w:r>
      <w:r>
        <w:rPr>
          <w:color w:val="auto"/>
          <w:lang w:val="ru-RU"/>
        </w:rPr>
        <w:t xml:space="preserve"> (далее – «Заказчик»), в </w:t>
      </w:r>
      <w:r>
        <w:rPr>
          <w:color w:val="auto"/>
          <w:spacing w:val="-1"/>
          <w:lang w:val="ru-RU"/>
        </w:rPr>
        <w:t>лице директора Филиала ПАО «РусГидро» - «Карачаево-Черкесский филиал» Виталия Ивановича Шульженко, действующего на основании машиночитаемой доверенности №8dc567ef-41b2-4923-af6c-e5edf10b665f, дата выдачи 13.01.2026 ,</w:t>
      </w:r>
      <w:r>
        <w:rPr>
          <w:color w:val="auto"/>
        </w:rPr>
        <w:t xml:space="preserve"> с одной стороны, и </w:t>
      </w:r>
    </w:p>
    <w:p>
      <w:pPr>
        <w:pStyle w:val="BodyText3"/>
        <w:ind w:firstLine="708"/>
        <w:rPr>
          <w:color w:val="auto"/>
        </w:rPr>
      </w:pPr>
      <w:r>
        <w:rPr>
          <w:b/>
          <w:bCs/>
          <w:color w:val="000000"/>
        </w:rPr>
        <w:t>________ («_______»)</w:t>
      </w:r>
      <w:r>
        <w:rPr>
          <w:color w:val="000000"/>
        </w:rPr>
        <w:t xml:space="preserve"> (далее – «Подрядчик»), в лице _________, действующего на основании Устава, с другой стороны, </w:t>
      </w:r>
    </w:p>
    <w:p>
      <w:pPr>
        <w:pStyle w:val="BodyText3"/>
        <w:ind w:firstLine="708"/>
        <w:rPr/>
      </w:pPr>
      <w:r>
        <w:rPr>
          <w:color w:val="000000"/>
        </w:rPr>
        <w:t xml:space="preserve">совместно в дальнейшем именуемые «Стороны», а по отдельности – «Сторона», по результатам проведенной Заказчиком </w:t>
      </w:r>
      <w:r>
        <w:rPr>
          <w:color w:val="000000"/>
          <w:lang w:val="ru-RU"/>
        </w:rPr>
        <w:t>закупочной</w:t>
      </w:r>
      <w:r>
        <w:rPr>
          <w:color w:val="000000"/>
        </w:rPr>
        <w:t xml:space="preserve"> процедуры по лоту № 182084-РЕМ ПРОД-2026-КЧФ</w:t>
      </w:r>
      <w:r>
        <w:rPr>
          <w:bCs/>
          <w:color w:val="000000"/>
          <w:lang w:val="ru-RU"/>
        </w:rPr>
        <w:t xml:space="preserve">, </w:t>
      </w:r>
    </w:p>
    <w:p>
      <w:pPr>
        <w:pStyle w:val="BodyText3"/>
        <w:ind w:firstLine="708"/>
        <w:rPr/>
      </w:pPr>
      <w:r>
        <w:rPr>
          <w:color w:val="000000"/>
        </w:rPr>
        <w:t>заключили настоящий договор (далее – «Договор») о нижеследующем:</w:t>
      </w:r>
    </w:p>
    <w:p>
      <w:pPr>
        <w:pStyle w:val="BodyText3"/>
        <w:ind w:firstLine="708"/>
        <w:rPr>
          <w:color w:val="auto"/>
          <w:lang w:val="ru-RU"/>
        </w:rPr>
      </w:pPr>
      <w:r>
        <w:rPr>
          <w:color w:val="auto"/>
          <w:lang w:val="ru-RU"/>
        </w:rPr>
      </w:r>
    </w:p>
    <w:p>
      <w:pPr>
        <w:pStyle w:val="ListParagraph"/>
        <w:shd w:val="clear" w:color="auto" w:fill="FFFFFF"/>
        <w:tabs>
          <w:tab w:val="clear" w:pos="709"/>
          <w:tab w:val="left" w:pos="284" w:leader="none"/>
        </w:tabs>
        <w:ind w:left="0" w:hanging="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lang w:eastAsia="en-US"/>
        </w:rPr>
      </w:r>
    </w:p>
    <w:p>
      <w:pPr>
        <w:pStyle w:val="ListParagraph"/>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fill="FFFFFF"/>
        <w:tabs>
          <w:tab w:val="clear" w:pos="709"/>
          <w:tab w:val="left" w:pos="567" w:leader="none"/>
          <w:tab w:val="left" w:pos="1134" w:leader="none"/>
        </w:tabs>
        <w:overflowPunct w:val="false"/>
        <w:ind w:left="0" w:right="0" w:firstLine="708"/>
        <w:jc w:val="both"/>
        <w:textAlignment w:val="baseline"/>
        <w:rPr>
          <w:highlight w:val="none"/>
          <w:shd w:fill="auto" w:val="clear"/>
        </w:rPr>
      </w:pPr>
      <w:r>
        <w:rPr>
          <w:b/>
          <w:sz w:val="24"/>
          <w:szCs w:val="24"/>
          <w:shd w:fill="auto" w:val="clear"/>
          <w:lang w:eastAsia="en-US"/>
        </w:rPr>
        <w:t xml:space="preserve">«ГК РФ» </w:t>
      </w:r>
      <w:r>
        <w:rPr>
          <w:b w:val="false"/>
          <w:bCs w:val="false"/>
          <w:sz w:val="24"/>
          <w:szCs w:val="24"/>
          <w:shd w:fill="auto" w:val="clear"/>
          <w:lang w:eastAsia="en-US"/>
        </w:rPr>
        <w:t>– Гражданский кодекс Российской Федерации.</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«Банковская гарантия» – </w:t>
      </w:r>
      <w:r>
        <w:rPr>
          <w:lang w:eastAsia="en-US"/>
        </w:rPr>
        <w:t>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 </w:t>
      </w: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«ИС Maximo» </w:t>
      </w:r>
      <w:r>
        <w:rPr>
          <w:lang w:eastAsia="en-US"/>
        </w:rPr>
        <w:t xml:space="preserve">– </w:t>
      </w:r>
      <w:r>
        <w:rPr/>
        <w:t>информационная система управления фондами и активами предприятия «Maximo».</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 </w:t>
      </w: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 / или сооружений.</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bCs/>
          <w:lang w:eastAsia="en-US"/>
        </w:rPr>
        <w:t>«Национальный режим»</w:t>
      </w:r>
      <w:r>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при завершении выполнения Работ по Объекту. </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7"/>
        </w:numPr>
        <w:shd w:val="clear" w:color="auto" w:fill="FFFFFF"/>
        <w:tabs>
          <w:tab w:val="clear" w:pos="709"/>
          <w:tab w:val="left" w:pos="567" w:leader="none"/>
          <w:tab w:val="left" w:pos="1134" w:leader="none"/>
        </w:tabs>
        <w:ind w:left="0" w:firstLine="709"/>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9"/>
          <w:tab w:val="left" w:pos="567" w:leader="none"/>
          <w:tab w:val="left" w:pos="1134" w:leader="none"/>
        </w:tabs>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9"/>
          <w:tab w:val="left" w:pos="567" w:leader="none"/>
        </w:tabs>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color="auto" w:fill="FFFFFF"/>
        <w:tabs>
          <w:tab w:val="clear" w:pos="709"/>
          <w:tab w:val="left" w:pos="1276" w:leader="none"/>
        </w:tabs>
        <w:ind w:left="0" w:firstLine="709"/>
        <w:jc w:val="both"/>
        <w:rPr/>
      </w:pPr>
      <w:r>
        <w:rPr>
          <w:b/>
          <w:bCs/>
          <w:sz w:val="24"/>
          <w:szCs w:val="24"/>
          <w:lang w:eastAsia="en-US"/>
        </w:rPr>
        <w:t>«Система ЭДО общего пользования»</w:t>
      </w:r>
      <w:r>
        <w:rPr>
          <w:sz w:val="24"/>
          <w:szCs w:val="24"/>
          <w:lang w:eastAsia="en-US"/>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tabs>
          <w:tab w:val="left" w:pos="709" w:leader="none"/>
        </w:tabs>
        <w:spacing w:lineRule="auto" w:line="240"/>
        <w:ind w:firstLine="709"/>
        <w:rPr>
          <w:bCs/>
          <w:sz w:val="24"/>
          <w:szCs w:val="24"/>
        </w:rPr>
      </w:pPr>
      <w:r>
        <w:rPr>
          <w:b/>
          <w:sz w:val="24"/>
          <w:szCs w:val="24"/>
        </w:rPr>
        <w:t>«Скрытые работы»</w:t>
      </w:r>
      <w:r>
        <w:rPr>
          <w:sz w:val="24"/>
          <w:szCs w:val="24"/>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Heading3"/>
        <w:keepNext w:val="false"/>
        <w:widowControl w:val="false"/>
        <w:tabs>
          <w:tab w:val="clear" w:pos="709"/>
          <w:tab w:val="left" w:pos="567" w:leader="none"/>
        </w:tabs>
        <w:spacing w:before="0" w:after="0"/>
        <w:ind w:firstLine="708"/>
        <w:jc w:val="both"/>
        <w:textAlignment w:val="baseline"/>
        <w:rPr>
          <w:sz w:val="24"/>
          <w:szCs w:val="24"/>
          <w:lang w:val="ru-RU" w:eastAsia="en-US"/>
        </w:rPr>
      </w:pPr>
      <w:r>
        <w:rPr>
          <w:b w:val="false"/>
          <w:sz w:val="22"/>
          <w:szCs w:val="22"/>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r>
        <w:rPr>
          <w:sz w:val="24"/>
          <w:szCs w:val="24"/>
          <w:lang w:val="ru-RU" w:eastAsia="en-US"/>
        </w:rPr>
        <w:t xml:space="preserve">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«Строительная площадка»</w:t>
      </w:r>
      <w:r>
        <w:rPr>
          <w:b w:val="false"/>
          <w:sz w:val="24"/>
          <w:szCs w:val="24"/>
          <w:lang w:val="ru-RU" w:eastAsia="en-US"/>
        </w:rPr>
        <w:t xml:space="preserve"> или </w:t>
      </w:r>
      <w:r>
        <w:rPr>
          <w:sz w:val="24"/>
          <w:szCs w:val="24"/>
          <w:lang w:val="ru-RU" w:eastAsia="en-US"/>
        </w:rPr>
        <w:t>«Стройплощадка»</w:t>
      </w:r>
      <w:r>
        <w:rPr>
          <w:b w:val="false"/>
          <w:sz w:val="24"/>
          <w:szCs w:val="24"/>
          <w:lang w:val="ru-RU" w:eastAsia="en-US"/>
        </w:rPr>
        <w:t xml:space="preserve"> – предоставляемая Подрядчику по акту для выполнения Работ территория в месте выполнения Работ, расположенном по адресу: </w:t>
      </w:r>
      <w:r>
        <w:rPr>
          <w:b w:val="false"/>
          <w:bCs/>
          <w:sz w:val="24"/>
          <w:szCs w:val="24"/>
          <w:lang w:val="ru-RU" w:eastAsia="en-US"/>
        </w:rPr>
        <w:t>369244, Карачаево-Черкесская Республика, Карачаевский район, пос. Правокубанский</w:t>
      </w:r>
      <w:r>
        <w:rPr>
          <w:b w:val="false"/>
          <w:sz w:val="24"/>
          <w:szCs w:val="24"/>
          <w:lang w:val="ru-RU" w:eastAsia="en-US"/>
        </w:rPr>
        <w:t>.</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widowControl w:val="false"/>
        <w:numPr>
          <w:ilvl w:val="0"/>
        </w:numPr>
        <w:tabs>
          <w:tab w:val="clear" w:pos="709"/>
          <w:tab w:val="left" w:pos="567" w:leader="none"/>
        </w:tabs>
        <w:overflowPunct w:val="true"/>
        <w:spacing w:before="0" w:after="0"/>
        <w:ind w:left="0" w:right="0" w:firstLine="708"/>
        <w:jc w:val="both"/>
        <w:textAlignment w:val="baseline"/>
        <w:rPr>
          <w:bCs/>
        </w:rPr>
      </w:pPr>
      <w:r>
        <w:rPr>
          <w:rFonts w:eastAsia="Times New Roman" w:cs="Times New Roman"/>
          <w:b/>
          <w:bCs/>
          <w:color w:val="auto"/>
          <w:kern w:val="0"/>
          <w:sz w:val="24"/>
          <w:szCs w:val="24"/>
          <w:lang w:val="ru-RU" w:eastAsia="ru-RU" w:bidi="ar-SA"/>
        </w:rPr>
        <w:t>«Электронный документ»</w:t>
      </w:r>
      <w:r>
        <w:rPr>
          <w:rFonts w:eastAsia="Times New Roman" w:cs="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ListParagraph"/>
        <w:widowControl w:val="false"/>
        <w:shd w:val="clear" w:fill="FFFFFF"/>
        <w:tabs>
          <w:tab w:val="clear" w:pos="709"/>
          <w:tab w:val="left" w:pos="1276" w:leader="none"/>
        </w:tabs>
        <w:suppressAutoHyphens w:val="true"/>
        <w:spacing w:before="0" w:after="0"/>
        <w:ind w:left="0" w:right="0" w:firstLine="709"/>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b w:val="false"/>
          <w:sz w:val="24"/>
          <w:szCs w:val="24"/>
          <w:lang w:val="ru-RU" w:eastAsia="en-US"/>
        </w:rPr>
      </w:r>
    </w:p>
    <w:p>
      <w:pPr>
        <w:pStyle w:val="Normal"/>
        <w:spacing w:lineRule="auto" w:line="240"/>
        <w:rPr>
          <w:lang w:val="x-none" w:eastAsia="x-none"/>
        </w:rPr>
      </w:pPr>
      <w:r>
        <w:rPr>
          <w:lang w:val="x-none" w:eastAsia="x-none"/>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Предмет Договора</w:t>
      </w:r>
    </w:p>
    <w:p>
      <w:pPr>
        <w:pStyle w:val="ListParagraph"/>
        <w:numPr>
          <w:ilvl w:val="1"/>
          <w:numId w:val="4"/>
        </w:numPr>
        <w:shd w:val="clear" w:color="auto" w:fill="FFFFFF"/>
        <w:tabs>
          <w:tab w:val="clear" w:pos="709"/>
          <w:tab w:val="left" w:pos="1134" w:leader="none"/>
        </w:tabs>
        <w:ind w:left="0" w:firstLine="709"/>
        <w:jc w:val="both"/>
        <w:rPr>
          <w:bCs/>
        </w:rPr>
      </w:pPr>
      <w:bookmarkStart w:id="0" w:name="_Ref361410951"/>
      <w:r>
        <w:rPr>
          <w:bCs/>
        </w:rPr>
        <w:t xml:space="preserve">Подрядчик обязуется по заданию Заказчика в соответствии с Техническим заданием (Приложение </w:t>
      </w:r>
      <w:r>
        <w:rPr/>
        <w:t xml:space="preserve">№ 1 к Договору) выполнить работы по </w:t>
      </w:r>
      <w:r>
        <w:rPr>
          <w:b/>
          <w:bCs/>
        </w:rPr>
        <w:t xml:space="preserve">ОКПД2 42.91.20.190 Текущему ремонту сооружений Зеленчукской ГЭС-ГАЭС </w:t>
      </w:r>
      <w:r>
        <w:rPr/>
        <w:t>(далее по тексту – «Работы»), а также сдать Результат Работ Заказчику, а Заказчик обязуется</w:t>
      </w:r>
      <w:r>
        <w:rPr>
          <w:bCs/>
        </w:rPr>
        <w:t xml:space="preserve"> создать Подрядчику указанные в Договоре условия для выполнения Работ, принять Результат Работ и уплатить Цену Договора.</w:t>
      </w:r>
      <w:bookmarkEnd w:id="0"/>
    </w:p>
    <w:p>
      <w:pPr>
        <w:pStyle w:val="ListParagraph"/>
        <w:numPr>
          <w:ilvl w:val="1"/>
          <w:numId w:val="4"/>
        </w:numPr>
        <w:shd w:val="clear" w:color="auto" w:fill="FFFFFF"/>
        <w:tabs>
          <w:tab w:val="clear" w:pos="709"/>
          <w:tab w:val="left" w:pos="1134" w:leader="none"/>
        </w:tabs>
        <w:ind w:left="0" w:firstLine="709"/>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Работы по Договору выполняются для нужд Филиала ПАО «РусГидро» - «Карачаево-Черкесский филиал». </w:t>
      </w:r>
    </w:p>
    <w:p>
      <w:pPr>
        <w:pStyle w:val="ListParagraph"/>
        <w:numPr>
          <w:ilvl w:val="1"/>
          <w:numId w:val="4"/>
        </w:numPr>
        <w:shd w:val="clear" w:color="auto" w:fill="FFFFFF"/>
        <w:tabs>
          <w:tab w:val="clear" w:pos="709"/>
          <w:tab w:val="left" w:pos="1134" w:leader="none"/>
        </w:tabs>
        <w:ind w:left="0" w:firstLine="709"/>
        <w:jc w:val="both"/>
        <w:rPr/>
      </w:pPr>
      <w:r>
        <w:rPr>
          <w:bCs/>
        </w:rPr>
        <w:t>Место выполнения Работ: 369244, Карачаево-Черкесская Республика, Карачаевский район, пос. Правокубанский.</w:t>
      </w:r>
    </w:p>
    <w:p>
      <w:pPr>
        <w:pStyle w:val="ListParagraph"/>
        <w:numPr>
          <w:ilvl w:val="1"/>
          <w:numId w:val="4"/>
        </w:numPr>
        <w:shd w:val="clear" w:color="auto" w:fill="FFFFFF"/>
        <w:tabs>
          <w:tab w:val="clear" w:pos="709"/>
          <w:tab w:val="left" w:pos="1134" w:leader="none"/>
        </w:tabs>
        <w:ind w:left="0" w:firstLine="709"/>
        <w:jc w:val="both"/>
        <w:rPr/>
      </w:pPr>
      <w:bookmarkStart w:id="1" w:name="_Ref361320424"/>
      <w:r>
        <w:rPr>
          <w:bCs/>
        </w:rPr>
        <w:t>Работы выполняются Подрядчиком в следующие сроки:</w:t>
      </w:r>
      <w:bookmarkEnd w:id="1"/>
    </w:p>
    <w:p>
      <w:pPr>
        <w:pStyle w:val="ListParagraph"/>
        <w:numPr>
          <w:ilvl w:val="2"/>
          <w:numId w:val="4"/>
        </w:numPr>
        <w:shd w:val="clear" w:color="auto" w:fill="FFFFFF"/>
        <w:tabs>
          <w:tab w:val="clear" w:pos="709"/>
          <w:tab w:val="left" w:pos="1418" w:leader="none"/>
        </w:tabs>
        <w:ind w:left="0" w:firstLine="709"/>
        <w:jc w:val="both"/>
        <w:rPr/>
      </w:pPr>
      <w:r>
        <w:rPr>
          <w:bCs/>
        </w:rPr>
        <w:t xml:space="preserve">начало выполнения Работ: </w:t>
      </w:r>
      <w:r>
        <w:rPr>
          <w:bCs/>
          <w:lang w:val="en-US"/>
        </w:rPr>
        <w:t>с даты заключения Договора</w:t>
      </w:r>
      <w:bookmarkStart w:id="2" w:name="_GoBack"/>
      <w:bookmarkEnd w:id="2"/>
      <w:r>
        <w:rPr/>
        <w:t>;</w:t>
      </w:r>
    </w:p>
    <w:p>
      <w:pPr>
        <w:pStyle w:val="ListParagraph"/>
        <w:numPr>
          <w:ilvl w:val="2"/>
          <w:numId w:val="4"/>
        </w:numPr>
        <w:shd w:val="clear" w:color="auto" w:fill="FFFFFF"/>
        <w:tabs>
          <w:tab w:val="clear" w:pos="709"/>
          <w:tab w:val="left" w:pos="1418" w:leader="none"/>
        </w:tabs>
        <w:ind w:left="0" w:firstLine="709"/>
        <w:jc w:val="both"/>
        <w:rPr/>
      </w:pPr>
      <w:r>
        <w:rPr>
          <w:bCs/>
        </w:rPr>
        <w:t>окончание выполнения Работ: 20.03.2027</w:t>
      </w:r>
      <w:r>
        <w:rPr/>
        <w:t>.</w:t>
      </w:r>
    </w:p>
    <w:p>
      <w:pPr>
        <w:pStyle w:val="ListParagraph"/>
        <w:shd w:val="clear" w:color="auto" w:fill="FFFFFF"/>
        <w:tabs>
          <w:tab w:val="clear" w:pos="709"/>
          <w:tab w:val="left" w:pos="1134" w:leader="none"/>
        </w:tabs>
        <w:ind w:left="0" w:hanging="0"/>
        <w:jc w:val="both"/>
        <w:rPr>
          <w:bCs/>
        </w:rPr>
      </w:pPr>
      <w:r>
        <w:rPr>
          <w:bCs/>
        </w:rPr>
      </w:r>
    </w:p>
    <w:p>
      <w:pPr>
        <w:pStyle w:val="Normal"/>
        <w:widowControl w:val="false"/>
        <w:shd w:val="clear" w:color="auto" w:fill="FFFFFF"/>
        <w:spacing w:lineRule="auto" w:line="240"/>
        <w:ind w:left="567" w:hanging="0"/>
        <w:rPr>
          <w:sz w:val="24"/>
          <w:szCs w:val="24"/>
        </w:rPr>
      </w:pPr>
      <w:r>
        <w:rPr>
          <w:sz w:val="24"/>
          <w:szCs w:val="24"/>
        </w:rPr>
      </w:r>
    </w:p>
    <w:p>
      <w:pPr>
        <w:pStyle w:val="ListParagraph"/>
        <w:numPr>
          <w:ilvl w:val="0"/>
          <w:numId w:val="4"/>
        </w:numPr>
        <w:shd w:val="clear" w:color="auto" w:fill="FFFFFF"/>
        <w:tabs>
          <w:tab w:val="clear" w:pos="709"/>
          <w:tab w:val="left" w:pos="284" w:leader="none"/>
        </w:tabs>
        <w:ind w:left="0" w:hanging="0"/>
        <w:jc w:val="center"/>
        <w:rPr>
          <w:b/>
          <w:bCs/>
        </w:rPr>
      </w:pPr>
      <w:r>
        <w:rPr>
          <w:b/>
          <w:bCs/>
        </w:rPr>
        <w:t xml:space="preserve">Права и обязанности Сторон </w:t>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4"/>
        </w:numPr>
        <w:shd w:val="clear" w:color="auto" w:fill="FFFFFF"/>
        <w:tabs>
          <w:tab w:val="clear" w:pos="709"/>
          <w:tab w:val="left" w:pos="1418" w:leader="none"/>
        </w:tabs>
        <w:ind w:left="0" w:firstLine="709"/>
        <w:jc w:val="both"/>
        <w:rPr/>
      </w:pPr>
      <w:bookmarkStart w:id="3" w:name="_Ref361401696"/>
      <w:bookmarkStart w:id="4" w:name="_Ref361396847"/>
      <w:bookmarkStart w:id="5" w:name="_Ref361320734"/>
      <w:bookmarkEnd w:id="3"/>
      <w:bookmarkEnd w:id="4"/>
      <w:bookmarkEnd w:id="5"/>
      <w:r>
        <w:rPr>
          <w:bCs/>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8"/>
        </w:numPr>
        <w:shd w:val="clear" w:color="auto" w:fill="FFFFFF"/>
        <w:tabs>
          <w:tab w:val="left" w:pos="709" w:leader="none"/>
          <w:tab w:val="left" w:pos="1418" w:leader="none"/>
        </w:tabs>
        <w:ind w:left="0" w:firstLine="709"/>
        <w:jc w:val="both"/>
        <w:rPr/>
      </w:pPr>
      <w:r>
        <w:rPr/>
        <w:t>место производства Работ, по соответствующим актам сдачи-приемки (Приложение № 3 к Договору);</w:t>
      </w:r>
    </w:p>
    <w:p>
      <w:pPr>
        <w:pStyle w:val="ListParagraph"/>
        <w:numPr>
          <w:ilvl w:val="0"/>
          <w:numId w:val="8"/>
        </w:numPr>
        <w:shd w:val="clear" w:color="auto" w:fill="FFFFFF"/>
        <w:tabs>
          <w:tab w:val="left" w:pos="709" w:leader="none"/>
          <w:tab w:val="left" w:pos="1418" w:leader="none"/>
        </w:tabs>
        <w:ind w:left="0" w:firstLine="709"/>
        <w:jc w:val="both"/>
        <w:rPr/>
      </w:pPr>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w:t>
      </w:r>
      <w:r>
        <w:rPr/>
        <w:t xml:space="preserve"> </w:t>
      </w:r>
    </w:p>
    <w:p>
      <w:pPr>
        <w:pStyle w:val="PlainText"/>
        <w:numPr>
          <w:ilvl w:val="2"/>
          <w:numId w:val="4"/>
        </w:numPr>
        <w:ind w:left="0" w:firstLine="709"/>
        <w:jc w:val="both"/>
        <w:rPr>
          <w:rFonts w:ascii="Times New Roman" w:hAnsi="Times New Roman"/>
          <w:sz w:val="24"/>
          <w:szCs w:val="24"/>
        </w:rPr>
      </w:pPr>
      <w:bookmarkStart w:id="6" w:name="_Ref361320734_Копия_1"/>
      <w:bookmarkStart w:id="7" w:name="_Ref361401696_Копия_1"/>
      <w:bookmarkStart w:id="8" w:name="_Ref361396847_Копия_1"/>
      <w:bookmarkEnd w:id="6"/>
      <w:bookmarkEnd w:id="7"/>
      <w:bookmarkEnd w:id="8"/>
      <w:r>
        <w:rPr>
          <w:rFonts w:ascii="Times New Roman" w:hAnsi="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9"/>
          <w:tab w:val="left" w:pos="1418" w:leader="none"/>
        </w:tabs>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5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 </w:t>
      </w: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shd w:val="clear" w:color="auto" w:fill="FFFFFF"/>
        <w:tabs>
          <w:tab w:val="left" w:pos="709" w:leader="none"/>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tabs>
          <w:tab w:val="left" w:pos="709" w:leader="none"/>
        </w:tabs>
        <w:ind w:left="0" w:firstLine="709"/>
        <w:jc w:val="both"/>
        <w:rPr>
          <w:bCs/>
        </w:rPr>
      </w:pPr>
      <w:r>
        <w:rPr>
          <w:bCs/>
        </w:rPr>
        <w:t>Производить освидетельствование (приемку) Скрытых работ.</w:t>
      </w:r>
    </w:p>
    <w:p>
      <w:pPr>
        <w:pStyle w:val="ListParagraph"/>
        <w:numPr>
          <w:ilvl w:val="2"/>
          <w:numId w:val="4"/>
        </w:numPr>
        <w:shd w:val="clear" w:color="auto" w:fill="FFFFFF"/>
        <w:tabs>
          <w:tab w:val="left" w:pos="709" w:leader="none"/>
        </w:tabs>
        <w:ind w:left="0" w:firstLine="709"/>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Круглосуточно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Материально-технических ресурсов, осуществлять осмотр такого помещения по первому требованию и в присутствии представителя Подрядчика. </w:t>
      </w:r>
    </w:p>
    <w:p>
      <w:pPr>
        <w:pStyle w:val="ListParagraph"/>
        <w:numPr>
          <w:ilvl w:val="2"/>
          <w:numId w:val="4"/>
        </w:numPr>
        <w:shd w:val="clear" w:color="auto" w:fill="FFFFFF"/>
        <w:tabs>
          <w:tab w:val="clear" w:pos="709"/>
          <w:tab w:val="left" w:pos="1418" w:leader="none"/>
        </w:tabs>
        <w:ind w:left="0" w:firstLine="709"/>
        <w:jc w:val="both"/>
        <w:rPr>
          <w:bCs/>
        </w:rPr>
      </w:pPr>
      <w:bookmarkStart w:id="9"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9"/>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bookmarkStart w:id="10"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10"/>
    </w:p>
    <w:p>
      <w:pPr>
        <w:pStyle w:val="ListParagraph"/>
        <w:numPr>
          <w:ilvl w:val="2"/>
          <w:numId w:val="4"/>
        </w:numPr>
        <w:shd w:val="clear" w:color="auto" w:fill="FFFFFF"/>
        <w:tabs>
          <w:tab w:val="clear" w:pos="709"/>
          <w:tab w:val="left" w:pos="1418" w:leader="none"/>
        </w:tabs>
        <w:ind w:left="0" w:firstLine="709"/>
        <w:jc w:val="both"/>
        <w:rPr>
          <w:bCs/>
        </w:rPr>
      </w:pPr>
      <w:bookmarkStart w:id="11"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1"/>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shd w:val="clear" w:color="auto" w:fill="FFFFFF"/>
        <w:tabs>
          <w:tab w:val="clear" w:pos="709"/>
          <w:tab w:val="left" w:pos="1418" w:leader="none"/>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18"/>
        </w:numPr>
        <w:shd w:val="clear" w:color="auto" w:fill="FFFFFF"/>
        <w:tabs>
          <w:tab w:val="clear" w:pos="709"/>
          <w:tab w:val="left" w:pos="1418" w:leader="none"/>
        </w:tabs>
        <w:ind w:left="0" w:firstLine="709"/>
        <w:jc w:val="both"/>
        <w:rPr>
          <w:bCs/>
        </w:rPr>
      </w:pPr>
      <w:r>
        <w:rPr>
          <w:bCs/>
        </w:rPr>
        <w:t>место производства Работ,</w:t>
      </w:r>
      <w:r>
        <w:rPr>
          <w:bCs/>
          <w:color w:val="FF0000"/>
        </w:rPr>
        <w:t xml:space="preserve"> </w:t>
      </w:r>
      <w:r>
        <w:rPr>
          <w:bCs/>
        </w:rPr>
        <w:t>по соответствующему акту сдачи-приемки (Приложение № 3 к Договору);</w:t>
      </w:r>
    </w:p>
    <w:p>
      <w:pPr>
        <w:pStyle w:val="ListParagraph"/>
        <w:numPr>
          <w:ilvl w:val="0"/>
          <w:numId w:val="18"/>
        </w:numPr>
        <w:shd w:val="clear" w:color="auto" w:fill="FFFFFF"/>
        <w:tabs>
          <w:tab w:val="clear" w:pos="709"/>
          <w:tab w:val="left" w:pos="1418" w:leader="none"/>
        </w:tabs>
        <w:ind w:left="0" w:firstLine="709"/>
        <w:jc w:val="both"/>
        <w:rPr/>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При приемке места производства Работ,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shd w:val="clear" w:color="auto" w:fill="FFFFFF"/>
        <w:tabs>
          <w:tab w:val="clear" w:pos="709"/>
          <w:tab w:val="left" w:pos="1418" w:leader="none"/>
        </w:tabs>
        <w:ind w:left="0" w:firstLine="709"/>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4"/>
        </w:numPr>
        <w:shd w:val="clear" w:color="auto" w:fill="FFFFFF"/>
        <w:tabs>
          <w:tab w:val="clear" w:pos="709"/>
          <w:tab w:val="left" w:pos="1418" w:leader="none"/>
        </w:tabs>
        <w:ind w:left="0" w:firstLine="709"/>
        <w:jc w:val="both"/>
        <w:rPr/>
      </w:pPr>
      <w:r>
        <w:rPr>
          <w:bCs/>
        </w:rPr>
        <w:t>Выдать замечания в 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4"/>
        </w:numPr>
        <w:shd w:val="clear" w:color="auto" w:fill="FFFFFF"/>
        <w:tabs>
          <w:tab w:val="clear" w:pos="709"/>
          <w:tab w:val="left" w:pos="1418" w:leader="none"/>
        </w:tabs>
        <w:ind w:left="0" w:firstLine="709"/>
        <w:jc w:val="both"/>
        <w:rPr>
          <w:bCs/>
        </w:rPr>
      </w:pPr>
      <w:r>
        <w:rPr>
          <w:bCs/>
        </w:rPr>
        <w:t>До фактического начала выполнения Работ предоставить Заказчику:</w:t>
      </w:r>
    </w:p>
    <w:p>
      <w:pPr>
        <w:pStyle w:val="ListParagraph"/>
        <w:numPr>
          <w:ilvl w:val="0"/>
          <w:numId w:val="14"/>
        </w:numPr>
        <w:shd w:val="clear" w:color="auto" w:fill="FFFFFF"/>
        <w:tabs>
          <w:tab w:val="clear" w:pos="709"/>
          <w:tab w:val="left" w:pos="1418" w:leader="none"/>
        </w:tabs>
        <w:ind w:left="0" w:firstLine="709"/>
        <w:jc w:val="both"/>
        <w:rPr>
          <w:bCs/>
        </w:rPr>
      </w:pPr>
      <w:r>
        <w:rPr>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а также на доступ к ИС </w:t>
      </w:r>
      <w:r>
        <w:rPr>
          <w:bCs/>
          <w:lang w:val="en-US"/>
        </w:rPr>
        <w:t>Maximo</w:t>
      </w:r>
      <w:r>
        <w:rPr>
          <w:bCs/>
        </w:rPr>
        <w:t xml:space="preserve">; </w:t>
      </w:r>
    </w:p>
    <w:p>
      <w:pPr>
        <w:pStyle w:val="ListParagraph"/>
        <w:numPr>
          <w:ilvl w:val="0"/>
          <w:numId w:val="14"/>
        </w:numPr>
        <w:shd w:val="clear" w:color="auto" w:fill="FFFFFF"/>
        <w:tabs>
          <w:tab w:val="left" w:pos="709" w:leader="none"/>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0"/>
          <w:numId w:val="14"/>
        </w:numPr>
        <w:shd w:val="clear" w:color="auto" w:fill="FFFFFF"/>
        <w:tabs>
          <w:tab w:val="left" w:pos="709" w:leader="none"/>
        </w:tabs>
        <w:ind w:left="0" w:firstLine="709"/>
        <w:jc w:val="both"/>
        <w:rPr>
          <w:bCs/>
        </w:rPr>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Pr/>
        <w:t>соответствующим актам сдачи-приемки (Приложение № 3 к Договору) в соответствии с пунктами 2.1.2 и 2.1.3 Договора.</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pPr>
        <w:pStyle w:val="ListParagraph"/>
        <w:numPr>
          <w:ilvl w:val="2"/>
          <w:numId w:val="4"/>
        </w:numPr>
        <w:shd w:val="clear" w:color="auto" w:fill="FFFFFF"/>
        <w:tabs>
          <w:tab w:val="clear" w:pos="709"/>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left="0" w:firstLine="709"/>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xml:space="preserve">, </w:t>
      </w:r>
      <w:r>
        <w:rPr/>
        <w:t xml:space="preserve">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9"/>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left="0" w:firstLine="709"/>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shd w:val="clear" w:color="auto" w:fill="FFFFFF"/>
        <w:tabs>
          <w:tab w:val="clear" w:pos="709"/>
          <w:tab w:val="left" w:pos="1418" w:leader="none"/>
        </w:tabs>
        <w:ind w:left="0" w:firstLine="709"/>
        <w:jc w:val="both"/>
        <w:rPr/>
      </w:pPr>
      <w:r>
        <w:rPr/>
        <w:t>Обеспечить:</w:t>
      </w:r>
    </w:p>
    <w:p>
      <w:pPr>
        <w:pStyle w:val="ListParagraph"/>
        <w:numPr>
          <w:ilvl w:val="0"/>
          <w:numId w:val="15"/>
        </w:numPr>
        <w:shd w:val="clear" w:color="auto" w:fill="FFFFFF"/>
        <w:tabs>
          <w:tab w:val="clear" w:pos="709"/>
          <w:tab w:val="left" w:pos="567" w:leader="none"/>
        </w:tabs>
        <w:ind w:left="0" w:firstLine="709"/>
        <w:jc w:val="both"/>
        <w:rPr>
          <w:bCs/>
        </w:rPr>
      </w:pPr>
      <w:r>
        <w:rPr>
          <w:bCs/>
        </w:rPr>
        <w:t xml:space="preserve">участие в саморегулируемой организации, основанной на членстве лиц, </w:t>
      </w:r>
      <w:r>
        <w:rPr>
          <w:shd w:fill="FFFFFF" w:val="clear"/>
        </w:rPr>
        <w:t>осуществляющих строительство</w:t>
      </w:r>
      <w:r>
        <w:rPr>
          <w:bCs/>
        </w:rPr>
        <w:t xml:space="preserve"> (с учетом исключений, предусмотренных законодательством Российской Федерации);</w:t>
      </w:r>
    </w:p>
    <w:p>
      <w:pPr>
        <w:pStyle w:val="ListParagraph"/>
        <w:numPr>
          <w:ilvl w:val="0"/>
          <w:numId w:val="15"/>
        </w:numPr>
        <w:shd w:val="clear" w:color="auto" w:fill="FFFFFF"/>
        <w:tabs>
          <w:tab w:val="clear" w:pos="709"/>
          <w:tab w:val="left" w:pos="567" w:leader="none"/>
          <w:tab w:val="left" w:pos="1418" w:leader="none"/>
        </w:tabs>
        <w:ind w:left="0" w:firstLine="709"/>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t xml:space="preserve"> </w:t>
      </w:r>
      <w:r>
        <w:rPr>
          <w:bCs/>
        </w:rPr>
        <w:t>стоимости выполнения Работ по Договору;</w:t>
      </w:r>
    </w:p>
    <w:p>
      <w:pPr>
        <w:pStyle w:val="ListParagraph"/>
        <w:numPr>
          <w:ilvl w:val="0"/>
          <w:numId w:val="15"/>
        </w:numPr>
        <w:tabs>
          <w:tab w:val="clear" w:pos="709"/>
          <w:tab w:val="left" w:pos="567" w:leader="none"/>
        </w:tabs>
        <w:ind w:left="0" w:firstLine="709"/>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4"/>
        </w:numPr>
        <w:shd w:val="clear" w:color="auto" w:fill="FFFFFF"/>
        <w:tabs>
          <w:tab w:val="clear" w:pos="709"/>
          <w:tab w:val="left" w:pos="1418" w:leader="none"/>
        </w:tabs>
        <w:ind w:left="0" w:firstLine="709"/>
        <w:jc w:val="both"/>
        <w:rPr>
          <w:bCs/>
        </w:rPr>
      </w:pPr>
      <w:r>
        <w:rPr/>
        <w:t>Выполнять</w:t>
      </w:r>
      <w:r>
        <w:rPr>
          <w:bCs/>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shd w:val="clear" w:color="auto" w:fill="FFFFFF"/>
        <w:tabs>
          <w:tab w:val="clear" w:pos="709"/>
          <w:tab w:val="left" w:pos="1418" w:leader="none"/>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9"/>
          <w:tab w:val="left" w:pos="1418" w:leader="none"/>
        </w:tabs>
        <w:ind w:left="0" w:firstLine="709"/>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9"/>
          <w:tab w:val="left" w:pos="1418" w:leader="none"/>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4"/>
        </w:numPr>
        <w:shd w:val="clear" w:color="auto" w:fill="FFFFFF"/>
        <w:tabs>
          <w:tab w:val="clear" w:pos="709"/>
          <w:tab w:val="left" w:pos="1418" w:leader="none"/>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 </w:t>
      </w:r>
      <w:r>
        <w:rPr>
          <w:bCs/>
        </w:rPr>
        <w:t>Передать Заказчику в полном объеме</w:t>
      </w:r>
      <w:r>
        <w:rPr/>
        <w:t xml:space="preserve"> лом черных и цветных металлов, </w:t>
      </w:r>
      <w:r>
        <w:rPr>
          <w:bCs/>
        </w:rPr>
        <w:t>образовавшийся в ходе выполнения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9"/>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9"/>
          <w:tab w:val="left" w:pos="1418" w:leader="none"/>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shd w:val="clear" w:color="auto" w:fill="FFFFFF"/>
        <w:tabs>
          <w:tab w:val="clear" w:pos="709"/>
          <w:tab w:val="left" w:pos="1701" w:leader="none"/>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shd w:val="clear" w:color="auto" w:fill="FFFFFF"/>
        <w:tabs>
          <w:tab w:val="clear" w:pos="709"/>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shd w:val="clear" w:color="auto" w:fill="FFFFFF"/>
        <w:tabs>
          <w:tab w:val="clear" w:pos="709"/>
          <w:tab w:val="left" w:pos="1701" w:leader="none"/>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left="0" w:firstLine="709"/>
        <w:jc w:val="both"/>
        <w:rPr>
          <w:bCs/>
        </w:rPr>
      </w:pPr>
      <w:r>
        <w:rPr>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ind w:left="0" w:right="23" w:firstLine="709"/>
        <w:jc w:val="both"/>
        <w:rPr/>
      </w:pPr>
      <w:r>
        <w:rPr/>
        <w:t>аварии – в течение 2 (двух) часов;</w:t>
      </w:r>
    </w:p>
    <w:p>
      <w:pPr>
        <w:pStyle w:val="ListParagraph"/>
        <w:numPr>
          <w:ilvl w:val="0"/>
          <w:numId w:val="16"/>
        </w:numPr>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6"/>
        </w:numPr>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6"/>
        </w:numPr>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ind w:left="0" w:right="23" w:firstLine="709"/>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shd w:val="clear" w:color="auto" w:fill="FFFFFF"/>
        <w:tabs>
          <w:tab w:val="clear" w:pos="709"/>
          <w:tab w:val="left" w:pos="1418" w:leader="none"/>
        </w:tabs>
        <w:ind w:left="0" w:firstLine="709"/>
        <w:jc w:val="both"/>
        <w:rPr/>
      </w:pPr>
      <w:r>
        <w:rPr/>
        <w:t xml:space="preserve">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соответствующему </w:t>
      </w:r>
      <w:r>
        <w:rPr>
          <w:bCs/>
        </w:rPr>
        <w:t>–Акту сдачи-приемки места производства работ</w:t>
      </w:r>
      <w:r>
        <w:rPr/>
        <w:t xml:space="preserve"> (Приложения № 3 к Договору).</w:t>
      </w:r>
    </w:p>
    <w:p>
      <w:pPr>
        <w:pStyle w:val="ListParagraph"/>
        <w:numPr>
          <w:ilvl w:val="2"/>
          <w:numId w:val="4"/>
        </w:numPr>
        <w:shd w:val="clear" w:color="auto" w:fill="FFFFFF"/>
        <w:tabs>
          <w:tab w:val="clear" w:pos="709"/>
          <w:tab w:val="left" w:pos="1418" w:leader="none"/>
        </w:tabs>
        <w:ind w:left="0" w:firstLine="709"/>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clear" w:pos="709"/>
          <w:tab w:val="left" w:pos="1418" w:leader="none"/>
        </w:tabs>
        <w:ind w:left="0" w:firstLine="709"/>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4"/>
        </w:numPr>
        <w:shd w:val="clear" w:color="auto" w:fill="FFFFFF"/>
        <w:tabs>
          <w:tab w:val="clear" w:pos="709"/>
          <w:tab w:val="left" w:pos="1418" w:leader="none"/>
        </w:tabs>
        <w:ind w:left="0" w:firstLine="709"/>
        <w:jc w:val="both"/>
        <w:rPr>
          <w:bCs/>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shd w:val="clear" w:color="auto" w:fill="FFFFFF"/>
        <w:tabs>
          <w:tab w:val="clear" w:pos="709"/>
          <w:tab w:val="left" w:pos="1418" w:leader="none"/>
        </w:tabs>
        <w:ind w:left="0" w:firstLine="709"/>
        <w:jc w:val="both"/>
        <w:rPr>
          <w:bCs/>
        </w:rPr>
      </w:pPr>
      <w:r>
        <w:rPr/>
        <w:t>Указанное уведомление должно быть получено Заказчиком заблаговременно</w:t>
      </w:r>
      <w:r>
        <w:rPr>
          <w:bCs/>
        </w:rPr>
        <w:t xml:space="preserve">, но не позднее, чем за </w:t>
      </w:r>
      <w:r>
        <w:rPr/>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объекта капитального строительства, утвержденным Постановлением Правительства Российской Федерации от 21.06.2010 № 468.</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9"/>
          <w:tab w:val="left" w:pos="1418" w:leader="none"/>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ind w:left="0" w:firstLine="709"/>
        <w:jc w:val="both"/>
        <w:rPr>
          <w:color w:val="000000"/>
        </w:rPr>
      </w:pPr>
      <w:r>
        <w:rPr>
          <w:color w:val="000000"/>
        </w:rPr>
        <w:t>Предоставить Заказчику Банковскую гарантию в соответствии с разделом 6 Договора.</w:t>
      </w:r>
    </w:p>
    <w:p>
      <w:pPr>
        <w:pStyle w:val="ListParagraph"/>
        <w:numPr>
          <w:ilvl w:val="2"/>
          <w:numId w:val="4"/>
        </w:numPr>
        <w:ind w:left="0" w:firstLine="709"/>
        <w:jc w:val="both"/>
        <w:rPr>
          <w:color w:val="000000"/>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shd w:val="clear" w:color="auto" w:fill="FFFFFF"/>
        <w:tabs>
          <w:tab w:val="clear" w:pos="709"/>
          <w:tab w:val="left" w:pos="1418" w:leader="none"/>
        </w:tabs>
        <w:ind w:left="0" w:firstLine="709"/>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организовать выполнение Работ.</w:t>
      </w:r>
    </w:p>
    <w:p>
      <w:pPr>
        <w:pStyle w:val="ListParagraph"/>
        <w:numPr>
          <w:ilvl w:val="2"/>
          <w:numId w:val="4"/>
        </w:numPr>
        <w:shd w:val="clear" w:color="auto" w:fill="FFFFFF"/>
        <w:tabs>
          <w:tab w:val="clear" w:pos="709"/>
          <w:tab w:val="left" w:pos="851" w:leader="none"/>
        </w:tabs>
        <w:ind w:left="0" w:firstLine="709"/>
        <w:jc w:val="both"/>
        <w:rPr>
          <w:bCs/>
        </w:rPr>
      </w:pPr>
      <w:r>
        <w:rPr>
          <w:bCs/>
        </w:rPr>
        <w:t xml:space="preserve">При необходимости по предварительному письменному согласованию </w:t>
        <w:br/>
        <w:t>с Заказчиком заключать договоры субподряда в совокупности не более чем на ___ (_______</w:t>
      </w:r>
      <w:r>
        <w:rPr>
          <w:bCs/>
          <w:highlight w:val="lightGray"/>
        </w:rPr>
        <w:t>)</w:t>
      </w:r>
      <w:r>
        <w:rPr>
          <w:bCs/>
        </w:rPr>
        <w:t xml:space="preserve"> 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проект договора с Субподрядчиком;</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сведения об объемах выполнения работ Субподрядчиком;</w:t>
      </w:r>
    </w:p>
    <w:p>
      <w:pPr>
        <w:pStyle w:val="ListParagraph"/>
        <w:numPr>
          <w:ilvl w:val="0"/>
          <w:numId w:val="24"/>
        </w:numPr>
        <w:tabs>
          <w:tab w:val="left" w:pos="709" w:leader="none"/>
        </w:tabs>
        <w:ind w:left="0" w:firstLine="709"/>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23"/>
        </w:numPr>
        <w:tabs>
          <w:tab w:val="left" w:pos="709" w:leader="none"/>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ind w:left="0" w:hanging="0"/>
        <w:jc w:val="both"/>
        <w:rPr/>
      </w:pPr>
      <w:r>
        <w:rPr/>
      </w:r>
    </w:p>
    <w:p>
      <w:pPr>
        <w:pStyle w:val="ListParagraph"/>
        <w:numPr>
          <w:ilvl w:val="0"/>
          <w:numId w:val="4"/>
        </w:numPr>
        <w:shd w:val="clear" w:color="auto" w:fill="FFFFFF"/>
        <w:tabs>
          <w:tab w:val="clear" w:pos="709"/>
          <w:tab w:val="left" w:pos="284" w:leader="none"/>
        </w:tabs>
        <w:ind w:left="0" w:hanging="0"/>
        <w:jc w:val="center"/>
        <w:rPr/>
      </w:pPr>
      <w:r>
        <w:rPr>
          <w:b/>
          <w:bCs/>
        </w:rPr>
        <w:t>Цена Договора и порядок расчетов</w:t>
      </w:r>
    </w:p>
    <w:p>
      <w:pPr>
        <w:pStyle w:val="ListParagraph"/>
        <w:numPr>
          <w:ilvl w:val="1"/>
          <w:numId w:val="4"/>
        </w:numPr>
        <w:shd w:val="clear" w:color="auto" w:fill="FFFFFF"/>
        <w:tabs>
          <w:tab w:val="clear" w:pos="709"/>
          <w:tab w:val="left" w:pos="1134" w:leader="none"/>
        </w:tabs>
        <w:ind w:left="0" w:firstLine="709"/>
        <w:jc w:val="both"/>
        <w:rPr>
          <w:bCs/>
        </w:rPr>
      </w:pPr>
      <w:bookmarkStart w:id="12" w:name="_Ref361335465"/>
      <w:bookmarkEnd w:id="12"/>
      <w:r>
        <w:rPr>
          <w:bCs/>
        </w:rPr>
        <w:t xml:space="preserve">Цена </w:t>
      </w:r>
      <w:r>
        <w:rPr/>
        <w:t xml:space="preserve">Договора </w:t>
      </w:r>
      <w:r>
        <w:rPr>
          <w:bCs/>
        </w:rPr>
        <w:t>в соответствии со Сводным сметным расчетом</w:t>
      </w:r>
      <w:r>
        <w:rPr/>
        <w:t xml:space="preserve"> с приложениями </w:t>
      </w:r>
      <w:r>
        <w:rPr>
          <w:bCs/>
        </w:rPr>
        <w:t>(Приложение № 2 к Договору) является твердой и составляет _____</w:t>
      </w:r>
      <w:r>
        <w:rPr>
          <w:b/>
          <w:bCs/>
        </w:rPr>
        <w:t xml:space="preserve"> (_______) рублей ____копейки,</w:t>
      </w:r>
      <w:r>
        <w:rPr>
          <w:bCs/>
        </w:rPr>
        <w:t xml:space="preserve"> без учёта НДС, при этом НДС исчисляется дополнительно по ставке, установленной ст.164 Налогового кодекса РФ. </w:t>
      </w:r>
    </w:p>
    <w:p>
      <w:pPr>
        <w:pStyle w:val="ListParagraph"/>
        <w:numPr>
          <w:ilvl w:val="1"/>
          <w:numId w:val="4"/>
        </w:numPr>
        <w:shd w:val="clear" w:color="auto" w:fill="FFFFFF"/>
        <w:tabs>
          <w:tab w:val="clear" w:pos="709"/>
          <w:tab w:val="left" w:pos="1134" w:leader="none"/>
        </w:tabs>
        <w:ind w:left="0" w:firstLine="709"/>
        <w:jc w:val="both"/>
        <w:rPr/>
      </w:pPr>
      <w:bookmarkStart w:id="13" w:name="_Ref361834605"/>
      <w:r>
        <w:rPr>
          <w:bCs/>
        </w:rPr>
        <w:t>Локальные сметы являются неотъемлемой частью Договора (Приложение № 2 к Договору</w:t>
      </w:r>
      <w:bookmarkEnd w:id="13"/>
      <w:r>
        <w:rPr>
          <w:bCs/>
        </w:rPr>
        <w:t>.</w:t>
      </w:r>
    </w:p>
    <w:p>
      <w:pPr>
        <w:pStyle w:val="ListParagraph"/>
        <w:numPr>
          <w:ilvl w:val="1"/>
          <w:numId w:val="4"/>
        </w:numPr>
        <w:shd w:val="clear" w:color="auto" w:fill="FFFFFF"/>
        <w:tabs>
          <w:tab w:val="clear" w:pos="709"/>
          <w:tab w:val="left" w:pos="1134" w:leader="none"/>
        </w:tabs>
        <w:ind w:left="0" w:firstLine="709"/>
        <w:jc w:val="both"/>
        <w:rPr>
          <w:bCs/>
        </w:rPr>
      </w:pPr>
      <w:bookmarkStart w:id="14" w:name="_Ref361335465_Копия_1"/>
      <w:bookmarkEnd w:id="14"/>
      <w:r>
        <w:rPr>
          <w:bCs/>
        </w:rPr>
        <w:t>Цена Договора включает в себя прибыль Подрядчика, а также все расходы и затраты Подрядчика на:</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выполнение ремонтных работ;</w:t>
      </w:r>
    </w:p>
    <w:p>
      <w:pPr>
        <w:pStyle w:val="ListParagraph"/>
        <w:numPr>
          <w:ilvl w:val="2"/>
          <w:numId w:val="4"/>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shd w:val="clear" w:color="auto" w:fill="FFFFFF"/>
        <w:tabs>
          <w:tab w:val="clear" w:pos="709"/>
          <w:tab w:val="left" w:pos="1418" w:leader="none"/>
        </w:tabs>
        <w:ind w:left="0" w:firstLine="709"/>
        <w:jc w:val="both"/>
        <w:rPr/>
      </w:pPr>
      <w:r>
        <w:rPr/>
        <w:t xml:space="preserve">заработную плату, накладные расходы, перемещение и размещение персонала Подрядчика; </w:t>
      </w:r>
    </w:p>
    <w:p>
      <w:pPr>
        <w:pStyle w:val="ListParagraph"/>
        <w:numPr>
          <w:ilvl w:val="2"/>
          <w:numId w:val="4"/>
        </w:numPr>
        <w:shd w:val="clear" w:color="auto" w:fill="FFFFFF"/>
        <w:tabs>
          <w:tab w:val="clear" w:pos="709"/>
          <w:tab w:val="left" w:pos="1418" w:leader="none"/>
        </w:tabs>
        <w:ind w:left="0" w:firstLine="709"/>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4"/>
        </w:numPr>
        <w:shd w:val="clear" w:color="auto" w:fill="FFFFFF"/>
        <w:tabs>
          <w:tab w:val="clear" w:pos="709"/>
          <w:tab w:val="left" w:pos="1418" w:leader="none"/>
        </w:tabs>
        <w:ind w:left="0" w:firstLine="709"/>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shd w:val="clear" w:color="auto" w:fill="FFFFFF"/>
        <w:tabs>
          <w:tab w:val="clear" w:pos="709"/>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shd w:val="clear" w:color="auto" w:fill="FFFFFF"/>
        <w:tabs>
          <w:tab w:val="clear" w:pos="709"/>
          <w:tab w:val="left" w:pos="1134" w:leader="none"/>
        </w:tabs>
        <w:ind w:left="0" w:firstLine="709"/>
        <w:jc w:val="both"/>
        <w:rPr>
          <w:bCs/>
        </w:rPr>
      </w:pPr>
      <w:bookmarkStart w:id="15" w:name="_Ref361834675"/>
      <w:bookmarkStart w:id="16" w:name="_Ref361858588"/>
      <w:r>
        <w:rPr>
          <w:bCs/>
        </w:rPr>
        <w:t>Оплата по Договору осуществляется Заказчиком в следующем порядке:</w:t>
      </w:r>
      <w:bookmarkEnd w:id="15"/>
      <w:bookmarkEnd w:id="16"/>
      <w:r>
        <w:rPr>
          <w:bCs/>
        </w:rPr>
        <w:t xml:space="preserve"> </w:t>
      </w:r>
    </w:p>
    <w:p>
      <w:pPr>
        <w:pStyle w:val="ListParagraph"/>
        <w:numPr>
          <w:ilvl w:val="2"/>
          <w:numId w:val="4"/>
        </w:numPr>
        <w:shd w:val="clear" w:color="auto" w:fill="FFFFFF"/>
        <w:tabs>
          <w:tab w:val="clear" w:pos="709"/>
          <w:tab w:val="left" w:pos="1418" w:leader="none"/>
        </w:tabs>
        <w:ind w:left="0" w:firstLine="709"/>
        <w:jc w:val="both"/>
        <w:rPr/>
      </w:pPr>
      <w: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shd w:val="clear" w:color="auto" w:fill="FFFFFF"/>
        <w:tabs>
          <w:tab w:val="clear" w:pos="709"/>
          <w:tab w:val="left" w:pos="1418" w:leader="none"/>
        </w:tabs>
        <w:ind w:left="0" w:firstLine="709"/>
        <w:jc w:val="both"/>
        <w:rPr/>
      </w:pPr>
      <w:bookmarkStart w:id="17" w:name="_Ref373242766"/>
      <w:bookmarkStart w:id="18" w:name="_Ref361335023"/>
      <w:bookmarkStart w:id="19" w:name="_Ref361335057_Копия_1"/>
      <w:bookmarkStart w:id="20" w:name="_Ref361834178"/>
      <w:bookmarkStart w:id="21" w:name="_Ref373242755_Копия_1"/>
      <w:bookmarkEnd w:id="18"/>
      <w:bookmarkEnd w:id="19"/>
      <w:bookmarkEnd w:id="20"/>
      <w:bookmarkEnd w:id="21"/>
      <w:r>
        <w:rPr/>
        <w:t>Авансовый платеж в счет стоимости Работ по Договору в размере 10 (десяти) процентов от Цены Договора  без учета НДС, кроме того НДС по ставке, установленной статьей 164 НК РФ на дату выплаты авансового платежа, выплачивается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начала выполнения Работ, определенной в пункте 1.5. Договора, и с учетом пунктов 3.5.1, 3.5.4 Догов</w:t>
      </w:r>
      <w:bookmarkEnd w:id="17"/>
      <w:r>
        <w:rPr/>
        <w:t>ора.</w:t>
      </w:r>
    </w:p>
    <w:p>
      <w:pPr>
        <w:pStyle w:val="ListParagraph"/>
        <w:numPr>
          <w:ilvl w:val="2"/>
          <w:numId w:val="4"/>
        </w:numPr>
        <w:ind w:left="0" w:firstLine="709"/>
        <w:jc w:val="both"/>
        <w:rPr/>
      </w:pPr>
      <w:r>
        <w:rPr/>
        <w:t>Окончательный платеж в размере 90% (девяноста процентов) от Цены Договора выплачивается в течение 7 (семи) рабочих дней</w:t>
      </w:r>
      <w:r>
        <w:rPr>
          <w:vertAlign w:val="superscript"/>
        </w:rPr>
        <w:t xml:space="preserve"> </w:t>
      </w:r>
      <w:r>
        <w:rPr/>
        <w:t>с даты подписания Сторонами документов, указанных в пункте 4.1 Договора, на основании счёта, выставленного Подрядчиком, и с учетом пункта 3.5.4 Договора.</w:t>
      </w:r>
    </w:p>
    <w:p>
      <w:pPr>
        <w:pStyle w:val="ListParagraph"/>
        <w:numPr>
          <w:ilvl w:val="2"/>
          <w:numId w:val="4"/>
        </w:numPr>
        <w:shd w:val="clear" w:color="auto" w:fill="FFFFFF"/>
        <w:tabs>
          <w:tab w:val="clear" w:pos="709"/>
          <w:tab w:val="left" w:pos="1418" w:leader="none"/>
        </w:tabs>
        <w:ind w:left="0" w:firstLine="709"/>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4"/>
        </w:numPr>
        <w:shd w:val="clear" w:color="auto" w:fill="FFFFFF"/>
        <w:tabs>
          <w:tab w:val="clear" w:pos="709"/>
          <w:tab w:val="left" w:pos="1418" w:leader="none"/>
        </w:tabs>
        <w:ind w:left="0" w:firstLine="709"/>
        <w:jc w:val="both"/>
        <w:rPr>
          <w:bCs/>
        </w:rPr>
      </w:pPr>
      <w:bookmarkStart w:id="22" w:name="_Ref373242894"/>
      <w:bookmarkStart w:id="23" w:name="_Ref361834178_Копия_1"/>
      <w:bookmarkEnd w:id="23"/>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22"/>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4" w:name="_Ref361336647"/>
      <w:bookmarkEnd w:id="24"/>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4"/>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4"/>
        </w:numPr>
        <w:shd w:val="clear" w:color="auto" w:fill="FFFFFF"/>
        <w:tabs>
          <w:tab w:val="clear" w:pos="709"/>
          <w:tab w:val="left" w:pos="1134" w:leader="none"/>
        </w:tabs>
        <w:ind w:left="0" w:firstLine="709"/>
        <w:jc w:val="both"/>
        <w:rPr/>
      </w:pPr>
      <w:bookmarkStart w:id="25" w:name="_Ref361834251"/>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выполненного Подрядчиком Работ.</w:t>
      </w:r>
      <w:bookmarkEnd w:id="25"/>
    </w:p>
    <w:p>
      <w:pPr>
        <w:pStyle w:val="ListParagraph"/>
        <w:shd w:val="clear" w:color="auto" w:fill="FFFFFF"/>
        <w:tabs>
          <w:tab w:val="clear" w:pos="709"/>
          <w:tab w:val="left" w:pos="1134" w:leader="none"/>
        </w:tabs>
        <w:ind w:left="0" w:firstLine="709"/>
        <w:jc w:val="both"/>
        <w:rPr/>
      </w:pPr>
      <w: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firstLine="567"/>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Порядок сдачи-приемки Работ</w:t>
      </w:r>
    </w:p>
    <w:p>
      <w:pPr>
        <w:pStyle w:val="ListParagraph"/>
        <w:numPr>
          <w:ilvl w:val="1"/>
          <w:numId w:val="4"/>
        </w:numPr>
        <w:shd w:val="clear" w:color="auto" w:fill="FFFFFF"/>
        <w:tabs>
          <w:tab w:val="clear" w:pos="709"/>
          <w:tab w:val="left" w:pos="1134" w:leader="none"/>
        </w:tabs>
        <w:ind w:left="0" w:firstLine="709"/>
        <w:jc w:val="both"/>
        <w:rPr/>
      </w:pPr>
      <w:bookmarkStart w:id="26" w:name="_Ref361336865"/>
      <w:r>
        <w:rPr>
          <w:bCs/>
        </w:rPr>
        <w:t>По завершении выполнения Работ по Договору Подрядчик в течение 3 (трех) рабочих дней представляет Заказчику подписанные со своей стороны:</w:t>
      </w:r>
    </w:p>
    <w:p>
      <w:pPr>
        <w:pStyle w:val="ListParagraph"/>
        <w:numPr>
          <w:ilvl w:val="0"/>
          <w:numId w:val="17"/>
        </w:numPr>
        <w:shd w:val="clear" w:color="auto" w:fill="FFFFFF"/>
        <w:tabs>
          <w:tab w:val="clear" w:pos="709"/>
          <w:tab w:val="left" w:pos="1418" w:leader="none"/>
        </w:tabs>
        <w:ind w:left="0" w:firstLine="709"/>
        <w:jc w:val="both"/>
        <w:rPr/>
      </w:pPr>
      <w:r>
        <w:rPr/>
        <w:t xml:space="preserve">Акт КС-2, Справку КС-3 </w:t>
      </w:r>
      <w:r>
        <w:rPr>
          <w:bCs/>
        </w:rPr>
        <w:t>н</w:t>
      </w:r>
      <w:r>
        <w:rPr/>
        <w:t>а весь объем выполненных Работ по Объекту в 2 (двух) экземплярах</w:t>
      </w:r>
      <w:r>
        <w:rPr>
          <w:bCs/>
        </w:rPr>
        <w:t xml:space="preserve"> с приложением Приемо-сдаточной и Исполнительной документации </w:t>
      </w:r>
      <w:r>
        <w:rPr/>
        <w:t xml:space="preserve">в 3 (трех) экземплярах, а также электронные версии Акта КС-2 и Справки КС-3 в формате *gsfx ПК «ГРАНД Сметы» на цифровом носителе; </w:t>
      </w:r>
    </w:p>
    <w:p>
      <w:pPr>
        <w:pStyle w:val="ListParagraph"/>
        <w:numPr>
          <w:ilvl w:val="0"/>
          <w:numId w:val="17"/>
        </w:numPr>
        <w:shd w:val="clear" w:color="auto" w:fill="FFFFFF"/>
        <w:tabs>
          <w:tab w:val="clear" w:pos="709"/>
          <w:tab w:val="left" w:pos="1418" w:leader="none"/>
        </w:tabs>
        <w:ind w:left="0" w:firstLine="709"/>
        <w:jc w:val="both"/>
        <w:rPr/>
      </w:pPr>
      <w:r>
        <w:rPr/>
        <w:t>Акт</w:t>
      </w:r>
      <w:r>
        <w:rPr>
          <w:bCs/>
        </w:rPr>
        <w:t xml:space="preserve"> ОС-3 в 2 (двух) экземплярах</w:t>
      </w:r>
      <w:r>
        <w:rPr/>
        <w:t>.</w:t>
      </w:r>
      <w:bookmarkEnd w:id="26"/>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 </w:t>
      </w:r>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4"/>
        </w:numPr>
        <w:shd w:val="clear" w:color="auto" w:fill="FFFFFF"/>
        <w:tabs>
          <w:tab w:val="clear" w:pos="709"/>
          <w:tab w:val="left" w:pos="1134" w:leader="none"/>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4"/>
        </w:numPr>
        <w:shd w:val="clear" w:color="auto" w:fill="FFFFFF"/>
        <w:tabs>
          <w:tab w:val="clear" w:pos="709"/>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shd w:val="clear" w:color="auto" w:fill="FFFFFF"/>
        <w:tabs>
          <w:tab w:val="clear" w:pos="709"/>
          <w:tab w:val="left" w:pos="1134" w:leader="none"/>
        </w:tabs>
        <w:ind w:left="0" w:firstLine="709"/>
        <w:jc w:val="both"/>
        <w:rPr>
          <w:bCs/>
        </w:rPr>
      </w:pPr>
      <w:bookmarkStart w:id="27" w:name="_Ref361337635"/>
      <w:r>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7"/>
    </w:p>
    <w:p>
      <w:pPr>
        <w:pStyle w:val="ListParagraph"/>
        <w:shd w:val="clear" w:color="auto" w:fill="FFFFFF"/>
        <w:tabs>
          <w:tab w:val="clear" w:pos="709"/>
          <w:tab w:val="left" w:pos="1134" w:leader="none"/>
        </w:tabs>
        <w:ind w:left="0" w:hanging="0"/>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Право собственности и переход рисков</w:t>
      </w:r>
    </w:p>
    <w:p>
      <w:pPr>
        <w:pStyle w:val="ListParagraph"/>
        <w:numPr>
          <w:ilvl w:val="1"/>
          <w:numId w:val="4"/>
        </w:numPr>
        <w:shd w:val="clear" w:color="auto" w:fill="FFFFFF"/>
        <w:tabs>
          <w:tab w:val="clear" w:pos="709"/>
          <w:tab w:val="left" w:pos="1134" w:leader="none"/>
        </w:tabs>
        <w:ind w:left="0" w:firstLine="709"/>
        <w:jc w:val="both"/>
        <w:rPr>
          <w:bCs/>
        </w:rPr>
      </w:pPr>
      <w:bookmarkStart w:id="28" w:name="_Ref361405028"/>
      <w:r>
        <w:rPr>
          <w:bCs/>
        </w:rPr>
        <w:t xml:space="preserve">Риск случайной гибели или повреждения Результата Работ в отношении Объекта, включая Материально-технические ресурсы, переходит к Заказчику с момента подписания Акта </w:t>
      </w:r>
      <w:r>
        <w:rPr/>
        <w:t>КС-2</w:t>
      </w:r>
      <w:r>
        <w:rPr>
          <w:bCs/>
        </w:rPr>
        <w:t>. До подписания Сторонами указанного Акта риск случайной гибели или повреждения Результата Работ и Материально-технических ресурсов, несет Подрядчик.</w:t>
      </w:r>
      <w:bookmarkEnd w:id="28"/>
    </w:p>
    <w:p>
      <w:pPr>
        <w:pStyle w:val="ListParagraph"/>
        <w:shd w:val="clear" w:color="auto" w:fill="FFFFFF"/>
        <w:tabs>
          <w:tab w:val="clear" w:pos="709"/>
          <w:tab w:val="left" w:pos="1134" w:leader="none"/>
        </w:tabs>
        <w:ind w:left="0" w:hanging="0"/>
        <w:jc w:val="both"/>
        <w:rPr>
          <w:bCs/>
        </w:rPr>
      </w:pPr>
      <w:r>
        <w:rPr>
          <w:bCs/>
        </w:rPr>
      </w:r>
    </w:p>
    <w:p>
      <w:pPr>
        <w:pStyle w:val="ListParagraph"/>
        <w:numPr>
          <w:ilvl w:val="0"/>
          <w:numId w:val="25"/>
        </w:numPr>
        <w:shd w:val="clear" w:color="auto" w:fill="FFFFFF"/>
        <w:tabs>
          <w:tab w:val="clear" w:pos="709"/>
          <w:tab w:val="left" w:pos="284" w:leader="none"/>
        </w:tabs>
        <w:ind w:left="0" w:hanging="0"/>
        <w:jc w:val="center"/>
        <w:rPr>
          <w:b/>
          <w:bCs/>
        </w:rPr>
      </w:pPr>
      <w:r>
        <w:rPr>
          <w:b/>
          <w:bCs/>
        </w:rPr>
        <w:t>Банковские гарантии</w:t>
      </w:r>
    </w:p>
    <w:p>
      <w:pPr>
        <w:pStyle w:val="ListParagraph"/>
        <w:numPr>
          <w:ilvl w:val="1"/>
          <w:numId w:val="25"/>
        </w:numPr>
        <w:shd w:val="clear" w:color="auto" w:fill="FFFFFF"/>
        <w:tabs>
          <w:tab w:val="clear" w:pos="709"/>
          <w:tab w:val="left" w:pos="1134" w:leader="none"/>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5"/>
        </w:numPr>
        <w:shd w:val="clear" w:color="auto" w:fill="FFFFFF"/>
        <w:tabs>
          <w:tab w:val="clear" w:pos="709"/>
          <w:tab w:val="left" w:pos="1418" w:leader="none"/>
        </w:tabs>
        <w:ind w:left="0" w:firstLine="709"/>
        <w:jc w:val="both"/>
        <w:rPr>
          <w:bCs/>
        </w:rPr>
      </w:pPr>
      <w:r>
        <w:rPr>
          <w:bCs/>
        </w:rPr>
        <w:t>Бенефициар по Банковской гарантии – Заказчик, принципал – Подрядчик;</w:t>
      </w:r>
    </w:p>
    <w:p>
      <w:pPr>
        <w:pStyle w:val="ListParagraph"/>
        <w:numPr>
          <w:ilvl w:val="2"/>
          <w:numId w:val="25"/>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25"/>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pPr>
        <w:pStyle w:val="ListParagraph"/>
        <w:numPr>
          <w:ilvl w:val="2"/>
          <w:numId w:val="25"/>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tabs>
          <w:tab w:val="clear" w:pos="709"/>
          <w:tab w:val="left" w:pos="1418" w:leader="none"/>
        </w:tabs>
        <w:spacing w:lineRule="auto" w:line="240"/>
        <w:ind w:hanging="0"/>
        <w:rPr>
          <w:bCs/>
          <w:sz w:val="24"/>
          <w:szCs w:val="24"/>
        </w:rPr>
      </w:pPr>
      <w:r>
        <w:rPr>
          <w:bCs/>
          <w:sz w:val="24"/>
          <w:szCs w:val="24"/>
        </w:rPr>
        <w:t>- отказа Подрядчика от исполнения обязательств по Договору, в том числе одностороннего отказа от Договора;</w:t>
      </w:r>
    </w:p>
    <w:p>
      <w:pPr>
        <w:pStyle w:val="Normal"/>
        <w:tabs>
          <w:tab w:val="clear" w:pos="709"/>
          <w:tab w:val="left" w:pos="1418" w:leader="none"/>
        </w:tabs>
        <w:spacing w:lineRule="auto" w:line="240"/>
        <w:ind w:hanging="0"/>
        <w:rPr>
          <w:bCs/>
          <w:sz w:val="24"/>
          <w:szCs w:val="24"/>
        </w:rPr>
      </w:pPr>
      <w:r>
        <w:rPr>
          <w:bCs/>
          <w:sz w:val="24"/>
          <w:szCs w:val="24"/>
        </w:rPr>
        <w:t>- отказа Подрядчика от возврата неотработанного аванса при досрочном прекращении Договора / признании Договора недействительным;</w:t>
      </w:r>
    </w:p>
    <w:p>
      <w:pPr>
        <w:pStyle w:val="Normal"/>
        <w:tabs>
          <w:tab w:val="clear" w:pos="709"/>
          <w:tab w:val="left" w:pos="1418" w:leader="none"/>
        </w:tabs>
        <w:spacing w:lineRule="auto" w:line="240"/>
        <w:ind w:hanging="0"/>
        <w:rPr>
          <w:bCs/>
          <w:sz w:val="24"/>
          <w:szCs w:val="24"/>
        </w:rPr>
      </w:pPr>
      <w:r>
        <w:rPr>
          <w:bCs/>
          <w:sz w:val="24"/>
          <w:szCs w:val="24"/>
        </w:rPr>
        <w:t>- нарушения Подрядчиком сроков</w:t>
      </w:r>
      <w:r>
        <w:rPr/>
        <w:t xml:space="preserve"> </w:t>
      </w:r>
      <w:r>
        <w:rPr>
          <w:bCs/>
          <w:sz w:val="24"/>
          <w:szCs w:val="24"/>
        </w:rPr>
        <w:t>выполнения Работ более, чем на 60 (шестьдесят) календарных дней;</w:t>
      </w:r>
    </w:p>
    <w:p>
      <w:pPr>
        <w:pStyle w:val="Normal"/>
        <w:tabs>
          <w:tab w:val="clear" w:pos="709"/>
          <w:tab w:val="left" w:pos="1418" w:leader="none"/>
        </w:tabs>
        <w:spacing w:lineRule="auto" w:line="240"/>
        <w:ind w:hanging="0"/>
        <w:rPr>
          <w:bCs/>
          <w:sz w:val="24"/>
          <w:szCs w:val="24"/>
        </w:rPr>
      </w:pPr>
      <w:r>
        <w:rPr>
          <w:bCs/>
          <w:sz w:val="24"/>
          <w:szCs w:val="24"/>
        </w:rPr>
        <w:t>- 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tabs>
          <w:tab w:val="clear" w:pos="709"/>
          <w:tab w:val="left" w:pos="1418" w:leader="none"/>
        </w:tabs>
        <w:spacing w:lineRule="auto" w:line="240"/>
        <w:ind w:hanging="0"/>
        <w:rPr>
          <w:bCs/>
          <w:sz w:val="24"/>
          <w:szCs w:val="24"/>
        </w:rPr>
      </w:pPr>
      <w:r>
        <w:rPr>
          <w:bCs/>
          <w:sz w:val="24"/>
          <w:szCs w:val="24"/>
        </w:rPr>
        <w:t>- прекращения членства в СРО, основанной на членстве лиц, осуществляющих подготовку проектной документации;</w:t>
      </w:r>
    </w:p>
    <w:p>
      <w:pPr>
        <w:pStyle w:val="Normal"/>
        <w:tabs>
          <w:tab w:val="clear" w:pos="709"/>
          <w:tab w:val="left" w:pos="1418" w:leader="none"/>
        </w:tabs>
        <w:spacing w:lineRule="auto" w:line="240"/>
        <w:ind w:hanging="0"/>
        <w:rPr>
          <w:bCs/>
          <w:sz w:val="24"/>
          <w:szCs w:val="24"/>
        </w:rPr>
      </w:pPr>
      <w:r>
        <w:rPr>
          <w:bCs/>
          <w:sz w:val="24"/>
          <w:szCs w:val="24"/>
        </w:rPr>
        <w:t>- 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tabs>
          <w:tab w:val="clear" w:pos="709"/>
          <w:tab w:val="left" w:pos="1418" w:leader="none"/>
        </w:tabs>
        <w:spacing w:lineRule="auto" w:line="240"/>
        <w:ind w:hanging="0"/>
        <w:rPr>
          <w:bCs/>
          <w:sz w:val="24"/>
          <w:szCs w:val="24"/>
        </w:rPr>
      </w:pPr>
      <w:r>
        <w:rPr>
          <w:bCs/>
          <w:sz w:val="24"/>
          <w:szCs w:val="24"/>
        </w:rPr>
        <w:t>- 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tabs>
          <w:tab w:val="clear" w:pos="709"/>
          <w:tab w:val="left" w:pos="1418" w:leader="none"/>
        </w:tabs>
        <w:spacing w:lineRule="auto" w:line="240"/>
        <w:ind w:hanging="0"/>
        <w:rPr>
          <w:bCs/>
          <w:sz w:val="24"/>
          <w:szCs w:val="24"/>
        </w:rPr>
      </w:pPr>
      <w:r>
        <w:rPr>
          <w:color w:val="000000"/>
          <w:sz w:val="24"/>
          <w:szCs w:val="24"/>
        </w:rPr>
        <w:t>- 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tabs>
          <w:tab w:val="clear" w:pos="709"/>
          <w:tab w:val="left" w:pos="1418" w:leader="none"/>
        </w:tabs>
        <w:spacing w:lineRule="auto" w:line="240"/>
        <w:ind w:hanging="0"/>
        <w:rPr>
          <w:bCs/>
          <w:sz w:val="24"/>
          <w:szCs w:val="24"/>
        </w:rPr>
      </w:pPr>
      <w:r>
        <w:rPr>
          <w:bCs/>
          <w:sz w:val="24"/>
          <w:szCs w:val="24"/>
        </w:rPr>
        <w:t>- 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shd w:val="clear" w:color="auto" w:fill="FFFFFF"/>
        <w:tabs>
          <w:tab w:val="clear" w:pos="709"/>
          <w:tab w:val="left" w:pos="1418" w:leader="none"/>
        </w:tabs>
        <w:ind w:left="0" w:hanging="0"/>
        <w:jc w:val="both"/>
        <w:rPr/>
      </w:pPr>
      <w:r>
        <w:rPr/>
        <w:t xml:space="preserve">          </w:t>
      </w: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hanging="0"/>
        <w:jc w:val="both"/>
        <w:rPr>
          <w:bCs/>
        </w:rPr>
      </w:pPr>
      <w:r>
        <w:rPr>
          <w:bCs/>
        </w:rPr>
        <w:t xml:space="preserve">            </w:t>
      </w: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shd w:val="clear" w:color="auto" w:fill="FFFFFF"/>
        <w:tabs>
          <w:tab w:val="clear" w:pos="709"/>
          <w:tab w:val="left" w:pos="1418" w:leader="none"/>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ListParagraph"/>
        <w:shd w:val="clear" w:color="auto" w:fill="FFFFFF"/>
        <w:tabs>
          <w:tab w:val="clear" w:pos="709"/>
          <w:tab w:val="left" w:pos="1418" w:leader="none"/>
        </w:tabs>
        <w:ind w:left="0" w:firstLine="709"/>
        <w:jc w:val="both"/>
        <w:rPr>
          <w:bCs/>
        </w:rPr>
      </w:pPr>
      <w:r>
        <w:rPr>
          <w:bCs/>
          <w:color w:val="000000"/>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shd w:val="clear" w:color="auto" w:fill="FFFFFF"/>
        <w:tabs>
          <w:tab w:val="clear" w:pos="709"/>
          <w:tab w:val="left" w:pos="1418" w:leader="none"/>
        </w:tabs>
        <w:ind w:left="0" w:firstLine="709"/>
        <w:jc w:val="both"/>
        <w:rPr>
          <w:bCs/>
        </w:rPr>
      </w:pPr>
      <w:r>
        <w:rPr>
          <w:bCs/>
        </w:rPr>
      </w:r>
    </w:p>
    <w:p>
      <w:pPr>
        <w:pStyle w:val="ListParagraph"/>
        <w:shd w:val="clear" w:color="auto" w:fill="FFFFFF"/>
        <w:tabs>
          <w:tab w:val="clear" w:pos="709"/>
          <w:tab w:val="left" w:pos="1418" w:leader="none"/>
        </w:tabs>
        <w:ind w:left="0" w:firstLine="709"/>
        <w:jc w:val="both"/>
        <w:rPr>
          <w:bCs/>
        </w:rPr>
      </w:pPr>
      <w:r>
        <w:rPr>
          <w:bCs/>
        </w:rPr>
        <w:t>6.1.6 Срок окончания Банковской гарантии должен заканчиваться не ранее 70 (семидесяти) календарных дней после наступления даты завершения Работ , установленной Договором;</w:t>
      </w:r>
    </w:p>
    <w:p>
      <w:pPr>
        <w:pStyle w:val="ListParagraph"/>
        <w:shd w:val="clear" w:color="auto" w:fill="FFFFFF"/>
        <w:tabs>
          <w:tab w:val="clear" w:pos="709"/>
          <w:tab w:val="left" w:pos="1418" w:leader="none"/>
        </w:tabs>
        <w:ind w:left="0" w:firstLine="709"/>
        <w:jc w:val="both"/>
        <w:rPr>
          <w:bCs/>
        </w:rPr>
      </w:pPr>
      <w:r>
        <w:rPr>
          <w:bCs/>
        </w:rPr>
        <w:t>6.1.7 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shd w:val="clear" w:color="auto" w:fill="FFFFFF"/>
        <w:tabs>
          <w:tab w:val="clear" w:pos="709"/>
          <w:tab w:val="left" w:pos="1418" w:leader="none"/>
        </w:tabs>
        <w:ind w:left="0" w:firstLine="709"/>
        <w:jc w:val="both"/>
        <w:rPr>
          <w:bCs/>
        </w:rPr>
      </w:pPr>
      <w:r>
        <w:rPr>
          <w:bCs/>
        </w:rPr>
        <w:t>6.1.8 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shd w:val="clear" w:color="auto" w:fill="FFFFFF"/>
        <w:tabs>
          <w:tab w:val="clear" w:pos="709"/>
          <w:tab w:val="left" w:pos="1418" w:leader="none"/>
        </w:tabs>
        <w:ind w:left="0" w:firstLine="709"/>
        <w:jc w:val="both"/>
        <w:rPr>
          <w:bCs/>
        </w:rPr>
      </w:pPr>
      <w:r>
        <w:rPr>
          <w:bCs/>
        </w:rPr>
        <w:t>6.1.9 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Normal"/>
        <w:shd w:val="clear" w:color="auto" w:fill="FFFFFF"/>
        <w:tabs>
          <w:tab w:val="clear" w:pos="709"/>
          <w:tab w:val="left" w:pos="1418" w:leader="none"/>
        </w:tabs>
        <w:ind w:hanging="0"/>
        <w:rPr>
          <w:bCs/>
        </w:rPr>
      </w:pPr>
      <w:r>
        <w:rPr/>
        <w:t xml:space="preserve">  </w:t>
      </w:r>
      <w:r>
        <w:rPr>
          <w:sz w:val="24"/>
          <w:szCs w:val="24"/>
        </w:rPr>
        <w:t xml:space="preserve"> </w:t>
      </w:r>
      <w:r>
        <w:rPr>
          <w:sz w:val="24"/>
          <w:szCs w:val="24"/>
        </w:rPr>
        <w:t xml:space="preserve">6.1.10.Банковские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left="0" w:firstLine="709"/>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jc w:val="both"/>
        <w:rPr>
          <w:bCs/>
        </w:rPr>
      </w:pPr>
      <w:r>
        <w:rPr/>
        <w:t>- в оригинале на бумажном носителе.</w:t>
      </w:r>
    </w:p>
    <w:p>
      <w:pPr>
        <w:pStyle w:val="Normal"/>
        <w:numPr>
          <w:ilvl w:val="1"/>
          <w:numId w:val="25"/>
        </w:numPr>
        <w:tabs>
          <w:tab w:val="clear" w:pos="709"/>
          <w:tab w:val="left" w:pos="1134" w:leader="none"/>
        </w:tabs>
        <w:spacing w:lineRule="auto" w:line="240"/>
        <w:ind w:left="0" w:firstLine="709"/>
        <w:rPr>
          <w:bCs/>
          <w:sz w:val="24"/>
          <w:szCs w:val="24"/>
        </w:rPr>
      </w:pPr>
      <w:r>
        <w:rPr>
          <w:bCs/>
          <w:sz w:val="24"/>
          <w:szCs w:val="24"/>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при условии подтверждения их выполнения.</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shd w:val="clear" w:color="auto" w:fill="FFFFFF"/>
        <w:tabs>
          <w:tab w:val="clear" w:pos="709"/>
          <w:tab w:val="left" w:pos="1134" w:leader="none"/>
        </w:tabs>
        <w:ind w:left="0" w:hanging="0"/>
        <w:jc w:val="both"/>
        <w:rPr>
          <w:bCs/>
        </w:rPr>
      </w:pPr>
      <w:r>
        <w:rPr>
          <w:bCs/>
        </w:rPr>
        <w:t>- 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shd w:val="clear" w:color="auto" w:fill="FFFFFF"/>
        <w:tabs>
          <w:tab w:val="clear" w:pos="709"/>
          <w:tab w:val="left" w:pos="1134" w:leader="none"/>
        </w:tabs>
        <w:ind w:left="0" w:hanging="0"/>
        <w:jc w:val="both"/>
        <w:rPr>
          <w:bCs/>
        </w:rPr>
      </w:pPr>
      <w:r>
        <w:rPr>
          <w:bCs/>
        </w:rPr>
        <w:t xml:space="preserve">- 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hanging="0"/>
        <w:jc w:val="both"/>
        <w:rPr>
          <w:bCs/>
        </w:rPr>
      </w:pPr>
      <w:r>
        <w:rPr>
          <w:bCs/>
        </w:rPr>
        <w:t xml:space="preserve">           </w:t>
      </w:r>
      <w:r>
        <w:rPr>
          <w:bCs/>
        </w:rPr>
        <w:t>Подрядчик обязан предоставить Заказчику новую Банковскую гарантию</w:t>
      </w:r>
      <w:r>
        <w:rPr/>
        <w:t xml:space="preserve"> другого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hanging="0"/>
        <w:jc w:val="both"/>
        <w:rPr>
          <w:bCs/>
        </w:rPr>
      </w:pPr>
      <w:r>
        <w:rPr>
          <w:bCs/>
        </w:rPr>
        <w:t xml:space="preserve">              </w:t>
      </w: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w:t>
      </w:r>
      <w:r>
        <w:rPr/>
        <w:t>.</w:t>
      </w:r>
    </w:p>
    <w:p>
      <w:pPr>
        <w:pStyle w:val="ListParagraph"/>
        <w:numPr>
          <w:ilvl w:val="1"/>
          <w:numId w:val="25"/>
        </w:numPr>
        <w:shd w:val="clear" w:color="auto" w:fill="FFFFFF"/>
        <w:tabs>
          <w:tab w:val="clear" w:pos="709"/>
          <w:tab w:val="left" w:pos="1134" w:leader="none"/>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shd w:val="clear" w:color="auto" w:fill="FFFFFF"/>
        <w:tabs>
          <w:tab w:val="clear" w:pos="709"/>
          <w:tab w:val="left" w:pos="1134" w:leader="none"/>
        </w:tabs>
        <w:ind w:left="0" w:firstLine="709"/>
        <w:jc w:val="both"/>
        <w:rPr>
          <w:bCs/>
        </w:rPr>
      </w:pPr>
      <w:r>
        <w:rPr>
          <w:bCs/>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Подрядчика составляет 5 000 000 (Пять миллионов) рублей и более без учета НДС. </w:t>
      </w:r>
    </w:p>
    <w:p>
      <w:pPr>
        <w:pStyle w:val="Normal"/>
        <w:numPr>
          <w:ilvl w:val="1"/>
          <w:numId w:val="25"/>
        </w:numPr>
        <w:tabs>
          <w:tab w:val="clear" w:pos="709"/>
          <w:tab w:val="left" w:pos="1134" w:leader="none"/>
        </w:tabs>
        <w:snapToGrid w:val="false"/>
        <w:spacing w:lineRule="auto" w:line="240" w:before="0" w:after="0"/>
        <w:ind w:left="0" w:firstLine="709"/>
        <w:contextualSpacing/>
        <w:rPr/>
      </w:pPr>
      <w:r>
        <w:rPr>
          <w:sz w:val="24"/>
          <w:szCs w:val="24"/>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25"/>
        </w:numPr>
        <w:shd w:val="clear" w:color="auto" w:fill="FFFFFF"/>
        <w:tabs>
          <w:tab w:val="clear" w:pos="709"/>
          <w:tab w:val="left" w:pos="284" w:leader="none"/>
        </w:tabs>
        <w:jc w:val="center"/>
        <w:rPr>
          <w:b/>
          <w:bCs/>
        </w:rPr>
      </w:pPr>
      <w:r>
        <w:rPr>
          <w:b/>
          <w:bCs/>
        </w:rPr>
        <w:t>Ответственность Сторон</w:t>
      </w:r>
    </w:p>
    <w:p>
      <w:pPr>
        <w:pStyle w:val="ListParagraph"/>
        <w:numPr>
          <w:ilvl w:val="1"/>
          <w:numId w:val="25"/>
        </w:numPr>
        <w:shd w:val="clear" w:color="auto" w:fill="FFFFFF"/>
        <w:tabs>
          <w:tab w:val="clear" w:pos="709"/>
          <w:tab w:val="left" w:pos="1134" w:leader="none"/>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25"/>
        </w:numPr>
        <w:tabs>
          <w:tab w:val="clear" w:pos="709"/>
          <w:tab w:val="left" w:pos="1134" w:leader="none"/>
        </w:tabs>
        <w:spacing w:lineRule="auto" w:line="240"/>
        <w:ind w:left="0" w:firstLine="709"/>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25"/>
        </w:numPr>
        <w:tabs>
          <w:tab w:val="clear" w:pos="709"/>
          <w:tab w:val="left" w:pos="1134" w:leader="none"/>
        </w:tabs>
        <w:spacing w:lineRule="auto" w:line="240"/>
        <w:ind w:left="0" w:firstLine="709"/>
        <w:rPr>
          <w:bCs/>
          <w:sz w:val="24"/>
          <w:szCs w:val="24"/>
        </w:rPr>
      </w:pPr>
      <w:r>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sz w:val="24"/>
          <w:szCs w:val="24"/>
        </w:rPr>
        <w:t xml:space="preserve"> </w:t>
      </w:r>
      <w:r>
        <w:rPr>
          <w:bCs/>
          <w:sz w:val="24"/>
          <w:szCs w:val="24"/>
        </w:rPr>
        <w:t>.</w:t>
      </w:r>
    </w:p>
    <w:p>
      <w:pPr>
        <w:pStyle w:val="Normal"/>
        <w:numPr>
          <w:ilvl w:val="1"/>
          <w:numId w:val="25"/>
        </w:numPr>
        <w:tabs>
          <w:tab w:val="clear" w:pos="709"/>
          <w:tab w:val="left" w:pos="1134" w:leader="none"/>
        </w:tabs>
        <w:spacing w:lineRule="auto" w:line="240"/>
        <w:ind w:left="0" w:firstLine="709"/>
        <w:rPr>
          <w:bCs/>
          <w:sz w:val="24"/>
          <w:szCs w:val="24"/>
        </w:rPr>
      </w:pPr>
      <w:r>
        <w:rPr>
          <w:bCs/>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pPr>
        <w:pStyle w:val="Normal"/>
        <w:tabs>
          <w:tab w:val="clear" w:pos="709"/>
          <w:tab w:val="left" w:pos="1701" w:leader="none"/>
        </w:tabs>
        <w:spacing w:lineRule="auto" w:line="240"/>
        <w:ind w:firstLine="709"/>
        <w:rPr>
          <w:sz w:val="24"/>
          <w:szCs w:val="24"/>
        </w:rPr>
      </w:pPr>
      <w:r>
        <w:rPr>
          <w:rFonts w:eastAsia="Calibri"/>
          <w:bCs/>
          <w:sz w:val="24"/>
          <w:szCs w:val="24"/>
        </w:rPr>
        <w:t>7.5. 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numPr>
          <w:ilvl w:val="1"/>
          <w:numId w:val="20"/>
        </w:numPr>
        <w:shd w:val="clear" w:color="auto" w:fill="FFFFFF"/>
        <w:tabs>
          <w:tab w:val="clear" w:pos="709"/>
          <w:tab w:val="left" w:pos="1134" w:leader="none"/>
        </w:tabs>
        <w:ind w:left="0" w:firstLine="709"/>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4 к Договору. </w:t>
      </w:r>
    </w:p>
    <w:p>
      <w:pPr>
        <w:pStyle w:val="ListParagraph"/>
        <w:numPr>
          <w:ilvl w:val="1"/>
          <w:numId w:val="20"/>
        </w:numPr>
        <w:shd w:val="clear" w:color="auto" w:fill="FFFFFF"/>
        <w:tabs>
          <w:tab w:val="clear" w:pos="709"/>
          <w:tab w:val="left" w:pos="1134" w:leader="none"/>
        </w:tabs>
        <w:ind w:left="0" w:firstLine="709"/>
        <w:jc w:val="both"/>
        <w:rPr>
          <w:bCs/>
        </w:rPr>
      </w:pPr>
      <w:r>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20"/>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Подрядчиком Банковской гарантии, предусмотренной Договором, в порядке и сроки, установленные разделом 6 Договора, Заказчик вправе требовать уплаты Подрядчиком неустойки в размере 0,03 (ноль целях и три сотых) процента от Цены Договора за каждый день просрочки.</w:t>
      </w:r>
    </w:p>
    <w:p>
      <w:pPr>
        <w:pStyle w:val="ListParagraph"/>
        <w:numPr>
          <w:ilvl w:val="1"/>
          <w:numId w:val="20"/>
        </w:numPr>
        <w:shd w:val="clear" w:color="auto" w:fill="FFFFFF"/>
        <w:tabs>
          <w:tab w:val="clear" w:pos="709"/>
          <w:tab w:val="left" w:pos="1134" w:leader="none"/>
        </w:tabs>
        <w:ind w:left="0" w:firstLine="709"/>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20"/>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0"/>
        </w:numPr>
        <w:shd w:val="clear" w:color="auto" w:fill="FFFFFF"/>
        <w:tabs>
          <w:tab w:val="clear" w:pos="709"/>
          <w:tab w:val="left" w:pos="1134" w:leader="none"/>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0"/>
        </w:numPr>
        <w:shd w:val="clear" w:color="auto" w:fill="FFFFFF"/>
        <w:tabs>
          <w:tab w:val="clear" w:pos="709"/>
          <w:tab w:val="left" w:pos="1134"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134" w:leader="none"/>
        </w:tabs>
        <w:ind w:left="0" w:hanging="0"/>
        <w:jc w:val="both"/>
        <w:rPr>
          <w:bCs/>
        </w:rPr>
      </w:pPr>
      <w:r>
        <w:rPr>
          <w:bCs/>
        </w:rPr>
      </w:r>
    </w:p>
    <w:p>
      <w:pPr>
        <w:pStyle w:val="ListParagraph"/>
        <w:numPr>
          <w:ilvl w:val="0"/>
          <w:numId w:val="20"/>
        </w:numPr>
        <w:shd w:val="clear" w:color="auto" w:fill="FFFFFF"/>
        <w:tabs>
          <w:tab w:val="clear" w:pos="709"/>
          <w:tab w:val="left" w:pos="284" w:leader="none"/>
        </w:tabs>
        <w:jc w:val="center"/>
        <w:rPr>
          <w:b/>
          <w:bCs/>
        </w:rPr>
      </w:pPr>
      <w:r>
        <w:rPr>
          <w:b/>
          <w:bCs/>
        </w:rPr>
        <w:t>Гарантии качества Результата Работ</w:t>
      </w:r>
    </w:p>
    <w:p>
      <w:pPr>
        <w:pStyle w:val="Normal"/>
        <w:numPr>
          <w:ilvl w:val="1"/>
          <w:numId w:val="27"/>
        </w:numPr>
        <w:tabs>
          <w:tab w:val="clear" w:pos="709"/>
          <w:tab w:val="left" w:pos="1134" w:leader="none"/>
        </w:tabs>
        <w:spacing w:lineRule="auto" w:line="240"/>
        <w:ind w:left="0" w:firstLine="709"/>
        <w:rPr>
          <w:bCs/>
          <w:sz w:val="24"/>
          <w:szCs w:val="24"/>
        </w:rPr>
      </w:pPr>
      <w:bookmarkStart w:id="29" w:name="_Ref361337777"/>
      <w:r>
        <w:rPr>
          <w:sz w:val="24"/>
          <w:szCs w:val="24"/>
        </w:rPr>
        <w:t>Гарантийный</w:t>
      </w:r>
      <w:r>
        <w:rPr>
          <w:bCs/>
          <w:sz w:val="24"/>
          <w:szCs w:val="24"/>
        </w:rPr>
        <w:t xml:space="preserve"> срок по Договору составляет 36</w:t>
      </w:r>
      <w:r>
        <w:rPr>
          <w:sz w:val="24"/>
          <w:szCs w:val="24"/>
        </w:rPr>
        <w:t xml:space="preserve"> </w:t>
      </w:r>
      <w:r>
        <w:rPr>
          <w:bCs/>
          <w:sz w:val="24"/>
          <w:szCs w:val="24"/>
        </w:rPr>
        <w:t>(Тридцать шесть)</w:t>
      </w:r>
      <w:r>
        <w:rPr>
          <w:sz w:val="24"/>
          <w:szCs w:val="24"/>
        </w:rPr>
        <w:t xml:space="preserve"> месяцев</w:t>
      </w:r>
      <w:r>
        <w:rPr>
          <w:bCs/>
          <w:sz w:val="24"/>
          <w:szCs w:val="24"/>
        </w:rPr>
        <w:t xml:space="preserve"> и начинает течь с даты подписания Сторонами А</w:t>
      </w:r>
      <w:r>
        <w:rPr>
          <w:sz w:val="24"/>
          <w:szCs w:val="24"/>
        </w:rPr>
        <w:t>кта КС-2</w:t>
      </w:r>
      <w:r>
        <w:rPr>
          <w:bCs/>
          <w:sz w:val="24"/>
          <w:szCs w:val="24"/>
        </w:rPr>
        <w:t xml:space="preserve"> </w:t>
      </w:r>
      <w:bookmarkEnd w:id="29"/>
      <w:r>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27"/>
        </w:numPr>
        <w:shd w:val="clear" w:color="auto" w:fill="FFFFFF"/>
        <w:tabs>
          <w:tab w:val="clear" w:pos="709"/>
          <w:tab w:val="left" w:pos="568" w:leader="none"/>
          <w:tab w:val="left" w:pos="1134" w:leader="none"/>
        </w:tabs>
        <w:ind w:left="0" w:firstLine="709"/>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27"/>
        </w:numPr>
        <w:shd w:val="clear" w:color="auto" w:fill="FFFFFF"/>
        <w:tabs>
          <w:tab w:val="clear" w:pos="709"/>
          <w:tab w:val="left" w:pos="1134" w:leader="none"/>
        </w:tabs>
        <w:ind w:left="0" w:firstLine="709"/>
        <w:jc w:val="both"/>
        <w:rPr>
          <w:bCs/>
        </w:rPr>
      </w:pPr>
      <w:bookmarkStart w:id="30"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30"/>
      <w:r>
        <w:rPr>
          <w:bCs/>
        </w:rPr>
        <w:t xml:space="preserve"> </w:t>
      </w:r>
    </w:p>
    <w:p>
      <w:pPr>
        <w:pStyle w:val="ListParagraph"/>
        <w:numPr>
          <w:ilvl w:val="1"/>
          <w:numId w:val="27"/>
        </w:numPr>
        <w:shd w:val="clear" w:color="auto" w:fill="FFFFFF"/>
        <w:tabs>
          <w:tab w:val="clear" w:pos="709"/>
          <w:tab w:val="left" w:pos="1134" w:leader="none"/>
        </w:tabs>
        <w:ind w:left="0" w:firstLine="709"/>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27"/>
        </w:numPr>
        <w:shd w:val="clear" w:color="auto" w:fill="FFFFFF"/>
        <w:tabs>
          <w:tab w:val="clear" w:pos="709"/>
          <w:tab w:val="left" w:pos="1134" w:leader="none"/>
        </w:tabs>
        <w:ind w:left="0" w:firstLine="709"/>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31" w:name="OLE_LINK5"/>
      <w:bookmarkStart w:id="32" w:name="OLE_LINK6"/>
      <w:r>
        <w:rPr>
          <w:bCs/>
        </w:rPr>
        <w:t>Акте о недостатках, составленном в порядке, установленном пунктом 8.5 Договора</w:t>
      </w:r>
      <w:bookmarkEnd w:id="31"/>
      <w:bookmarkEnd w:id="32"/>
      <w:r>
        <w:rPr>
          <w:bCs/>
        </w:rPr>
        <w:t>.</w:t>
      </w:r>
      <w:r>
        <w:rPr/>
        <w:t xml:space="preserve"> </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27"/>
        </w:numPr>
        <w:shd w:val="clear" w:color="auto" w:fill="FFFFFF"/>
        <w:tabs>
          <w:tab w:val="clear" w:pos="709"/>
          <w:tab w:val="left" w:pos="1134" w:leader="none"/>
        </w:tabs>
        <w:ind w:left="0" w:firstLine="709"/>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27"/>
        </w:numPr>
        <w:shd w:val="clear" w:color="auto" w:fill="FFFFFF"/>
        <w:tabs>
          <w:tab w:val="clear" w:pos="709"/>
          <w:tab w:val="left" w:pos="1134" w:leader="none"/>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27"/>
        </w:numPr>
        <w:shd w:val="clear" w:color="auto" w:fill="FFFFFF"/>
        <w:tabs>
          <w:tab w:val="clear" w:pos="709"/>
          <w:tab w:val="left" w:pos="426" w:leader="none"/>
        </w:tabs>
        <w:ind w:left="0" w:hanging="0"/>
        <w:jc w:val="center"/>
        <w:rPr>
          <w:b/>
          <w:bCs/>
        </w:rPr>
      </w:pPr>
      <w:r>
        <w:rPr>
          <w:b/>
          <w:bCs/>
        </w:rPr>
        <w:t>Исключительные права и патенты</w:t>
      </w:r>
    </w:p>
    <w:p>
      <w:pPr>
        <w:pStyle w:val="ListParagraph"/>
        <w:numPr>
          <w:ilvl w:val="1"/>
          <w:numId w:val="27"/>
        </w:numPr>
        <w:shd w:val="clear" w:color="auto" w:fill="FFFFFF"/>
        <w:tabs>
          <w:tab w:val="clear" w:pos="709"/>
          <w:tab w:val="left" w:pos="1134"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27"/>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7"/>
        </w:numPr>
        <w:shd w:val="clear" w:color="auto" w:fill="FFFFFF"/>
        <w:tabs>
          <w:tab w:val="clear" w:pos="709"/>
          <w:tab w:val="left" w:pos="1134" w:leader="none"/>
        </w:tabs>
        <w:ind w:left="0" w:firstLine="709"/>
        <w:jc w:val="both"/>
        <w:rPr>
          <w:bCs/>
        </w:rPr>
      </w:pPr>
      <w:r>
        <w:rPr>
          <w:bCs/>
        </w:rPr>
        <w:t>Исключительные права (за исключением личны 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7"/>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7"/>
        </w:numPr>
        <w:shd w:val="clear" w:color="auto" w:fill="FFFFFF"/>
        <w:tabs>
          <w:tab w:val="clear" w:pos="709"/>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27"/>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27"/>
        </w:numPr>
        <w:shd w:val="clear" w:color="auto" w:fill="FFFFFF"/>
        <w:tabs>
          <w:tab w:val="clear" w:pos="709"/>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6"/>
        </w:numPr>
        <w:tabs>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6"/>
        </w:numPr>
        <w:tabs>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7"/>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7"/>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7"/>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бизнес-планы;</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6"/>
        </w:numPr>
        <w:tabs>
          <w:tab w:val="clear" w:pos="709"/>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27"/>
        </w:numPr>
        <w:shd w:val="clear" w:color="auto" w:fill="FFFFFF"/>
        <w:tabs>
          <w:tab w:val="clear" w:pos="709"/>
          <w:tab w:val="left" w:pos="1134" w:leader="none"/>
        </w:tabs>
        <w:ind w:left="0" w:firstLine="709"/>
        <w:jc w:val="both"/>
        <w:rPr>
          <w:bCs/>
        </w:rPr>
      </w:pPr>
      <w:bookmarkStart w:id="33"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3"/>
      <w:r>
        <w:rPr>
          <w:bCs/>
        </w:rPr>
        <w:t xml:space="preserve"> </w:t>
      </w:r>
    </w:p>
    <w:p>
      <w:pPr>
        <w:pStyle w:val="ListParagraph"/>
        <w:numPr>
          <w:ilvl w:val="2"/>
          <w:numId w:val="27"/>
        </w:numPr>
        <w:shd w:val="clear" w:color="auto" w:fill="FFFFFF"/>
        <w:tabs>
          <w:tab w:val="clear" w:pos="709"/>
          <w:tab w:val="left" w:pos="1701"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27"/>
        </w:numPr>
        <w:shd w:val="clear" w:color="auto" w:fill="FFFFFF"/>
        <w:tabs>
          <w:tab w:val="clear" w:pos="709"/>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27"/>
        </w:numPr>
        <w:shd w:val="clear" w:color="auto" w:fill="FFFFFF"/>
        <w:tabs>
          <w:tab w:val="clear" w:pos="709"/>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7"/>
        </w:numPr>
        <w:shd w:val="clear" w:color="auto" w:fill="FFFFFF"/>
        <w:tabs>
          <w:tab w:val="clear" w:pos="709"/>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7"/>
        </w:numPr>
        <w:shd w:val="clear" w:color="auto" w:fill="FFFFFF"/>
        <w:tabs>
          <w:tab w:val="clear" w:pos="709"/>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7"/>
        </w:numPr>
        <w:shd w:val="clear" w:color="auto" w:fill="FFFFFF"/>
        <w:tabs>
          <w:tab w:val="clear" w:pos="709"/>
          <w:tab w:val="left" w:pos="1701"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7"/>
        </w:numPr>
        <w:shd w:val="clear" w:color="auto" w:fill="FFFFFF"/>
        <w:tabs>
          <w:tab w:val="clear" w:pos="709"/>
          <w:tab w:val="left" w:pos="1701" w:leader="none"/>
        </w:tabs>
        <w:ind w:left="0" w:firstLine="709"/>
        <w:jc w:val="both"/>
        <w:rPr>
          <w:bCs/>
        </w:rPr>
      </w:pPr>
      <w:bookmarkStart w:id="3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4"/>
    </w:p>
    <w:p>
      <w:pPr>
        <w:pStyle w:val="ListParagraph"/>
        <w:numPr>
          <w:ilvl w:val="2"/>
          <w:numId w:val="27"/>
        </w:numPr>
        <w:shd w:val="clear" w:color="auto" w:fill="FFFFFF"/>
        <w:tabs>
          <w:tab w:val="clear" w:pos="709"/>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7"/>
        </w:numPr>
        <w:shd w:val="clear" w:color="auto" w:fill="FFFFFF"/>
        <w:tabs>
          <w:tab w:val="clear" w:pos="709"/>
          <w:tab w:val="left" w:pos="1134" w:leader="none"/>
        </w:tabs>
        <w:ind w:left="0" w:firstLine="709"/>
        <w:jc w:val="both"/>
        <w:rPr>
          <w:bCs/>
        </w:rPr>
      </w:pPr>
      <w:bookmarkStart w:id="35"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5"/>
    </w:p>
    <w:p>
      <w:pPr>
        <w:pStyle w:val="ListParagraph"/>
        <w:numPr>
          <w:ilvl w:val="1"/>
          <w:numId w:val="27"/>
        </w:numPr>
        <w:shd w:val="clear" w:color="auto" w:fill="FFFFFF"/>
        <w:tabs>
          <w:tab w:val="clear" w:pos="709"/>
          <w:tab w:val="left" w:pos="1134" w:leader="none"/>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27"/>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27"/>
        </w:numPr>
        <w:shd w:val="clear" w:color="auto" w:fill="FFFFFF"/>
        <w:tabs>
          <w:tab w:val="clear" w:pos="709"/>
          <w:tab w:val="left" w:pos="426" w:leader="none"/>
        </w:tabs>
        <w:ind w:left="0" w:hanging="0"/>
        <w:jc w:val="center"/>
        <w:rPr>
          <w:bCs/>
        </w:rPr>
      </w:pPr>
      <w:r>
        <w:rPr>
          <w:b/>
          <w:bCs/>
        </w:rPr>
        <w:t>Разрешение споров</w:t>
      </w:r>
    </w:p>
    <w:p>
      <w:pPr>
        <w:pStyle w:val="ListParagraph"/>
        <w:numPr>
          <w:ilvl w:val="1"/>
          <w:numId w:val="26"/>
        </w:numPr>
        <w:shd w:val="clear" w:color="auto" w:fill="FFFFFF"/>
        <w:tabs>
          <w:tab w:val="clear" w:pos="709"/>
          <w:tab w:val="left" w:pos="1134" w:leader="none"/>
          <w:tab w:val="left" w:pos="1418" w:leader="none"/>
        </w:tabs>
        <w:ind w:left="0" w:firstLine="568"/>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6"/>
        </w:numPr>
        <w:shd w:val="clear" w:color="auto" w:fill="FFFFFF"/>
        <w:tabs>
          <w:tab w:val="clear" w:pos="709"/>
          <w:tab w:val="left" w:pos="1134" w:leader="none"/>
          <w:tab w:val="left" w:pos="1418" w:leader="none"/>
        </w:tabs>
        <w:ind w:left="0" w:firstLine="709"/>
        <w:jc w:val="both"/>
        <w:rPr>
          <w:bCs/>
        </w:rPr>
      </w:pPr>
      <w:r>
        <w:rPr>
          <w:bCs/>
        </w:rPr>
        <w:t>Споры, указанные в пункте 11.1 Договора, которые не были урегулированы Сторонами путем переговоров, подлежат разрешению в Арбитражном суде Карачаево-Черкесской Республики в соответствии с законодательством Российской Федерации, за исключением споров из Банковской гарантии, подсудность которых предусмотрена пунктом 6.1.8. Договора.</w:t>
      </w:r>
    </w:p>
    <w:p>
      <w:pPr>
        <w:pStyle w:val="ListParagraph"/>
        <w:numPr>
          <w:ilvl w:val="1"/>
          <w:numId w:val="26"/>
        </w:numPr>
        <w:shd w:val="clear" w:color="auto" w:fill="FFFFFF"/>
        <w:tabs>
          <w:tab w:val="clear" w:pos="709"/>
          <w:tab w:val="left" w:pos="1134"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17.8 Договора.</w:t>
      </w:r>
    </w:p>
    <w:p>
      <w:pPr>
        <w:pStyle w:val="ListParagraph"/>
        <w:numPr>
          <w:ilvl w:val="1"/>
          <w:numId w:val="26"/>
        </w:numPr>
        <w:shd w:val="clear" w:color="auto" w:fill="FFFFFF"/>
        <w:tabs>
          <w:tab w:val="clear" w:pos="709"/>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6"/>
        </w:numPr>
        <w:shd w:val="clear" w:color="auto" w:fill="FFFFFF"/>
        <w:tabs>
          <w:tab w:val="clear" w:pos="709"/>
          <w:tab w:val="left" w:pos="1134" w:leader="none"/>
          <w:tab w:val="left" w:pos="1418"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hanging="0"/>
        <w:jc w:val="both"/>
        <w:rPr>
          <w:bCs/>
        </w:rPr>
      </w:pPr>
      <w:r>
        <w:rPr>
          <w:bCs/>
        </w:rPr>
      </w:r>
    </w:p>
    <w:p>
      <w:pPr>
        <w:pStyle w:val="ListParagraph"/>
        <w:numPr>
          <w:ilvl w:val="0"/>
          <w:numId w:val="26"/>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numPr>
          <w:ilvl w:val="1"/>
          <w:numId w:val="26"/>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6"/>
        </w:numPr>
        <w:shd w:val="clear" w:color="auto" w:fill="FFFFFF"/>
        <w:tabs>
          <w:tab w:val="clear" w:pos="709"/>
          <w:tab w:val="left" w:pos="1134" w:leader="none"/>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6"/>
        </w:numPr>
        <w:shd w:val="clear" w:color="auto" w:fill="FFFFFF"/>
        <w:tabs>
          <w:tab w:val="clear" w:pos="709"/>
          <w:tab w:val="left" w:pos="1134"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6"/>
        </w:numPr>
        <w:shd w:val="clear" w:color="auto" w:fill="FFFFFF"/>
        <w:tabs>
          <w:tab w:val="clear" w:pos="709"/>
          <w:tab w:val="left" w:pos="1134"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6"/>
        </w:numPr>
        <w:shd w:val="clear" w:color="auto" w:fill="FFFFFF"/>
        <w:tabs>
          <w:tab w:val="clear" w:pos="709"/>
          <w:tab w:val="left" w:pos="1134"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6"/>
        </w:numPr>
        <w:shd w:val="clear" w:color="auto" w:fill="FFFFFF"/>
        <w:tabs>
          <w:tab w:val="clear" w:pos="709"/>
          <w:tab w:val="left" w:pos="1134"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6"/>
        </w:numPr>
        <w:shd w:val="clear" w:color="auto" w:fill="FFFFFF"/>
        <w:tabs>
          <w:tab w:val="clear" w:pos="709"/>
          <w:tab w:val="left" w:pos="1134" w:leader="none"/>
        </w:tabs>
        <w:ind w:left="0" w:firstLine="709"/>
        <w:jc w:val="both"/>
        <w:rPr>
          <w:color w:val="000000"/>
        </w:rPr>
      </w:pPr>
      <w:r>
        <w:rPr>
          <w:color w:val="000000"/>
        </w:rPr>
        <w:t xml:space="preserve">Каналы связи Линия доверия Группы РусГидро: </w:t>
      </w:r>
    </w:p>
    <w:p>
      <w:pPr>
        <w:pStyle w:val="ListParagraph"/>
        <w:widowControl w:val="false"/>
        <w:numPr>
          <w:ilvl w:val="2"/>
          <w:numId w:val="26"/>
        </w:numPr>
        <w:shd w:val="clear" w:color="auto" w:fill="FFFFFF"/>
        <w:tabs>
          <w:tab w:val="clear" w:pos="709"/>
          <w:tab w:val="left" w:pos="1134" w:leader="none"/>
        </w:tabs>
        <w:ind w:left="0" w:firstLine="709"/>
        <w:jc w:val="both"/>
        <w:rPr/>
      </w:pPr>
      <w:r>
        <w:rPr/>
        <w:t xml:space="preserve">Электронная почта: </w:t>
      </w:r>
      <w:hyperlink r:id="rId2">
        <w:r>
          <w:rPr>
            <w:rStyle w:val="Hyperlink"/>
          </w:rPr>
          <w:t>ld@rushydro.ru</w:t>
        </w:r>
      </w:hyperlink>
      <w:r>
        <w:rPr/>
        <w:t xml:space="preserve">. </w:t>
      </w:r>
    </w:p>
    <w:p>
      <w:pPr>
        <w:pStyle w:val="ListParagraph"/>
        <w:widowControl w:val="false"/>
        <w:numPr>
          <w:ilvl w:val="2"/>
          <w:numId w:val="26"/>
        </w:numPr>
        <w:shd w:val="clear" w:color="auto" w:fill="FFFFFF"/>
        <w:tabs>
          <w:tab w:val="clear" w:pos="709"/>
          <w:tab w:val="left" w:pos="1134" w:leader="none"/>
        </w:tabs>
        <w:ind w:left="0" w:firstLine="709"/>
        <w:jc w:val="both"/>
        <w:rPr/>
      </w:pPr>
      <w:r>
        <w:rPr/>
        <w:t xml:space="preserve">Специальная форма «обратной связи», размещенная на официальном сайте Общества в сети интернет: </w:t>
      </w:r>
      <w:hyperlink r:id="rId3">
        <w:r>
          <w:rPr>
            <w:rStyle w:val="Hyperlink"/>
          </w:rPr>
          <w:t>http://www.rushydro.ru/</w:t>
        </w:r>
      </w:hyperlink>
      <w:r>
        <w:rPr/>
        <w:t xml:space="preserve">  (далее перейти по ссылке «Линия доверия» и заполнить поля специальной формы «обратной связи»);</w:t>
      </w:r>
    </w:p>
    <w:p>
      <w:pPr>
        <w:pStyle w:val="ListParagraph"/>
        <w:numPr>
          <w:ilvl w:val="2"/>
          <w:numId w:val="26"/>
        </w:numPr>
        <w:tabs>
          <w:tab w:val="clear" w:pos="709"/>
          <w:tab w:val="left" w:pos="1134" w:leader="none"/>
        </w:tabs>
        <w:ind w:left="0" w:firstLine="709"/>
        <w:jc w:val="both"/>
        <w:rPr/>
      </w:pP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26"/>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6"/>
        </w:numPr>
        <w:shd w:val="clear" w:color="auto" w:fill="FFFFFF"/>
        <w:tabs>
          <w:tab w:val="clear" w:pos="709"/>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6"/>
        </w:numPr>
        <w:shd w:val="clear" w:color="auto" w:fill="FFFFFF"/>
        <w:tabs>
          <w:tab w:val="clear" w:pos="709"/>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6"/>
        </w:numPr>
        <w:shd w:val="clear" w:color="auto" w:fill="FFFFFF"/>
        <w:tabs>
          <w:tab w:val="clear" w:pos="709"/>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6"/>
        </w:numPr>
        <w:shd w:val="clear" w:color="auto" w:fill="FFFFFF"/>
        <w:tabs>
          <w:tab w:val="clear" w:pos="709"/>
          <w:tab w:val="left" w:pos="142" w:leader="none"/>
          <w:tab w:val="left" w:pos="1134"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6"/>
        </w:numPr>
        <w:shd w:val="clear" w:color="auto" w:fill="FFFFFF"/>
        <w:tabs>
          <w:tab w:val="clear" w:pos="709"/>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6"/>
        </w:numPr>
        <w:shd w:val="clear" w:color="auto" w:fill="FFFFFF"/>
        <w:tabs>
          <w:tab w:val="clear" w:pos="709"/>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2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6"/>
        </w:numPr>
        <w:shd w:val="clear" w:color="auto" w:fill="FFFFFF"/>
        <w:tabs>
          <w:tab w:val="clear" w:pos="709"/>
          <w:tab w:val="left" w:pos="1134" w:leader="none"/>
        </w:tabs>
        <w:ind w:left="0" w:firstLine="709"/>
        <w:jc w:val="both"/>
        <w:rPr>
          <w:bCs/>
        </w:rPr>
      </w:pPr>
      <w:bookmarkStart w:id="36"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4">
        <w:r>
          <w:rPr>
            <w:bCs/>
          </w:rPr>
          <w:t>№ 18162/09</w:t>
        </w:r>
      </w:hyperlink>
      <w:r>
        <w:rPr>
          <w:bCs/>
        </w:rPr>
        <w:t xml:space="preserve"> и от 25.05.2010 </w:t>
      </w:r>
      <w:hyperlink r:id="rId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соответствующие </w:t>
      </w:r>
      <w:hyperlink r:id="rId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 .</w:t>
      </w:r>
      <w:bookmarkEnd w:id="36"/>
    </w:p>
    <w:p>
      <w:pPr>
        <w:pStyle w:val="ListParagraph"/>
        <w:numPr>
          <w:ilvl w:val="1"/>
          <w:numId w:val="26"/>
        </w:numPr>
        <w:shd w:val="clear" w:color="auto" w:fill="FFFFFF"/>
        <w:tabs>
          <w:tab w:val="clear" w:pos="709"/>
          <w:tab w:val="left" w:pos="1134" w:leader="none"/>
        </w:tabs>
        <w:ind w:left="0" w:firstLine="709"/>
        <w:jc w:val="both"/>
        <w:rPr>
          <w:bCs/>
        </w:rPr>
      </w:pPr>
      <w:bookmarkStart w:id="37"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7"/>
    </w:p>
    <w:p>
      <w:pPr>
        <w:pStyle w:val="ListParagraph"/>
        <w:numPr>
          <w:ilvl w:val="1"/>
          <w:numId w:val="26"/>
        </w:numPr>
        <w:shd w:val="clear" w:color="auto" w:fill="FFFFFF"/>
        <w:tabs>
          <w:tab w:val="clear" w:pos="709"/>
          <w:tab w:val="left" w:pos="1134" w:leader="none"/>
        </w:tabs>
        <w:ind w:left="0" w:firstLine="709"/>
        <w:jc w:val="both"/>
        <w:rPr>
          <w:bCs/>
        </w:rPr>
      </w:pPr>
      <w:bookmarkStart w:id="38" w:name="_Ref361337948"/>
      <w:r>
        <w:rPr>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8"/>
    </w:p>
    <w:p>
      <w:pPr>
        <w:pStyle w:val="ListParagraph"/>
        <w:numPr>
          <w:ilvl w:val="1"/>
          <w:numId w:val="26"/>
        </w:numPr>
        <w:shd w:val="clear" w:color="auto" w:fill="FFFFFF"/>
        <w:tabs>
          <w:tab w:val="clear" w:pos="709"/>
          <w:tab w:val="left" w:pos="1134" w:leader="none"/>
        </w:tabs>
        <w:ind w:left="0" w:firstLine="709"/>
        <w:jc w:val="both"/>
        <w:rPr>
          <w:bCs/>
        </w:rPr>
      </w:pPr>
      <w:bookmarkStart w:id="39"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9"/>
    </w:p>
    <w:p>
      <w:pPr>
        <w:pStyle w:val="ListParagraph"/>
        <w:numPr>
          <w:ilvl w:val="1"/>
          <w:numId w:val="26"/>
        </w:numPr>
        <w:shd w:val="clear" w:color="auto" w:fill="FFFFFF"/>
        <w:tabs>
          <w:tab w:val="clear" w:pos="709"/>
          <w:tab w:val="left" w:pos="1134" w:leader="none"/>
        </w:tabs>
        <w:ind w:left="0" w:firstLine="709"/>
        <w:jc w:val="both"/>
        <w:rPr>
          <w:bCs/>
        </w:rPr>
      </w:pPr>
      <w:bookmarkStart w:id="40" w:name="_Ref373243071"/>
      <w:r>
        <w:rPr>
          <w:bCs/>
        </w:rPr>
        <w:t>Штраф, предусмотренный пунктом 14.4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14.3 Договора.</w:t>
      </w:r>
      <w:bookmarkEnd w:id="40"/>
    </w:p>
    <w:p>
      <w:pPr>
        <w:pStyle w:val="ListParagraph"/>
        <w:numPr>
          <w:ilvl w:val="1"/>
          <w:numId w:val="26"/>
        </w:numPr>
        <w:shd w:val="clear" w:color="auto" w:fill="FFFFFF"/>
        <w:tabs>
          <w:tab w:val="clear" w:pos="709"/>
          <w:tab w:val="left" w:pos="1134" w:leader="none"/>
        </w:tabs>
        <w:ind w:left="0" w:firstLine="709"/>
        <w:jc w:val="both"/>
        <w:rPr>
          <w:bCs/>
        </w:rPr>
      </w:pPr>
      <w:bookmarkStart w:id="41"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41"/>
    </w:p>
    <w:p>
      <w:pPr>
        <w:pStyle w:val="ListParagraph"/>
        <w:numPr>
          <w:ilvl w:val="1"/>
          <w:numId w:val="26"/>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2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6"/>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10"/>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0"/>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0"/>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0"/>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6"/>
        </w:numPr>
        <w:shd w:val="clear" w:color="auto" w:fill="FFFFFF"/>
        <w:tabs>
          <w:tab w:val="clear" w:pos="709"/>
          <w:tab w:val="left" w:pos="1134" w:leader="none"/>
          <w:tab w:val="left" w:pos="1418" w:leader="none"/>
        </w:tabs>
        <w:ind w:left="0" w:firstLine="709"/>
        <w:jc w:val="both"/>
        <w:rPr/>
      </w:pPr>
      <w:r>
        <w:rPr/>
        <w:t>Подрядчик заявляет и заверяет Заказчика в том, что на момент заключения Договора:</w:t>
      </w:r>
    </w:p>
    <w:p>
      <w:pPr>
        <w:pStyle w:val="ListParagraph"/>
        <w:numPr>
          <w:ilvl w:val="0"/>
          <w:numId w:val="12"/>
        </w:numPr>
        <w:shd w:val="clear" w:color="auto" w:fill="FFFFFF"/>
        <w:tabs>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2"/>
        </w:numPr>
        <w:shd w:val="clear" w:color="auto" w:fill="FFFFFF"/>
        <w:tabs>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12"/>
        </w:numPr>
        <w:shd w:val="clear" w:color="auto" w:fill="FFFFFF"/>
        <w:tabs>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2"/>
        </w:numPr>
        <w:shd w:val="clear" w:color="auto" w:fill="FFFFFF"/>
        <w:tabs>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состоит в СРО, основанной на членстве лиц, осуществляющих строительство;</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1"/>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26"/>
        </w:numPr>
        <w:spacing w:lineRule="auto" w:line="240"/>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6"/>
        </w:numPr>
        <w:shd w:val="clear" w:color="auto" w:fill="FFFFFF"/>
        <w:tabs>
          <w:tab w:val="clear" w:pos="709"/>
          <w:tab w:val="left" w:pos="1134" w:leader="none"/>
          <w:tab w:val="left" w:pos="1418" w:leader="none"/>
        </w:tabs>
        <w:ind w:left="0" w:firstLine="709"/>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26"/>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b/>
        </w:rPr>
      </w:pPr>
      <w:r>
        <w:rPr>
          <w:b/>
        </w:rPr>
      </w:r>
    </w:p>
    <w:p>
      <w:pPr>
        <w:pStyle w:val="ListParagraph"/>
        <w:numPr>
          <w:ilvl w:val="0"/>
          <w:numId w:val="26"/>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6"/>
        </w:numPr>
        <w:shd w:val="clear" w:color="auto" w:fill="FFFFFF"/>
        <w:tabs>
          <w:tab w:val="clear" w:pos="709"/>
          <w:tab w:val="left" w:pos="1134"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6"/>
        </w:numPr>
        <w:shd w:val="clear" w:color="auto" w:fill="FFFFFF"/>
        <w:tabs>
          <w:tab w:val="clear" w:pos="709"/>
          <w:tab w:val="left" w:pos="1134" w:leader="none"/>
        </w:tabs>
        <w:ind w:left="0" w:firstLine="709"/>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26"/>
        </w:numPr>
        <w:shd w:val="clear" w:color="auto" w:fill="FFFFFF"/>
        <w:tabs>
          <w:tab w:val="clear" w:pos="709"/>
          <w:tab w:val="left" w:pos="1134" w:leader="none"/>
        </w:tabs>
        <w:ind w:left="0" w:firstLine="709"/>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6"/>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Подрядчиком является:</w:t>
      </w:r>
    </w:p>
    <w:p>
      <w:pPr>
        <w:pStyle w:val="ListParagraph"/>
        <w:numPr>
          <w:ilvl w:val="0"/>
          <w:numId w:val="9"/>
        </w:numPr>
        <w:tabs>
          <w:tab w:val="clear" w:pos="709"/>
          <w:tab w:val="left" w:pos="1134" w:leader="none"/>
        </w:tabs>
        <w:ind w:left="0" w:right="23" w:firstLine="709"/>
        <w:jc w:val="both"/>
        <w:rPr/>
      </w:pPr>
      <w:r>
        <w:rPr/>
        <w:t>нарушение Подрядчиком начального и конечного сроков выполнения Работ по Договору более чем на 60 (шестьдесят) календарных дней по причинам, не зависящим от Заказчика;</w:t>
      </w:r>
    </w:p>
    <w:p>
      <w:pPr>
        <w:pStyle w:val="ListParagraph"/>
        <w:numPr>
          <w:ilvl w:val="0"/>
          <w:numId w:val="9"/>
        </w:numPr>
        <w:tabs>
          <w:tab w:val="clear" w:pos="709"/>
          <w:tab w:val="left" w:pos="1134" w:leader="none"/>
        </w:tabs>
        <w:ind w:left="0" w:right="23" w:firstLine="709"/>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9"/>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9"/>
        </w:numPr>
        <w:tabs>
          <w:tab w:val="clear" w:pos="709"/>
          <w:tab w:val="left" w:pos="1134" w:leader="none"/>
        </w:tabs>
        <w:ind w:left="0" w:right="23" w:firstLine="709"/>
        <w:jc w:val="both"/>
        <w:rPr/>
      </w:pPr>
      <w:r>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p>
    <w:p>
      <w:pPr>
        <w:pStyle w:val="ListParagraph"/>
        <w:numPr>
          <w:ilvl w:val="0"/>
          <w:numId w:val="9"/>
        </w:numPr>
        <w:tabs>
          <w:tab w:val="clear" w:pos="709"/>
          <w:tab w:val="left" w:pos="1134" w:leader="none"/>
        </w:tabs>
        <w:ind w:left="0" w:right="23" w:firstLine="709"/>
        <w:jc w:val="both"/>
        <w:rPr/>
      </w:pPr>
      <w: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9"/>
        </w:numPr>
        <w:tabs>
          <w:tab w:val="clear" w:pos="709"/>
          <w:tab w:val="left" w:pos="1134" w:leader="none"/>
        </w:tabs>
        <w:ind w:left="0" w:right="23" w:firstLine="709"/>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9"/>
        </w:numPr>
        <w:tabs>
          <w:tab w:val="clear" w:pos="709"/>
          <w:tab w:val="left" w:pos="1134" w:leader="none"/>
        </w:tabs>
        <w:ind w:left="0" w:right="23" w:firstLine="709"/>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9"/>
        </w:numPr>
        <w:tabs>
          <w:tab w:val="clear" w:pos="709"/>
          <w:tab w:val="left" w:pos="1134" w:leader="none"/>
        </w:tabs>
        <w:ind w:left="0" w:right="23" w:firstLine="709"/>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9"/>
        </w:numPr>
        <w:tabs>
          <w:tab w:val="clear" w:pos="709"/>
          <w:tab w:val="left" w:pos="1134" w:leader="none"/>
        </w:tabs>
        <w:ind w:left="0" w:right="23" w:firstLine="709"/>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ListParagraph"/>
        <w:numPr>
          <w:ilvl w:val="1"/>
          <w:numId w:val="26"/>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26"/>
        </w:numPr>
        <w:shd w:val="clear" w:color="auto" w:fill="FFFFFF"/>
        <w:tabs>
          <w:tab w:val="clear" w:pos="709"/>
          <w:tab w:val="left" w:pos="1134" w:leader="none"/>
        </w:tabs>
        <w:ind w:left="0" w:firstLine="709"/>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19"/>
        </w:numPr>
        <w:shd w:val="clear" w:color="auto" w:fill="FFFFFF"/>
        <w:tabs>
          <w:tab w:val="clear" w:pos="709"/>
          <w:tab w:val="left" w:pos="1418" w:leader="none"/>
        </w:tabs>
        <w:ind w:left="0" w:firstLine="709"/>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19"/>
        </w:numPr>
        <w:shd w:val="clear" w:color="auto" w:fill="FFFFFF"/>
        <w:tabs>
          <w:tab w:val="clear" w:pos="709"/>
          <w:tab w:val="left" w:pos="1418" w:leader="none"/>
        </w:tabs>
        <w:ind w:left="0" w:firstLine="709"/>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19"/>
        </w:numPr>
        <w:shd w:val="clear" w:color="auto" w:fill="FFFFFF"/>
        <w:tabs>
          <w:tab w:val="clear" w:pos="709"/>
          <w:tab w:val="left" w:pos="1418" w:leader="none"/>
        </w:tabs>
        <w:ind w:left="0" w:firstLine="709"/>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26"/>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6"/>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6"/>
        </w:numPr>
        <w:shd w:val="clear" w:color="auto" w:fill="FFFFFF"/>
        <w:tabs>
          <w:tab w:val="clear" w:pos="709"/>
          <w:tab w:val="left" w:pos="1134"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26"/>
        </w:numPr>
        <w:snapToGrid w:val="false"/>
        <w:spacing w:lineRule="auto" w:line="240"/>
        <w:ind w:left="0" w:firstLine="709"/>
        <w:rPr/>
      </w:pPr>
      <w:r>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ind w:firstLine="709"/>
        <w:rPr/>
      </w:pPr>
      <w:r>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lang w:eastAsia="en-US"/>
        </w:rPr>
        <w:footnoteReference w:id="2"/>
      </w:r>
      <w:r>
        <w:rPr>
          <w:sz w:val="24"/>
          <w:szCs w:val="24"/>
          <w:lang w:eastAsia="en-US"/>
        </w:rPr>
        <w:t>.</w:t>
      </w:r>
    </w:p>
    <w:p>
      <w:pPr>
        <w:pStyle w:val="ListParagraph"/>
        <w:numPr>
          <w:ilvl w:val="1"/>
          <w:numId w:val="26"/>
        </w:numPr>
        <w:shd w:val="clear" w:color="auto" w:fill="FFFFFF"/>
        <w:tabs>
          <w:tab w:val="clear" w:pos="709"/>
          <w:tab w:val="left" w:pos="1134"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17.7 Договора. </w:t>
      </w:r>
    </w:p>
    <w:p>
      <w:pPr>
        <w:pStyle w:val="ListParagraph"/>
        <w:numPr>
          <w:ilvl w:val="1"/>
          <w:numId w:val="26"/>
        </w:numPr>
        <w:shd w:val="clear" w:color="auto" w:fill="FFFFFF"/>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6"/>
        </w:numPr>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6"/>
        </w:numPr>
        <w:shd w:val="clear" w:color="auto" w:fill="FFFFFF"/>
        <w:tabs>
          <w:tab w:val="clear" w:pos="709"/>
          <w:tab w:val="left" w:pos="1134"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17.8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6"/>
        </w:numPr>
        <w:shd w:val="clear" w:color="auto" w:fill="FFFFFF"/>
        <w:tabs>
          <w:tab w:val="clear" w:pos="709"/>
          <w:tab w:val="left" w:pos="1134" w:leader="none"/>
        </w:tabs>
        <w:ind w:left="0" w:firstLine="709"/>
        <w:jc w:val="both"/>
        <w:rPr/>
      </w:pPr>
      <w:bookmarkStart w:id="42" w:name="_Ref361338004"/>
      <w:r>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17.8 Договора.</w:t>
      </w:r>
      <w:bookmarkEnd w:id="42"/>
      <w:r>
        <w:rPr/>
        <w:t xml:space="preserve"> </w:t>
      </w:r>
    </w:p>
    <w:p>
      <w:pPr>
        <w:pStyle w:val="ListParagraph"/>
        <w:numPr>
          <w:ilvl w:val="1"/>
          <w:numId w:val="26"/>
        </w:numPr>
        <w:shd w:val="clear" w:color="auto" w:fill="FFFFFF"/>
        <w:tabs>
          <w:tab w:val="clear" w:pos="709"/>
          <w:tab w:val="left" w:pos="1134" w:leader="none"/>
          <w:tab w:val="left" w:pos="1418" w:leader="none"/>
        </w:tabs>
        <w:ind w:left="0" w:firstLine="709"/>
        <w:jc w:val="both"/>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26"/>
        </w:numPr>
        <w:ind w:lef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6"/>
        </w:numPr>
        <w:ind w:lef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26"/>
        </w:numPr>
        <w:ind w:left="0" w:firstLine="709"/>
        <w:jc w:val="both"/>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426"/>
        <w:jc w:val="both"/>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17.8.1 – 17.8.2 Договора. </w:t>
      </w:r>
    </w:p>
    <w:p>
      <w:pPr>
        <w:pStyle w:val="Normal"/>
        <w:numPr>
          <w:ilvl w:val="1"/>
          <w:numId w:val="26"/>
        </w:numPr>
        <w:spacing w:lineRule="auto" w:line="240"/>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6"/>
        </w:numPr>
        <w:shd w:val="clear" w:color="auto" w:fill="FFFFFF"/>
        <w:tabs>
          <w:tab w:val="clear" w:pos="709"/>
          <w:tab w:val="left" w:pos="568" w:leader="none"/>
        </w:tabs>
        <w:ind w:left="0" w:firstLine="709"/>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6"/>
        </w:numPr>
        <w:shd w:val="clear" w:color="auto" w:fill="FFFFFF"/>
        <w:tabs>
          <w:tab w:val="clear" w:pos="709"/>
          <w:tab w:val="left" w:pos="1134" w:leader="none"/>
        </w:tabs>
        <w:ind w:left="0" w:firstLine="709"/>
        <w:jc w:val="both"/>
        <w:rPr/>
      </w:pPr>
      <w:r>
        <w:rPr/>
        <w:t>Во всем остальном, что не урегулировано Договором, Стороны руководствуются законодательством Российской Федерации.</w:t>
      </w:r>
    </w:p>
    <w:p>
      <w:pPr>
        <w:pStyle w:val="ListParagraph"/>
        <w:numPr>
          <w:ilvl w:val="1"/>
          <w:numId w:val="26"/>
        </w:numPr>
        <w:shd w:val="clear" w:color="auto" w:fill="FFFFFF"/>
        <w:tabs>
          <w:tab w:val="clear" w:pos="709"/>
          <w:tab w:val="left" w:pos="1134" w:leader="none"/>
        </w:tabs>
        <w:ind w:left="0" w:firstLine="709"/>
        <w:jc w:val="both"/>
        <w:rPr/>
      </w:pPr>
      <w:r>
        <w:rPr/>
        <w:t xml:space="preserve"> </w:t>
      </w:r>
      <w:r>
        <w:rPr/>
        <w:t>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3"/>
      </w:r>
    </w:p>
    <w:p>
      <w:pPr>
        <w:pStyle w:val="ListParagraph"/>
        <w:shd w:val="clear" w:color="auto" w:fill="FFFFFF"/>
        <w:tabs>
          <w:tab w:val="clear" w:pos="709"/>
          <w:tab w:val="left" w:pos="1134" w:leader="none"/>
        </w:tabs>
        <w:ind w:left="0" w:hanging="0"/>
        <w:jc w:val="both"/>
        <w:rPr>
          <w:highlight w:val="lightGray"/>
        </w:rPr>
      </w:pPr>
      <w:r>
        <w:rPr>
          <w:highlight w:val="lightGray"/>
        </w:rPr>
      </w:r>
    </w:p>
    <w:p>
      <w:pPr>
        <w:pStyle w:val="ListParagraph"/>
        <w:shd w:val="clear" w:color="auto" w:fill="FFFFFF"/>
        <w:ind w:left="0" w:firstLine="567"/>
        <w:rPr>
          <w:bCs/>
        </w:rPr>
      </w:pPr>
      <w:r>
        <w:rPr>
          <w:bCs/>
        </w:rPr>
      </w:r>
    </w:p>
    <w:p>
      <w:pPr>
        <w:pStyle w:val="ListParagraph"/>
        <w:numPr>
          <w:ilvl w:val="0"/>
          <w:numId w:val="26"/>
        </w:numPr>
        <w:shd w:val="clear" w:color="auto" w:fill="FFFFFF"/>
        <w:tabs>
          <w:tab w:val="clear" w:pos="709"/>
          <w:tab w:val="left" w:pos="426" w:leader="none"/>
        </w:tabs>
        <w:ind w:left="0" w:hanging="0"/>
        <w:jc w:val="center"/>
        <w:rPr>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Сводный сметный расчет с приложениями;</w:t>
      </w:r>
    </w:p>
    <w:p>
      <w:pPr>
        <w:pStyle w:val="ListParagraph"/>
        <w:shd w:val="clear" w:color="auto" w:fill="FFFFFF"/>
        <w:ind w:left="0" w:hanging="0"/>
        <w:jc w:val="both"/>
        <w:rPr>
          <w:bCs/>
        </w:rPr>
      </w:pPr>
      <w:r>
        <w:rPr>
          <w:bCs/>
        </w:rPr>
        <w:t>Приложение № 3 – Форма Акта сдачи-приемки места производства работ;</w:t>
      </w:r>
    </w:p>
    <w:p>
      <w:pPr>
        <w:pStyle w:val="ListParagraph"/>
        <w:shd w:val="clear" w:color="auto" w:fill="FFFFFF"/>
        <w:ind w:left="0" w:hanging="0"/>
        <w:jc w:val="both"/>
        <w:rPr>
          <w:bCs/>
        </w:rPr>
      </w:pPr>
      <w:r>
        <w:rPr>
          <w:bCs/>
        </w:rPr>
        <w:t>Приложение № 4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pPr>
      <w:r>
        <w:rPr>
          <w:bCs/>
        </w:rPr>
        <w:t xml:space="preserve">Приложение № 5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color="auto" w:fill="FFFFFF"/>
        <w:ind w:left="0" w:hanging="0"/>
        <w:jc w:val="both"/>
        <w:rPr/>
      </w:pPr>
      <w:r>
        <w:rPr>
          <w:bCs/>
        </w:rPr>
        <w:t>Приложение № 6  –  Критерии отбора Банков-Гарантов.</w:t>
      </w:r>
    </w:p>
    <w:p>
      <w:pPr>
        <w:pStyle w:val="Normal"/>
        <w:spacing w:lineRule="auto" w:line="240"/>
        <w:ind w:hanging="0"/>
        <w:rPr>
          <w:sz w:val="24"/>
          <w:szCs w:val="24"/>
        </w:rPr>
      </w:pPr>
      <w:r>
        <w:rPr>
          <w:sz w:val="24"/>
          <w:szCs w:val="24"/>
        </w:rPr>
      </w:r>
    </w:p>
    <w:p>
      <w:pPr>
        <w:pStyle w:val="ListParagraph"/>
        <w:numPr>
          <w:ilvl w:val="0"/>
          <w:numId w:val="26"/>
        </w:numPr>
        <w:shd w:val="clear" w:color="auto" w:fill="FFFFFF"/>
        <w:tabs>
          <w:tab w:val="clear" w:pos="709"/>
          <w:tab w:val="left" w:pos="426" w:leader="none"/>
        </w:tabs>
        <w:ind w:left="0" w:hanging="0"/>
        <w:jc w:val="center"/>
        <w:rPr>
          <w:b/>
          <w:bCs/>
        </w:rPr>
      </w:pPr>
      <w:r>
        <w:rPr>
          <w:b/>
          <w:bCs/>
        </w:rPr>
        <w:t>Адреса и платежные реквизиты Сторон</w:t>
      </w:r>
    </w:p>
    <w:p>
      <w:pPr>
        <w:pStyle w:val="ListParagraph"/>
        <w:shd w:val="clear" w:color="auto" w:fill="FFFFFF"/>
        <w:tabs>
          <w:tab w:val="clear" w:pos="709"/>
          <w:tab w:val="left" w:pos="426" w:leader="none"/>
        </w:tabs>
        <w:ind w:left="0" w:hanging="0"/>
        <w:rPr>
          <w:b/>
          <w:bCs/>
        </w:rPr>
      </w:pPr>
      <w:r>
        <w:rPr>
          <w:b/>
          <w:bCs/>
        </w:rPr>
      </w:r>
    </w:p>
    <w:tbl>
      <w:tblPr>
        <w:tblW w:w="9890"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4920"/>
        <w:gridCol w:w="8"/>
        <w:gridCol w:w="4961"/>
      </w:tblGrid>
      <w:tr>
        <w:trPr/>
        <w:tc>
          <w:tcPr>
            <w:tcW w:w="4928" w:type="dxa"/>
            <w:gridSpan w:val="2"/>
            <w:tcBorders/>
          </w:tcPr>
          <w:p>
            <w:pPr>
              <w:pStyle w:val="Normal"/>
              <w:widowControl w:val="false"/>
              <w:spacing w:lineRule="auto" w:line="240"/>
              <w:ind w:hanging="0"/>
              <w:rPr>
                <w:sz w:val="24"/>
                <w:szCs w:val="24"/>
              </w:rPr>
            </w:pPr>
            <w:r>
              <w:rPr>
                <w:sz w:val="24"/>
                <w:szCs w:val="24"/>
              </w:rPr>
              <w:t>ПОДРЯДЧИК:</w:t>
            </w:r>
          </w:p>
        </w:tc>
        <w:tc>
          <w:tcPr>
            <w:tcW w:w="4961" w:type="dxa"/>
            <w:tcBorders/>
          </w:tcPr>
          <w:p>
            <w:pPr>
              <w:pStyle w:val="Normal"/>
              <w:widowControl w:val="false"/>
              <w:spacing w:lineRule="auto" w:line="240"/>
              <w:ind w:hanging="0"/>
              <w:rPr>
                <w:sz w:val="24"/>
                <w:szCs w:val="24"/>
              </w:rPr>
            </w:pPr>
            <w:r>
              <w:rPr>
                <w:sz w:val="24"/>
                <w:szCs w:val="24"/>
              </w:rPr>
              <w:t>ЗАКАЗЧИК:</w:t>
            </w:r>
          </w:p>
        </w:tc>
      </w:tr>
      <w:tr>
        <w:trPr/>
        <w:tc>
          <w:tcPr>
            <w:tcW w:w="4928" w:type="dxa"/>
            <w:gridSpan w:val="2"/>
            <w:tcBorders/>
            <w:shd w:color="auto" w:fill="FFFFFF" w:val="clear"/>
          </w:tcPr>
          <w:p>
            <w:pPr>
              <w:pStyle w:val="Style29"/>
              <w:widowControl w:val="false"/>
              <w:spacing w:lineRule="auto" w:line="240" w:before="40" w:after="0"/>
              <w:rPr>
                <w:b/>
                <w:szCs w:val="24"/>
              </w:rPr>
            </w:pPr>
            <w:r>
              <w:rPr>
                <w:b/>
                <w:szCs w:val="24"/>
              </w:rPr>
            </w:r>
          </w:p>
          <w:p>
            <w:pPr>
              <w:pStyle w:val="Style29"/>
              <w:widowControl w:val="false"/>
              <w:spacing w:lineRule="auto" w:line="240" w:before="40" w:after="0"/>
              <w:rPr/>
            </w:pPr>
            <w:r>
              <w:rPr/>
            </w:r>
          </w:p>
        </w:tc>
        <w:tc>
          <w:tcPr>
            <w:tcW w:w="4961" w:type="dxa"/>
            <w:tcBorders/>
            <w:shd w:color="auto" w:fill="FFFFFF" w:val="clear"/>
          </w:tcPr>
          <w:p>
            <w:pPr>
              <w:pStyle w:val="Normal"/>
              <w:widowControl w:val="false"/>
              <w:spacing w:lineRule="auto" w:line="240"/>
              <w:ind w:hanging="0"/>
              <w:jc w:val="left"/>
              <w:rPr>
                <w:b/>
                <w:sz w:val="24"/>
                <w:szCs w:val="24"/>
              </w:rPr>
            </w:pPr>
            <w:r>
              <w:rPr>
                <w:b/>
                <w:sz w:val="24"/>
                <w:szCs w:val="24"/>
              </w:rPr>
              <w:t>Публичное акционерное общество</w:t>
            </w:r>
          </w:p>
          <w:p>
            <w:pPr>
              <w:pStyle w:val="Normal"/>
              <w:widowControl w:val="false"/>
              <w:spacing w:lineRule="auto" w:line="240"/>
              <w:ind w:hanging="0"/>
              <w:jc w:val="left"/>
              <w:rPr>
                <w:b/>
                <w:sz w:val="24"/>
                <w:szCs w:val="24"/>
              </w:rPr>
            </w:pPr>
            <w:r>
              <w:rPr>
                <w:b/>
                <w:sz w:val="24"/>
                <w:szCs w:val="24"/>
              </w:rPr>
              <w:t>«Федеральная гидрогенерирующая компания - РусГидро» (ПАО «РусГидро»)</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Место нахождения: 660049, Красноярский</w:t>
            </w:r>
          </w:p>
          <w:p>
            <w:pPr>
              <w:pStyle w:val="Normal"/>
              <w:widowControl w:val="false"/>
              <w:spacing w:lineRule="auto" w:line="240"/>
              <w:ind w:hanging="0"/>
              <w:jc w:val="left"/>
              <w:rPr>
                <w:sz w:val="24"/>
                <w:szCs w:val="24"/>
              </w:rPr>
            </w:pPr>
            <w:r>
              <w:rPr>
                <w:sz w:val="24"/>
                <w:szCs w:val="24"/>
              </w:rPr>
              <w:t>край, г. Красноярск, ул. Перенсона, зд. 2а,</w:t>
            </w:r>
          </w:p>
          <w:p>
            <w:pPr>
              <w:pStyle w:val="Normal"/>
              <w:widowControl w:val="false"/>
              <w:spacing w:lineRule="auto" w:line="240"/>
              <w:ind w:hanging="0"/>
              <w:jc w:val="left"/>
              <w:rPr>
                <w:sz w:val="24"/>
                <w:szCs w:val="24"/>
              </w:rPr>
            </w:pPr>
            <w:r>
              <w:rPr>
                <w:sz w:val="24"/>
                <w:szCs w:val="24"/>
              </w:rPr>
              <w:t>пом. 1.</w:t>
            </w:r>
          </w:p>
          <w:p>
            <w:pPr>
              <w:pStyle w:val="Normal"/>
              <w:widowControl w:val="false"/>
              <w:spacing w:lineRule="auto" w:line="240"/>
              <w:ind w:hanging="0"/>
              <w:jc w:val="left"/>
              <w:rPr>
                <w:sz w:val="24"/>
                <w:szCs w:val="24"/>
              </w:rPr>
            </w:pPr>
            <w:r>
              <w:rPr>
                <w:sz w:val="24"/>
                <w:szCs w:val="24"/>
              </w:rPr>
              <w:t>ИНН: 2460066195</w:t>
            </w:r>
          </w:p>
          <w:p>
            <w:pPr>
              <w:pStyle w:val="Normal"/>
              <w:widowControl w:val="false"/>
              <w:spacing w:lineRule="auto" w:line="240"/>
              <w:ind w:hanging="0"/>
              <w:jc w:val="left"/>
              <w:rPr>
                <w:sz w:val="24"/>
                <w:szCs w:val="24"/>
              </w:rPr>
            </w:pPr>
            <w:r>
              <w:rPr>
                <w:sz w:val="24"/>
                <w:szCs w:val="24"/>
              </w:rPr>
              <w:t xml:space="preserve"> </w:t>
            </w:r>
            <w:r>
              <w:rPr>
                <w:sz w:val="24"/>
                <w:szCs w:val="24"/>
              </w:rPr>
              <w:t>КПП 091902001</w:t>
            </w:r>
          </w:p>
          <w:p>
            <w:pPr>
              <w:pStyle w:val="Normal"/>
              <w:widowControl w:val="false"/>
              <w:spacing w:lineRule="auto" w:line="240"/>
              <w:ind w:hanging="0"/>
              <w:jc w:val="left"/>
              <w:rPr>
                <w:sz w:val="24"/>
                <w:szCs w:val="24"/>
              </w:rPr>
            </w:pPr>
            <w:r>
              <w:rPr>
                <w:sz w:val="24"/>
                <w:szCs w:val="24"/>
              </w:rPr>
              <w:t>Фактический адрес Филиала ПАО «РусГидро» – «Карачаево-Черкесский филиал»: 369244, КЧР, Карачаевский район, п. Правокубанский</w:t>
            </w:r>
          </w:p>
          <w:p>
            <w:pPr>
              <w:pStyle w:val="Normal"/>
              <w:widowControl w:val="false"/>
              <w:spacing w:lineRule="auto" w:line="240"/>
              <w:ind w:hanging="0"/>
              <w:jc w:val="left"/>
              <w:rPr>
                <w:sz w:val="24"/>
                <w:szCs w:val="24"/>
              </w:rPr>
            </w:pPr>
            <w:r>
              <w:rPr>
                <w:sz w:val="24"/>
                <w:szCs w:val="24"/>
              </w:rPr>
              <w:t>Почтовый адрес филиала: 369244, КЧР, Карачаевский район, п. Правокубанский</w:t>
            </w:r>
          </w:p>
          <w:p>
            <w:pPr>
              <w:pStyle w:val="Normal"/>
              <w:widowControl w:val="false"/>
              <w:spacing w:lineRule="auto" w:line="240"/>
              <w:ind w:hanging="0"/>
              <w:jc w:val="left"/>
              <w:rPr>
                <w:sz w:val="24"/>
                <w:szCs w:val="24"/>
              </w:rPr>
            </w:pPr>
            <w:r>
              <w:rPr>
                <w:sz w:val="24"/>
                <w:szCs w:val="24"/>
              </w:rPr>
              <w:t>ИНН 2460066195</w:t>
            </w:r>
          </w:p>
          <w:p>
            <w:pPr>
              <w:pStyle w:val="Normal"/>
              <w:widowControl w:val="false"/>
              <w:spacing w:lineRule="auto" w:line="240"/>
              <w:ind w:hanging="0"/>
              <w:jc w:val="left"/>
              <w:rPr>
                <w:sz w:val="24"/>
                <w:szCs w:val="24"/>
              </w:rPr>
            </w:pPr>
            <w:r>
              <w:rPr>
                <w:sz w:val="24"/>
                <w:szCs w:val="24"/>
              </w:rPr>
              <w:t>ОГРН 1042401810494</w:t>
            </w:r>
          </w:p>
          <w:p>
            <w:pPr>
              <w:pStyle w:val="Normal"/>
              <w:widowControl w:val="false"/>
              <w:spacing w:lineRule="auto" w:line="240"/>
              <w:ind w:hanging="0"/>
              <w:jc w:val="left"/>
              <w:rPr>
                <w:sz w:val="24"/>
                <w:szCs w:val="24"/>
              </w:rPr>
            </w:pPr>
            <w:r>
              <w:rPr>
                <w:sz w:val="24"/>
                <w:szCs w:val="24"/>
              </w:rPr>
              <w:t>Расчетный счет 40702810860310000066</w:t>
            </w:r>
          </w:p>
          <w:p>
            <w:pPr>
              <w:pStyle w:val="Normal"/>
              <w:widowControl w:val="false"/>
              <w:spacing w:lineRule="auto" w:line="240"/>
              <w:ind w:hanging="0"/>
              <w:jc w:val="left"/>
              <w:rPr>
                <w:sz w:val="24"/>
                <w:szCs w:val="24"/>
              </w:rPr>
            </w:pPr>
            <w:r>
              <w:rPr>
                <w:sz w:val="24"/>
                <w:szCs w:val="24"/>
              </w:rPr>
              <w:t>БИК 040702615</w:t>
            </w:r>
          </w:p>
          <w:p>
            <w:pPr>
              <w:pStyle w:val="Normal"/>
              <w:widowControl w:val="false"/>
              <w:spacing w:lineRule="auto" w:line="240"/>
              <w:ind w:hanging="0"/>
              <w:jc w:val="left"/>
              <w:rPr>
                <w:sz w:val="24"/>
                <w:szCs w:val="24"/>
              </w:rPr>
            </w:pPr>
            <w:r>
              <w:rPr>
                <w:sz w:val="24"/>
                <w:szCs w:val="24"/>
              </w:rPr>
              <w:t>Кор.счет 30101810907020000615 Ставропольское отделение № 5230</w:t>
            </w:r>
          </w:p>
          <w:p>
            <w:pPr>
              <w:pStyle w:val="Normal"/>
              <w:widowControl w:val="false"/>
              <w:spacing w:lineRule="auto" w:line="240"/>
              <w:ind w:hanging="0"/>
              <w:jc w:val="left"/>
              <w:rPr>
                <w:sz w:val="24"/>
                <w:szCs w:val="24"/>
              </w:rPr>
            </w:pPr>
            <w:r>
              <w:rPr>
                <w:sz w:val="24"/>
                <w:szCs w:val="24"/>
              </w:rPr>
              <w:t>ПАО «Сбербанк» г. Ставрополь</w:t>
            </w:r>
          </w:p>
          <w:p>
            <w:pPr>
              <w:pStyle w:val="Normal"/>
              <w:widowControl w:val="false"/>
              <w:spacing w:lineRule="auto" w:line="240"/>
              <w:ind w:hanging="0"/>
              <w:rPr>
                <w:sz w:val="24"/>
                <w:szCs w:val="24"/>
              </w:rPr>
            </w:pPr>
            <w:r>
              <w:rPr>
                <w:sz w:val="24"/>
                <w:szCs w:val="24"/>
              </w:rPr>
              <w:t>Тел.(8782)267040 Факс: (8782)26-60-98</w:t>
            </w:r>
          </w:p>
        </w:tc>
      </w:tr>
      <w:tr>
        <w:trPr/>
        <w:tc>
          <w:tcPr>
            <w:tcW w:w="4920" w:type="dxa"/>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w:t>
            </w:r>
          </w:p>
        </w:tc>
        <w:tc>
          <w:tcPr>
            <w:tcW w:w="4969" w:type="dxa"/>
            <w:gridSpan w:val="2"/>
            <w:tcBorders/>
          </w:tcPr>
          <w:p>
            <w:pPr>
              <w:pStyle w:val="Normal"/>
              <w:widowControl w:val="false"/>
              <w:spacing w:lineRule="auto" w:line="240"/>
              <w:ind w:hanging="0"/>
              <w:jc w:val="left"/>
              <w:rPr>
                <w:color w:val="000000"/>
                <w:spacing w:val="1"/>
                <w:sz w:val="24"/>
                <w:szCs w:val="24"/>
              </w:rPr>
            </w:pPr>
            <w:r>
              <w:rPr>
                <w:color w:val="000000"/>
                <w:spacing w:val="1"/>
                <w:sz w:val="24"/>
                <w:szCs w:val="24"/>
              </w:rPr>
            </w:r>
          </w:p>
          <w:p>
            <w:pPr>
              <w:pStyle w:val="Normal"/>
              <w:widowControl w:val="false"/>
              <w:spacing w:lineRule="auto" w:line="240"/>
              <w:ind w:hanging="0"/>
              <w:jc w:val="left"/>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Директор Филиала ПАО «РусГидро» – «Карачаево-Черкесский филиал»</w:t>
            </w:r>
          </w:p>
          <w:p>
            <w:pPr>
              <w:pStyle w:val="Normal"/>
              <w:widowControl w:val="false"/>
              <w:spacing w:lineRule="auto" w:line="240"/>
              <w:jc w:val="center"/>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_____________В.И. Шульженко</w:t>
            </w:r>
          </w:p>
        </w:tc>
      </w:tr>
    </w:tbl>
    <w:p>
      <w:pPr>
        <w:sectPr>
          <w:headerReference w:type="default" r:id="rId7"/>
          <w:headerReference w:type="first" r:id="rId8"/>
          <w:footerReference w:type="default" r:id="rId9"/>
          <w:footnotePr>
            <w:numFmt w:val="decimal"/>
          </w:footnotePr>
          <w:type w:val="nextPage"/>
          <w:pgSz w:w="11906" w:h="16838"/>
          <w:pgMar w:left="1418" w:right="851" w:gutter="0" w:header="709" w:top="993" w:footer="709" w:bottom="1134"/>
          <w:pgNumType w:fmt="decimal"/>
          <w:formProt w:val="false"/>
          <w:titlePg/>
          <w:textDirection w:val="lrTb"/>
          <w:docGrid w:type="default" w:linePitch="381" w:charSpace="0"/>
        </w:sectPr>
      </w:pPr>
    </w:p>
    <w:p>
      <w:pPr>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284" w:top="851" w:footer="284" w:bottom="851"/>
          <w:pgNumType w:fmt="decimal"/>
          <w:formProt w:val="false"/>
          <w:textDirection w:val="lrTb"/>
          <w:docGrid w:type="default" w:linePitch="381" w:charSpace="0"/>
        </w:sectPr>
        <w:pStyle w:val="Normal"/>
        <w:spacing w:lineRule="auto" w:line="240"/>
        <w:ind w:left="5103" w:hanging="0"/>
        <w:rPr>
          <w:sz w:val="22"/>
          <w:szCs w:val="22"/>
        </w:rPr>
      </w:pPr>
      <w:r>
        <w:rPr>
          <w:sz w:val="22"/>
          <w:szCs w:val="22"/>
        </w:rPr>
        <w:t>Приложение № 3</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2026 г. № </w:t>
      </w:r>
    </w:p>
    <w:p>
      <w:pPr>
        <w:pStyle w:val="13"/>
        <w:rPr>
          <w:sz w:val="24"/>
          <w:szCs w:val="24"/>
        </w:rPr>
      </w:pPr>
      <w:r>
        <w:rPr>
          <w:sz w:val="24"/>
          <w:szCs w:val="24"/>
        </w:rPr>
      </w:r>
    </w:p>
    <w:p>
      <w:pPr>
        <w:pStyle w:val="13"/>
        <w:rPr>
          <w:sz w:val="24"/>
          <w:szCs w:val="24"/>
        </w:rPr>
      </w:pPr>
      <w:r>
        <w:rPr>
          <w:iCs/>
          <w:sz w:val="24"/>
          <w:szCs w:val="24"/>
        </w:rPr>
        <w:t>ФОРМА</w:t>
      </w:r>
    </w:p>
    <w:p>
      <w:pPr>
        <w:pStyle w:val="13"/>
        <w:rPr>
          <w:i/>
          <w:i/>
          <w:iCs/>
          <w:sz w:val="24"/>
          <w:szCs w:val="24"/>
        </w:rPr>
      </w:pPr>
      <w:r>
        <w:rPr>
          <w:sz w:val="24"/>
          <w:szCs w:val="24"/>
        </w:rPr>
        <w:t xml:space="preserve">Акта сдачи-приемки места производства Работ </w:t>
      </w:r>
    </w:p>
    <w:p>
      <w:pPr>
        <w:pStyle w:val="Normal"/>
        <w:spacing w:lineRule="auto" w:line="240"/>
        <w:ind w:hanging="0"/>
        <w:rPr>
          <w:sz w:val="24"/>
          <w:szCs w:val="24"/>
        </w:rPr>
      </w:pPr>
      <w:r>
        <w:rPr>
          <w:sz w:val="24"/>
          <w:szCs w:val="24"/>
        </w:rPr>
      </w:r>
    </w:p>
    <w:tbl>
      <w:tblPr>
        <w:tblW w:w="4800" w:type="pct"/>
        <w:jc w:val="left"/>
        <w:tblInd w:w="113" w:type="dxa"/>
        <w:tblLayout w:type="fixed"/>
        <w:tblCellMar>
          <w:top w:w="0" w:type="dxa"/>
          <w:left w:w="108" w:type="dxa"/>
          <w:bottom w:w="0" w:type="dxa"/>
          <w:right w:w="108" w:type="dxa"/>
        </w:tblCellMar>
        <w:tblLook w:val="04a0" w:noVBand="1" w:noHBand="0" w:lastColumn="0" w:firstColumn="1" w:lastRow="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13"/>
              <w:widowControl w:val="false"/>
              <w:rPr>
                <w:b w:val="false"/>
              </w:rPr>
            </w:pPr>
            <w:r>
              <w:rPr>
                <w:b w:val="false"/>
              </w:rPr>
              <w:t>Акт</w:t>
            </w:r>
          </w:p>
          <w:p>
            <w:pPr>
              <w:pStyle w:val="13"/>
              <w:widowControl w:val="false"/>
              <w:rPr>
                <w:b w:val="false"/>
                <w:i/>
                <w:i/>
                <w:iCs/>
              </w:rPr>
            </w:pPr>
            <w:r>
              <w:rPr>
                <w:b w:val="false"/>
              </w:rPr>
              <w:t>сдачи-приемки места производства Работ</w:t>
            </w:r>
          </w:p>
          <w:p>
            <w:pPr>
              <w:pStyle w:val="Normal"/>
              <w:widowControl w:val="false"/>
              <w:rPr>
                <w:sz w:val="22"/>
              </w:rPr>
            </w:pPr>
            <w:r>
              <w:rPr>
                <w:sz w:val="22"/>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____________________, именуемое далее «Подрядчик», в лице ________________, действующего на основании ______________,</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w:t>
            </w:r>
            <w:r>
              <w:rPr>
                <w:sz w:val="22"/>
                <w:szCs w:val="22"/>
              </w:rPr>
              <w:t>по Договору по</w:t>
            </w:r>
            <w:r>
              <w:rPr>
                <w:bCs/>
                <w:sz w:val="22"/>
                <w:szCs w:val="22"/>
              </w:rPr>
              <w:t>дряда №______ от _____________.</w:t>
            </w:r>
          </w:p>
          <w:p>
            <w:pPr>
              <w:pStyle w:val="Normal"/>
              <w:widowControl w:val="false"/>
              <w:ind w:hanging="0"/>
              <w:rPr>
                <w:bCs/>
                <w:sz w:val="22"/>
                <w:szCs w:val="22"/>
              </w:rPr>
            </w:pPr>
            <w:r>
              <w:rPr>
                <w:bCs/>
                <w:sz w:val="22"/>
                <w:szCs w:val="22"/>
              </w:rPr>
              <w:t xml:space="preserve">Место для производства Работ  </w:t>
            </w:r>
            <w:r>
              <w:rPr>
                <w:sz w:val="22"/>
                <w:szCs w:val="22"/>
              </w:rPr>
              <w:t>Подрядчику</w:t>
            </w:r>
            <w:r>
              <w:rPr>
                <w:bCs/>
                <w:sz w:val="22"/>
                <w:szCs w:val="22"/>
              </w:rPr>
              <w:t xml:space="preserve"> в установленный Договором срок.</w:t>
            </w:r>
          </w:p>
          <w:p>
            <w:pPr>
              <w:pStyle w:val="Normal"/>
              <w:widowControl w:val="false"/>
              <w:ind w:hanging="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pPr>
              <w:pStyle w:val="Normal"/>
              <w:widowControl w:val="false"/>
              <w:ind w:hanging="0"/>
              <w:rPr>
                <w:sz w:val="22"/>
                <w:szCs w:val="22"/>
              </w:rPr>
            </w:pPr>
            <w:r>
              <w:rPr>
                <w:i/>
                <w:sz w:val="22"/>
                <w:szCs w:val="22"/>
              </w:rPr>
              <w:t>(указать конкретные претензии или указать «не имеются»)</w:t>
            </w:r>
            <w:r>
              <w:rPr>
                <w:sz w:val="22"/>
                <w:szCs w:val="22"/>
              </w:rPr>
              <w:t>.</w:t>
            </w:r>
          </w:p>
          <w:p>
            <w:pPr>
              <w:pStyle w:val="Normal"/>
              <w:widowControl w:val="false"/>
              <w:ind w:hanging="0"/>
              <w:rPr>
                <w:bCs/>
                <w:sz w:val="22"/>
                <w:szCs w:val="22"/>
                <w:highlight w:val="lightGray"/>
              </w:rPr>
            </w:pPr>
            <w:r>
              <w:rPr>
                <w:bCs/>
                <w:sz w:val="22"/>
                <w:szCs w:val="22"/>
                <w:highlight w:val="lightGray"/>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tcPr>
                <w:p>
                  <w:pPr>
                    <w:pStyle w:val="Normal"/>
                    <w:widowControl w:val="false"/>
                    <w:spacing w:lineRule="auto" w:line="240"/>
                    <w:ind w:hanging="0"/>
                    <w:rPr>
                      <w:sz w:val="22"/>
                    </w:rPr>
                  </w:pPr>
                  <w:r>
                    <w:rPr>
                      <w:sz w:val="22"/>
                    </w:rPr>
                    <w:t>Заказчик:</w:t>
                  </w:r>
                </w:p>
              </w:tc>
              <w:tc>
                <w:tcPr>
                  <w:tcW w:w="4520" w:type="dxa"/>
                  <w:tcBorders/>
                </w:tcPr>
                <w:p>
                  <w:pPr>
                    <w:pStyle w:val="Normal"/>
                    <w:widowControl w:val="false"/>
                    <w:spacing w:lineRule="auto" w:line="240"/>
                    <w:ind w:hanging="0"/>
                    <w:rPr>
                      <w:sz w:val="22"/>
                    </w:rPr>
                  </w:pPr>
                  <w:r>
                    <w:rPr>
                      <w:sz w:val="22"/>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13"/>
              <w:widowControl w:val="false"/>
              <w:spacing w:before="0" w:after="120"/>
              <w:jc w:val="left"/>
              <w:rPr>
                <w:i/>
                <w:i/>
                <w:iCs/>
              </w:rPr>
            </w:pPr>
            <w:r>
              <w:rPr>
                <w:i/>
                <w:iCs/>
              </w:rPr>
            </w:r>
          </w:p>
        </w:tc>
      </w:tr>
    </w:tbl>
    <w:p>
      <w:pPr>
        <w:pStyle w:val="13"/>
        <w:jc w:val="left"/>
        <w:rPr>
          <w:i/>
          <w:i/>
          <w:iCs/>
        </w:rPr>
      </w:pPr>
      <w:r>
        <w:rPr>
          <w:i/>
          <w:iCs/>
        </w:rPr>
      </w:r>
    </w:p>
    <w:tbl>
      <w:tblPr>
        <w:tblW w:w="9571"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Подрядчик:</w:t>
            </w:r>
          </w:p>
        </w:tc>
        <w:tc>
          <w:tcPr>
            <w:tcW w:w="4785" w:type="dxa"/>
            <w:tcBorders/>
          </w:tcPr>
          <w:p>
            <w:pPr>
              <w:pStyle w:val="Normal"/>
              <w:widowControl w:val="false"/>
              <w:spacing w:lineRule="auto" w:line="240"/>
              <w:ind w:hanging="0"/>
              <w:rPr>
                <w:b/>
                <w:sz w:val="24"/>
              </w:rPr>
            </w:pPr>
            <w:r>
              <w:rPr>
                <w:b/>
                <w:sz w:val="24"/>
              </w:rPr>
              <w:t>Заказчик:</w:t>
            </w:r>
          </w:p>
        </w:tc>
      </w:tr>
      <w:tr>
        <w:trPr/>
        <w:tc>
          <w:tcPr>
            <w:tcW w:w="4785" w:type="dxa"/>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w:t>
            </w:r>
          </w:p>
        </w:tc>
        <w:tc>
          <w:tcPr>
            <w:tcW w:w="4785" w:type="dxa"/>
            <w:tcBorders/>
          </w:tcPr>
          <w:p>
            <w:pPr>
              <w:pStyle w:val="Normal"/>
              <w:widowControl w:val="false"/>
              <w:spacing w:lineRule="auto" w:line="240"/>
              <w:ind w:hanging="0"/>
              <w:jc w:val="left"/>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Директор Филиала ПАО «РусГидро» – «Карачаево-Черкесский филиал»</w:t>
            </w:r>
          </w:p>
          <w:p>
            <w:pPr>
              <w:pStyle w:val="Normal"/>
              <w:widowControl w:val="false"/>
              <w:spacing w:lineRule="auto" w:line="240"/>
              <w:jc w:val="center"/>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_____________В.И. Шульженко</w:t>
            </w:r>
          </w:p>
        </w:tc>
      </w:tr>
    </w:tbl>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hanging="0"/>
        <w:jc w:val="center"/>
        <w:rPr>
          <w:sz w:val="22"/>
          <w:szCs w:val="22"/>
        </w:rPr>
      </w:pPr>
      <w:r>
        <w:rPr>
          <w:sz w:val="22"/>
          <w:szCs w:val="22"/>
        </w:rPr>
        <w:t xml:space="preserve">                                       </w:t>
      </w:r>
      <w:r>
        <w:rPr>
          <w:sz w:val="22"/>
          <w:szCs w:val="22"/>
        </w:rPr>
        <w:t>Приложение № 4</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2026 г. №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VBand="0" w:noHBand="0" w:lastColumn="1" w:firstColumn="1" w:lastRow="1" w:firstRow="1"/>
      </w:tblPr>
      <w:tblGrid>
        <w:gridCol w:w="3667"/>
        <w:gridCol w:w="5969"/>
      </w:tblGrid>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Виды нарушений</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Штрафные санкции</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- 500 (пятьсот) рублей в случае утраты или приведения в негодность электронного пропуска, выданного Заказчиком.</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Подрядчик:</w:t>
            </w:r>
          </w:p>
        </w:tc>
        <w:tc>
          <w:tcPr>
            <w:tcW w:w="4785" w:type="dxa"/>
            <w:tcBorders/>
          </w:tcPr>
          <w:p>
            <w:pPr>
              <w:pStyle w:val="Normal"/>
              <w:widowControl w:val="false"/>
              <w:spacing w:lineRule="auto" w:line="240"/>
              <w:ind w:hanging="0"/>
              <w:rPr>
                <w:b/>
                <w:sz w:val="24"/>
              </w:rPr>
            </w:pPr>
            <w:r>
              <w:rPr>
                <w:b/>
                <w:sz w:val="24"/>
              </w:rPr>
              <w:t>Заказчик:</w:t>
            </w:r>
          </w:p>
        </w:tc>
      </w:tr>
      <w:tr>
        <w:trPr/>
        <w:tc>
          <w:tcPr>
            <w:tcW w:w="4785" w:type="dxa"/>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w:t>
            </w:r>
          </w:p>
        </w:tc>
        <w:tc>
          <w:tcPr>
            <w:tcW w:w="4785" w:type="dxa"/>
            <w:tcBorders/>
          </w:tcPr>
          <w:p>
            <w:pPr>
              <w:pStyle w:val="Normal"/>
              <w:widowControl w:val="false"/>
              <w:spacing w:lineRule="auto" w:line="240"/>
              <w:ind w:hanging="0"/>
              <w:jc w:val="left"/>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Директор Филиала ПАО «РусГидро» – «Карачаево-Черкесский филиал»</w:t>
            </w:r>
          </w:p>
          <w:p>
            <w:pPr>
              <w:pStyle w:val="Normal"/>
              <w:widowControl w:val="false"/>
              <w:spacing w:lineRule="auto" w:line="240"/>
              <w:jc w:val="center"/>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_____________В.И. Шульженко</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napToGrid w:val="false"/>
        <w:spacing w:lineRule="auto" w:line="240"/>
        <w:ind w:firstLine="5103"/>
        <w:rPr>
          <w:sz w:val="22"/>
          <w:szCs w:val="22"/>
        </w:rPr>
      </w:pPr>
      <w:r>
        <w:rPr>
          <w:sz w:val="22"/>
          <w:szCs w:val="22"/>
        </w:rPr>
        <w:t>Приложение № 5</w:t>
      </w:r>
    </w:p>
    <w:p>
      <w:pPr>
        <w:pStyle w:val="Normal"/>
        <w:snapToGrid w:val="false"/>
        <w:spacing w:lineRule="auto" w:line="240"/>
        <w:ind w:firstLine="5103"/>
        <w:rPr>
          <w:sz w:val="22"/>
          <w:szCs w:val="22"/>
        </w:rPr>
      </w:pPr>
      <w:r>
        <w:rPr>
          <w:sz w:val="22"/>
          <w:szCs w:val="22"/>
        </w:rPr>
        <w:t>к Договору подряда</w:t>
      </w:r>
    </w:p>
    <w:p>
      <w:pPr>
        <w:pStyle w:val="Normal"/>
        <w:snapToGrid w:val="false"/>
        <w:spacing w:lineRule="auto" w:line="240"/>
        <w:ind w:firstLine="5103"/>
        <w:rPr>
          <w:sz w:val="22"/>
          <w:szCs w:val="22"/>
        </w:rPr>
      </w:pPr>
      <w:r>
        <w:rPr>
          <w:sz w:val="22"/>
          <w:szCs w:val="22"/>
        </w:rPr>
        <w:t>от «____» __________ 2026 г. №</w:t>
      </w:r>
    </w:p>
    <w:p>
      <w:pPr>
        <w:pStyle w:val="Normal"/>
        <w:snapToGrid w:val="false"/>
        <w:spacing w:lineRule="auto" w:line="240"/>
        <w:ind w:firstLine="5103"/>
        <w:rPr>
          <w:b/>
          <w:sz w:val="24"/>
          <w:szCs w:val="24"/>
        </w:rPr>
      </w:pPr>
      <w:r>
        <w:rPr>
          <w:b/>
          <w:sz w:val="24"/>
          <w:szCs w:val="24"/>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21"/>
        </w:numPr>
        <w:tabs>
          <w:tab w:val="clear" w:pos="709"/>
          <w:tab w:val="left" w:pos="284" w:leader="none"/>
        </w:tabs>
        <w:ind w:left="0" w:hanging="0"/>
        <w:jc w:val="center"/>
        <w:rPr>
          <w:b/>
        </w:rPr>
      </w:pPr>
      <w:r>
        <w:rPr>
          <w:b/>
        </w:rPr>
        <w:t>Общие положения</w:t>
      </w:r>
    </w:p>
    <w:p>
      <w:pPr>
        <w:pStyle w:val="Normal"/>
        <w:spacing w:lineRule="auto" w:line="240"/>
        <w:ind w:firstLine="709"/>
        <w:rPr>
          <w:sz w:val="24"/>
          <w:szCs w:val="24"/>
        </w:rPr>
      </w:pPr>
      <w:r>
        <w:rPr>
          <w:sz w:val="24"/>
          <w:szCs w:val="24"/>
        </w:rPr>
        <w:t>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«Иные условия поставки товара, выполнения работ, оказания услуг» Технического задания (Приложение № 1 к Договору).</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42"/>
        </w:numPr>
        <w:spacing w:lineRule="auto" w:line="240"/>
        <w:ind w:left="0" w:firstLine="709"/>
        <w:rPr>
          <w:sz w:val="24"/>
          <w:szCs w:val="24"/>
        </w:rPr>
      </w:pPr>
      <w:r>
        <w:rPr>
          <w:sz w:val="24"/>
          <w:szCs w:val="24"/>
        </w:rPr>
        <w:t>Перемещение грузов грузоподъемными механизмами Заказчика.</w:t>
      </w:r>
    </w:p>
    <w:p>
      <w:pPr>
        <w:pStyle w:val="Normal"/>
        <w:numPr>
          <w:ilvl w:val="0"/>
          <w:numId w:val="43"/>
        </w:numPr>
        <w:spacing w:lineRule="auto" w:line="240"/>
        <w:ind w:left="0" w:firstLine="709"/>
        <w:rPr>
          <w:sz w:val="24"/>
          <w:szCs w:val="24"/>
        </w:rPr>
      </w:pPr>
      <w:r>
        <w:rPr>
          <w:sz w:val="24"/>
          <w:szCs w:val="24"/>
        </w:rPr>
        <w:t>Коммунальные ресурсы:</w:t>
      </w:r>
    </w:p>
    <w:p>
      <w:pPr>
        <w:pStyle w:val="Normal"/>
        <w:numPr>
          <w:ilvl w:val="1"/>
          <w:numId w:val="44"/>
        </w:numPr>
        <w:spacing w:lineRule="auto" w:line="240"/>
        <w:ind w:left="0" w:firstLine="709"/>
        <w:rPr>
          <w:sz w:val="24"/>
          <w:szCs w:val="24"/>
        </w:rPr>
      </w:pPr>
      <w:r>
        <w:rPr>
          <w:sz w:val="24"/>
          <w:szCs w:val="24"/>
        </w:rPr>
        <w:t>Электроэнергия.</w:t>
      </w:r>
    </w:p>
    <w:p>
      <w:pPr>
        <w:pStyle w:val="Normal"/>
        <w:numPr>
          <w:ilvl w:val="1"/>
          <w:numId w:val="45"/>
        </w:numPr>
        <w:spacing w:lineRule="auto" w:line="240"/>
        <w:ind w:left="0" w:firstLine="709"/>
        <w:rPr>
          <w:sz w:val="24"/>
          <w:szCs w:val="24"/>
        </w:rPr>
      </w:pPr>
      <w:r>
        <w:rPr>
          <w:sz w:val="24"/>
          <w:szCs w:val="24"/>
        </w:rPr>
        <w:t>Водоснабжение и водоотведение.</w:t>
      </w:r>
    </w:p>
    <w:p>
      <w:pPr>
        <w:pStyle w:val="Normal"/>
        <w:numPr>
          <w:ilvl w:val="1"/>
          <w:numId w:val="46"/>
        </w:numPr>
        <w:spacing w:lineRule="auto" w:line="240"/>
        <w:ind w:left="0" w:firstLine="709"/>
        <w:rPr>
          <w:sz w:val="24"/>
          <w:szCs w:val="24"/>
        </w:rPr>
      </w:pPr>
      <w:r>
        <w:rPr>
          <w:sz w:val="24"/>
          <w:szCs w:val="24"/>
        </w:rPr>
        <w:t>Сжатый воздух.</w:t>
      </w:r>
    </w:p>
    <w:p>
      <w:pPr>
        <w:pStyle w:val="Normal"/>
        <w:numPr>
          <w:ilvl w:val="0"/>
          <w:numId w:val="47"/>
        </w:numPr>
        <w:spacing w:lineRule="auto" w:line="240"/>
        <w:ind w:left="0" w:firstLine="709"/>
        <w:rPr>
          <w:sz w:val="24"/>
          <w:szCs w:val="24"/>
        </w:rPr>
      </w:pPr>
      <w:r>
        <w:rPr>
          <w:sz w:val="24"/>
          <w:szCs w:val="24"/>
        </w:rPr>
        <w:t>Обеспечение санитарно-гигиенических и бытовых условий.</w:t>
      </w:r>
    </w:p>
    <w:p>
      <w:pPr>
        <w:pStyle w:val="Normal"/>
        <w:numPr>
          <w:ilvl w:val="0"/>
          <w:numId w:val="48"/>
        </w:numPr>
        <w:spacing w:lineRule="auto" w:line="240"/>
        <w:ind w:left="0" w:firstLine="709"/>
        <w:rPr>
          <w:sz w:val="24"/>
          <w:szCs w:val="24"/>
        </w:rPr>
      </w:pPr>
      <w:r>
        <w:rPr>
          <w:sz w:val="24"/>
          <w:szCs w:val="24"/>
        </w:rPr>
        <w:t>Содержание пожарной и сторожевой охраны.</w:t>
      </w:r>
    </w:p>
    <w:p>
      <w:pPr>
        <w:pStyle w:val="Normal"/>
        <w:numPr>
          <w:ilvl w:val="0"/>
          <w:numId w:val="49"/>
        </w:numPr>
        <w:spacing w:lineRule="auto" w:line="240"/>
        <w:ind w:left="0" w:firstLine="709"/>
        <w:rPr>
          <w:sz w:val="24"/>
          <w:szCs w:val="24"/>
        </w:rPr>
      </w:pPr>
      <w:r>
        <w:rPr>
          <w:sz w:val="24"/>
          <w:szCs w:val="24"/>
        </w:rPr>
        <w:t>Благоустройство и содержание строительных площадок.</w:t>
      </w:r>
    </w:p>
    <w:p>
      <w:pPr>
        <w:pStyle w:val="Normal"/>
        <w:numPr>
          <w:ilvl w:val="0"/>
          <w:numId w:val="50"/>
        </w:numPr>
        <w:spacing w:lineRule="auto" w:line="240"/>
        <w:ind w:left="0" w:firstLine="709"/>
        <w:rPr>
          <w:sz w:val="24"/>
          <w:szCs w:val="24"/>
        </w:rPr>
      </w:pPr>
      <w:r>
        <w:rPr>
          <w:sz w:val="24"/>
          <w:szCs w:val="24"/>
        </w:rPr>
        <w:t>Проведение химического анализа масел.</w:t>
      </w:r>
    </w:p>
    <w:p>
      <w:pPr>
        <w:pStyle w:val="Normal"/>
        <w:numPr>
          <w:ilvl w:val="0"/>
          <w:numId w:val="51"/>
        </w:numPr>
        <w:spacing w:lineRule="auto" w:line="240"/>
        <w:ind w:left="0" w:firstLine="709"/>
        <w:rPr>
          <w:sz w:val="24"/>
          <w:szCs w:val="24"/>
        </w:rPr>
      </w:pPr>
      <w:r>
        <w:rPr>
          <w:sz w:val="24"/>
          <w:szCs w:val="24"/>
        </w:rPr>
        <w:t>Осушение оборудования (проточная часть гидроагрегата).</w:t>
      </w:r>
    </w:p>
    <w:p>
      <w:pPr>
        <w:pStyle w:val="Normal"/>
        <w:numPr>
          <w:ilvl w:val="0"/>
          <w:numId w:val="52"/>
        </w:numPr>
        <w:spacing w:lineRule="auto" w:line="240"/>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53"/>
        </w:numPr>
        <w:spacing w:lineRule="auto" w:line="240"/>
        <w:ind w:left="0" w:firstLine="709"/>
        <w:rPr>
          <w:sz w:val="24"/>
          <w:szCs w:val="24"/>
        </w:rPr>
      </w:pPr>
      <w:r>
        <w:rPr>
          <w:sz w:val="24"/>
          <w:szCs w:val="24"/>
        </w:rPr>
        <w:t>Предоставление помещений:</w:t>
      </w:r>
    </w:p>
    <w:p>
      <w:pPr>
        <w:pStyle w:val="Normal"/>
        <w:numPr>
          <w:ilvl w:val="1"/>
          <w:numId w:val="54"/>
        </w:numPr>
        <w:spacing w:lineRule="auto" w:line="240"/>
        <w:ind w:left="0" w:firstLine="709"/>
        <w:rPr>
          <w:bCs/>
          <w:sz w:val="24"/>
          <w:szCs w:val="24"/>
        </w:rPr>
      </w:pPr>
      <w:r>
        <w:rPr>
          <w:bCs/>
          <w:sz w:val="24"/>
          <w:szCs w:val="24"/>
        </w:rPr>
        <w:t xml:space="preserve">Помещений / площадок для размещения персонала Подрядчика; </w:t>
      </w:r>
    </w:p>
    <w:p>
      <w:pPr>
        <w:pStyle w:val="Normal"/>
        <w:numPr>
          <w:ilvl w:val="1"/>
          <w:numId w:val="55"/>
        </w:numPr>
        <w:spacing w:lineRule="auto" w:line="240"/>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w:t>
      </w:r>
    </w:p>
    <w:p>
      <w:pPr>
        <w:pStyle w:val="Normal"/>
        <w:spacing w:lineRule="auto" w:line="240"/>
        <w:rPr>
          <w:sz w:val="24"/>
          <w:szCs w:val="24"/>
        </w:rPr>
      </w:pPr>
      <w:r>
        <w:rPr>
          <w:sz w:val="24"/>
          <w:szCs w:val="24"/>
        </w:rPr>
      </w:r>
    </w:p>
    <w:p>
      <w:pPr>
        <w:pStyle w:val="ListParagraph"/>
        <w:numPr>
          <w:ilvl w:val="0"/>
          <w:numId w:val="21"/>
        </w:numPr>
        <w:tabs>
          <w:tab w:val="clear" w:pos="709"/>
          <w:tab w:val="left" w:pos="284" w:leader="none"/>
          <w:tab w:val="left" w:pos="1418" w:leader="none"/>
        </w:tabs>
        <w:ind w:left="0" w:hanging="0"/>
        <w:jc w:val="center"/>
        <w:rPr>
          <w:b/>
        </w:rPr>
      </w:pPr>
      <w:r>
        <w:rPr>
          <w:b/>
        </w:rPr>
        <w:t>Порядок предоставления ресурсов и услуг</w:t>
      </w:r>
    </w:p>
    <w:p>
      <w:pPr>
        <w:pStyle w:val="ListParagraph"/>
        <w:numPr>
          <w:ilvl w:val="0"/>
          <w:numId w:val="22"/>
        </w:numPr>
        <w:tabs>
          <w:tab w:val="clear" w:pos="709"/>
          <w:tab w:val="left" w:pos="1134" w:leader="none"/>
          <w:tab w:val="left" w:pos="1418" w:leader="none"/>
        </w:tabs>
        <w:spacing w:before="0" w:after="120"/>
        <w:ind w:left="0" w:firstLine="709"/>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9"/>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22"/>
        </w:numPr>
        <w:tabs>
          <w:tab w:val="clear" w:pos="709"/>
          <w:tab w:val="left" w:pos="1134" w:leader="none"/>
        </w:tabs>
        <w:spacing w:before="0" w:after="120"/>
        <w:ind w:left="0" w:firstLine="709"/>
        <w:contextualSpacing/>
        <w:rPr>
          <w:u w:val="single"/>
        </w:rPr>
      </w:pPr>
      <w:r>
        <w:rPr>
          <w:u w:val="single"/>
        </w:rPr>
        <w:t>Предоставление ресурсов</w:t>
      </w:r>
    </w:p>
    <w:p>
      <w:pPr>
        <w:pStyle w:val="Normal"/>
        <w:tabs>
          <w:tab w:val="clear" w:pos="709"/>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22"/>
        </w:numPr>
        <w:tabs>
          <w:tab w:val="clear" w:pos="709"/>
          <w:tab w:val="left" w:pos="1134" w:leader="none"/>
        </w:tabs>
        <w:spacing w:before="0" w:after="120"/>
        <w:ind w:left="0" w:firstLine="709"/>
        <w:contextualSpacing/>
        <w:jc w:val="both"/>
        <w:rPr>
          <w:u w:val="single"/>
        </w:rPr>
      </w:pPr>
      <w:r>
        <w:rPr>
          <w:u w:val="single"/>
        </w:rPr>
        <w:t>Обеспечение санитарно-гигиенических и бытовых условий</w:t>
      </w:r>
    </w:p>
    <w:p>
      <w:pPr>
        <w:pStyle w:val="Normal"/>
        <w:tabs>
          <w:tab w:val="clear" w:pos="709"/>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22"/>
        </w:numPr>
        <w:tabs>
          <w:tab w:val="clear" w:pos="709"/>
          <w:tab w:val="left" w:pos="1134" w:leader="none"/>
        </w:tabs>
        <w:spacing w:lineRule="auto" w:line="240" w:before="0" w:after="120"/>
        <w:ind w:left="0" w:firstLine="709"/>
        <w:rPr>
          <w:sz w:val="24"/>
          <w:szCs w:val="24"/>
          <w:u w:val="single"/>
        </w:rPr>
      </w:pPr>
      <w:r>
        <w:rPr>
          <w:sz w:val="24"/>
          <w:szCs w:val="24"/>
          <w:u w:val="single"/>
        </w:rPr>
        <w:t>Содержание пожарной и сторожевой охраны</w:t>
      </w:r>
    </w:p>
    <w:p>
      <w:pPr>
        <w:pStyle w:val="Normal"/>
        <w:tabs>
          <w:tab w:val="clear" w:pos="709"/>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22"/>
        </w:numPr>
        <w:tabs>
          <w:tab w:val="clear" w:pos="709"/>
          <w:tab w:val="left" w:pos="1134" w:leader="none"/>
        </w:tabs>
        <w:spacing w:lineRule="auto" w:line="240" w:before="0" w:after="120"/>
        <w:ind w:left="0" w:firstLine="709"/>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9"/>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9"/>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22"/>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Проведение химического анализа масел</w:t>
      </w:r>
    </w:p>
    <w:p>
      <w:pPr>
        <w:pStyle w:val="Normal"/>
        <w:tabs>
          <w:tab w:val="clear" w:pos="709"/>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22"/>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Осушение оборудования (проточная часть гидроагрегата)</w:t>
      </w:r>
    </w:p>
    <w:p>
      <w:pPr>
        <w:pStyle w:val="Normal"/>
        <w:tabs>
          <w:tab w:val="clear" w:pos="709"/>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22"/>
        </w:numPr>
        <w:tabs>
          <w:tab w:val="clear" w:pos="709"/>
          <w:tab w:val="left" w:pos="1134" w:leader="none"/>
        </w:tabs>
        <w:spacing w:lineRule="auto" w:line="240" w:before="0" w:after="120"/>
        <w:ind w:left="0" w:firstLine="709"/>
        <w:rPr>
          <w:sz w:val="24"/>
          <w:szCs w:val="24"/>
          <w:u w:val="single"/>
        </w:rPr>
      </w:pPr>
      <w:r>
        <w:rPr>
          <w:sz w:val="24"/>
          <w:szCs w:val="24"/>
          <w:u w:val="single"/>
        </w:rPr>
        <w:t>Порядок предоставления помещений</w:t>
      </w:r>
    </w:p>
    <w:p>
      <w:pPr>
        <w:pStyle w:val="Normal"/>
        <w:tabs>
          <w:tab w:val="clear" w:pos="709"/>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9"/>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9"/>
          <w:tab w:val="left" w:pos="1134" w:leader="none"/>
        </w:tabs>
        <w:spacing w:lineRule="auto" w:line="240"/>
        <w:ind w:firstLine="709"/>
        <w:rPr>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tbl>
      <w:tblPr>
        <w:tblW w:w="9639"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643"/>
        <w:gridCol w:w="4995"/>
      </w:tblGrid>
      <w:tr>
        <w:trPr/>
        <w:tc>
          <w:tcPr>
            <w:tcW w:w="4643"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Подрядчик:</w:t>
            </w:r>
          </w:p>
        </w:tc>
        <w:tc>
          <w:tcPr>
            <w:tcW w:w="4995"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Заказчик:</w:t>
            </w:r>
          </w:p>
        </w:tc>
      </w:tr>
      <w:tr>
        <w:trPr/>
        <w:tc>
          <w:tcPr>
            <w:tcW w:w="4643"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w:t>
            </w:r>
          </w:p>
        </w:tc>
        <w:tc>
          <w:tcPr>
            <w:tcW w:w="4995" w:type="dxa"/>
            <w:tcBorders/>
            <w:shd w:color="auto" w:fill="auto" w:val="clear"/>
          </w:tcPr>
          <w:p>
            <w:pPr>
              <w:pStyle w:val="Normal"/>
              <w:widowControl w:val="false"/>
              <w:spacing w:lineRule="auto" w:line="240"/>
              <w:ind w:hanging="0"/>
              <w:jc w:val="left"/>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Директор Филиала ПАО «РусГидро» – «Карачаево-Черкесский филиал»</w:t>
            </w:r>
          </w:p>
          <w:p>
            <w:pPr>
              <w:pStyle w:val="Normal"/>
              <w:widowControl w:val="false"/>
              <w:spacing w:lineRule="auto" w:line="240"/>
              <w:jc w:val="center"/>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_____________В.И. Шульженко</w:t>
            </w:r>
          </w:p>
        </w:tc>
      </w:tr>
    </w:tbl>
    <w:p>
      <w:pPr>
        <w:sectPr>
          <w:headerReference w:type="default" r:id="rId14"/>
          <w:headerReference w:type="first" r:id="rId15"/>
          <w:footerReference w:type="default" r:id="rId16"/>
          <w:footerReference w:type="first" r:id="rId17"/>
          <w:footnotePr>
            <w:numFmt w:val="decimal"/>
          </w:footnotePr>
          <w:type w:val="nextPage"/>
          <w:pgSz w:w="11906" w:h="16838"/>
          <w:pgMar w:left="1418" w:right="851" w:gutter="0" w:header="709" w:top="993" w:footer="709" w:bottom="1134"/>
          <w:pgNumType w:fmt="decimal"/>
          <w:formProt w:val="false"/>
          <w:textDirection w:val="lrTb"/>
          <w:docGrid w:type="default" w:linePitch="381" w:charSpace="0"/>
        </w:sectPr>
      </w:pPr>
      <w:r>
        <w:br w:type="page"/>
      </w:r>
    </w:p>
    <w:p>
      <w:pPr>
        <w:pStyle w:val="Normal"/>
        <w:shd w:val="clear" w:color="auto" w:fill="FFFFFF"/>
        <w:spacing w:lineRule="auto" w:line="240"/>
        <w:ind w:left="4820" w:hanging="0"/>
        <w:rPr>
          <w:bCs/>
          <w:sz w:val="22"/>
          <w:szCs w:val="22"/>
        </w:rPr>
      </w:pPr>
      <w:bookmarkStart w:id="43" w:name="RANGE!A1%2525252525252525252525252525252"/>
      <w:bookmarkEnd w:id="43"/>
      <w:r>
        <w:rPr>
          <w:bCs/>
          <w:sz w:val="22"/>
          <w:szCs w:val="22"/>
        </w:rPr>
        <w:t>Приложение № 6</w:t>
      </w:r>
    </w:p>
    <w:p>
      <w:pPr>
        <w:pStyle w:val="Normal"/>
        <w:shd w:val="clear" w:color="auto" w:fill="FFFFFF"/>
        <w:spacing w:lineRule="auto" w:line="240"/>
        <w:ind w:left="4820" w:hanging="0"/>
        <w:rPr>
          <w:bCs/>
          <w:sz w:val="22"/>
          <w:szCs w:val="22"/>
        </w:rPr>
      </w:pPr>
      <w:r>
        <w:rPr>
          <w:bCs/>
          <w:sz w:val="22"/>
          <w:szCs w:val="22"/>
        </w:rPr>
        <w:t xml:space="preserve">к Договору подряда </w:t>
      </w:r>
    </w:p>
    <w:p>
      <w:pPr>
        <w:pStyle w:val="Normal"/>
        <w:shd w:val="clear" w:color="auto" w:fill="FFFFFF"/>
        <w:spacing w:lineRule="auto" w:line="240"/>
        <w:ind w:left="4820" w:hanging="0"/>
        <w:rPr>
          <w:bCs/>
          <w:color w:val="000000"/>
          <w:sz w:val="24"/>
          <w:szCs w:val="24"/>
        </w:rPr>
      </w:pPr>
      <w:r>
        <w:rPr>
          <w:bCs/>
          <w:sz w:val="22"/>
          <w:szCs w:val="22"/>
        </w:rPr>
        <w:t xml:space="preserve">от «___» ________2026 г. № </w:t>
      </w:r>
      <w:r>
        <w:rPr>
          <w:bCs/>
          <w:color w:val="000000"/>
          <w:sz w:val="22"/>
          <w:szCs w:val="22"/>
        </w:rPr>
        <w:t>1</w:t>
      </w:r>
    </w:p>
    <w:p>
      <w:pPr>
        <w:pStyle w:val="Normal"/>
        <w:shd w:val="clear" w:color="auto" w:fill="FFFFFF"/>
        <w:spacing w:lineRule="auto" w:line="240"/>
        <w:ind w:left="4820" w:hanging="0"/>
        <w:rPr>
          <w:sz w:val="24"/>
          <w:szCs w:val="24"/>
        </w:rPr>
      </w:pPr>
      <w:r>
        <w:rPr>
          <w:sz w:val="24"/>
          <w:szCs w:val="24"/>
        </w:rPr>
      </w:r>
    </w:p>
    <w:p>
      <w:pPr>
        <w:pStyle w:val="Normal"/>
        <w:spacing w:lineRule="auto" w:line="240"/>
        <w:jc w:val="center"/>
        <w:rPr>
          <w:b/>
          <w:sz w:val="24"/>
          <w:szCs w:val="24"/>
        </w:rPr>
      </w:pPr>
      <w:r>
        <w:rPr>
          <w:b/>
          <w:sz w:val="24"/>
          <w:szCs w:val="24"/>
        </w:rPr>
        <w:t>Критерии отбора Банков-Гарантов</w:t>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4"/>
      </w:r>
      <w:r>
        <w:rPr>
          <w:sz w:val="24"/>
          <w:szCs w:val="24"/>
        </w:rPr>
        <w:t>, а также соответствовать следующим критериям:</w:t>
      </w:r>
    </w:p>
    <w:p>
      <w:pPr>
        <w:pStyle w:val="Normal"/>
        <w:numPr>
          <w:ilvl w:val="1"/>
          <w:numId w:val="19"/>
        </w:numPr>
        <w:tabs>
          <w:tab w:val="clear" w:pos="709"/>
          <w:tab w:val="left" w:pos="1134" w:leader="none"/>
        </w:tabs>
        <w:spacing w:lineRule="auto" w:line="240"/>
        <w:ind w:left="142" w:firstLine="709"/>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Иметь собственные средства (капитал) в размере не менее 25 млрд. рублей на 1 января текущего календарного года по данным отчетности (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Pr>
            <w:rStyle w:val="Hyperlink"/>
            <w:sz w:val="24"/>
            <w:szCs w:val="24"/>
          </w:rPr>
          <w:t>www.cbr.ru</w:t>
        </w:r>
      </w:hyperlink>
      <w:r>
        <w:rPr>
          <w:sz w:val="24"/>
          <w:szCs w:val="24"/>
        </w:rPr>
        <w:t>) на официальных сайтах ЦБ РФ и/ или кредитной организации либо представленной кредитной организации Обществу.</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5"/>
      </w:r>
      <w:r>
        <w:rPr>
          <w:sz w:val="24"/>
          <w:szCs w:val="24"/>
        </w:rPr>
        <w:t xml:space="preserve">. </w:t>
      </w:r>
    </w:p>
    <w:p>
      <w:pPr>
        <w:pStyle w:val="Normal"/>
        <w:numPr>
          <w:ilvl w:val="1"/>
          <w:numId w:val="19"/>
        </w:numPr>
        <w:tabs>
          <w:tab w:val="clear" w:pos="709"/>
          <w:tab w:val="left" w:pos="1134" w:leader="none"/>
        </w:tabs>
        <w:spacing w:lineRule="auto" w:line="240"/>
        <w:ind w:left="142" w:firstLine="992"/>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6"/>
      </w:r>
      <w:r>
        <w:rPr>
          <w:sz w:val="24"/>
          <w:szCs w:val="24"/>
        </w:rPr>
        <w:t>.</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(http://www.asv.org.ru))».</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Не иметь просроченную задолженность перед  компаниями Группы РусГидро.</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tabs>
          <w:tab w:val="clear" w:pos="709"/>
          <w:tab w:val="left" w:pos="1134" w:leader="none"/>
        </w:tabs>
        <w:spacing w:lineRule="auto" w:line="240"/>
        <w:rPr>
          <w:sz w:val="24"/>
          <w:szCs w:val="24"/>
        </w:rPr>
      </w:pPr>
      <w:r>
        <w:rPr>
          <w:sz w:val="24"/>
          <w:szCs w:val="24"/>
        </w:rPr>
        <w:t>9.1.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tabs>
          <w:tab w:val="clear" w:pos="709"/>
          <w:tab w:val="left" w:pos="1134" w:leader="none"/>
        </w:tabs>
        <w:spacing w:lineRule="auto" w:line="240"/>
        <w:ind w:left="142" w:hanging="0"/>
        <w:rPr>
          <w:sz w:val="24"/>
          <w:szCs w:val="24"/>
        </w:rPr>
      </w:pPr>
      <w:r>
        <w:rPr>
          <w:sz w:val="24"/>
          <w:szCs w:val="24"/>
        </w:rPr>
        <w:t>9.2. Основной целью деятельности которых является реализация программ поддержки малого и среднего предпринимательства в соответствии с Указом Президента Российской Федерации от 05.06.2015 № 287 «О мерах по дальнейшему развитию малого и среднего предпринимательства» и Федеральным законом от 24.07.2007 №209-ФЗ «О развитии малого и среднего предпринимательства в Российской Федерации».</w:t>
      </w:r>
    </w:p>
    <w:p>
      <w:pPr>
        <w:pStyle w:val="Normal"/>
        <w:tabs>
          <w:tab w:val="clear" w:pos="709"/>
          <w:tab w:val="left" w:pos="1134" w:leader="none"/>
        </w:tabs>
        <w:spacing w:lineRule="auto" w:line="240"/>
        <w:ind w:left="142" w:firstLine="567"/>
        <w:rPr>
          <w:sz w:val="24"/>
          <w:szCs w:val="24"/>
        </w:rPr>
      </w:pPr>
      <w:r>
        <w:rPr>
          <w:sz w:val="24"/>
          <w:szCs w:val="24"/>
        </w:rPr>
        <w:t>9.3. Утвержденную Наблюдательным советом Ассоциации «НП  «Совет рынка»  в качестве уполномоченной кредитной организации, ответственной за проведение расчетов между субъектами ОРЭМ.</w:t>
      </w:r>
    </w:p>
    <w:p>
      <w:pPr>
        <w:pStyle w:val="Normal"/>
        <w:tabs>
          <w:tab w:val="clear" w:pos="709"/>
          <w:tab w:val="left" w:pos="1134" w:leader="none"/>
        </w:tabs>
        <w:spacing w:lineRule="auto" w:line="240"/>
        <w:ind w:left="709" w:hanging="0"/>
        <w:rPr>
          <w:sz w:val="24"/>
          <w:szCs w:val="24"/>
        </w:rPr>
      </w:pPr>
      <w:r>
        <w:rPr>
          <w:sz w:val="24"/>
          <w:szCs w:val="24"/>
        </w:rPr>
        <w:t>9.4. ВЭБ.РФ.</w:t>
      </w:r>
    </w:p>
    <w:p>
      <w:pPr>
        <w:pStyle w:val="Normal"/>
        <w:tabs>
          <w:tab w:val="clear" w:pos="709"/>
          <w:tab w:val="left" w:pos="1134" w:leader="none"/>
        </w:tabs>
        <w:spacing w:lineRule="auto" w:line="240"/>
        <w:ind w:left="709" w:hanging="0"/>
        <w:rPr>
          <w:sz w:val="24"/>
          <w:szCs w:val="24"/>
        </w:rPr>
      </w:pPr>
      <w:r>
        <w:rPr>
          <w:sz w:val="24"/>
          <w:szCs w:val="24"/>
        </w:rPr>
        <w:t>9.5. Нерезидентов Российской Федерации.</w:t>
      </w:r>
    </w:p>
    <w:p>
      <w:pPr>
        <w:pStyle w:val="Normal"/>
        <w:numPr>
          <w:ilvl w:val="1"/>
          <w:numId w:val="19"/>
        </w:numPr>
        <w:tabs>
          <w:tab w:val="clear" w:pos="709"/>
          <w:tab w:val="left" w:pos="1134" w:leader="none"/>
        </w:tabs>
        <w:spacing w:lineRule="auto" w:line="240"/>
        <w:ind w:left="0" w:firstLine="71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Подрядчика  перед Группой РусГидро, не должна превышать размер лимита риска, определяемого по формуле:</w:t>
      </w:r>
    </w:p>
    <w:p>
      <w:pPr>
        <w:pStyle w:val="Normal"/>
        <w:tabs>
          <w:tab w:val="clear" w:pos="709"/>
          <w:tab w:val="left" w:pos="1134" w:leader="none"/>
        </w:tabs>
        <w:spacing w:lineRule="auto" w:line="240"/>
        <w:ind w:firstLine="709"/>
        <w:jc w:val="center"/>
        <w:rPr>
          <w:sz w:val="24"/>
          <w:szCs w:val="24"/>
        </w:rPr>
      </w:pPr>
      <w:r>
        <w:rPr>
          <w:b/>
          <w:i/>
          <w:sz w:val="24"/>
          <w:szCs w:val="24"/>
        </w:rPr>
        <w:t>Lim</w:t>
      </w:r>
      <w:r>
        <w:rPr>
          <w:b/>
          <w:i/>
          <w:sz w:val="24"/>
          <w:szCs w:val="24"/>
          <w:vertAlign w:val="subscript"/>
        </w:rPr>
        <w:t>Ai</w:t>
      </w:r>
      <w:r>
        <w:rPr>
          <w:b/>
          <w:i/>
          <w:sz w:val="24"/>
          <w:szCs w:val="24"/>
        </w:rPr>
        <w:t xml:space="preserve">  = r</w:t>
      </w:r>
      <w:r>
        <w:rPr>
          <w:b/>
          <w:i/>
          <w:sz w:val="24"/>
          <w:szCs w:val="24"/>
          <w:vertAlign w:val="subscript"/>
        </w:rPr>
        <w:t>i</w:t>
      </w:r>
      <w:r>
        <w:rPr>
          <w:b/>
          <w:i/>
          <w:sz w:val="24"/>
          <w:szCs w:val="24"/>
        </w:rPr>
        <w:t xml:space="preserve"> × СK</w:t>
      </w:r>
      <w:r>
        <w:rPr>
          <w:b/>
          <w:i/>
          <w:sz w:val="24"/>
          <w:szCs w:val="24"/>
          <w:vertAlign w:val="subscript"/>
        </w:rPr>
        <w:t>i</w:t>
      </w:r>
      <w:r>
        <w:rPr>
          <w:sz w:val="24"/>
          <w:szCs w:val="24"/>
        </w:rPr>
        <w:t>, где</w:t>
      </w:r>
    </w:p>
    <w:tbl>
      <w:tblPr>
        <w:tblW w:w="9606"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right="-108" w:firstLine="567"/>
              <w:rPr>
                <w:sz w:val="22"/>
                <w:szCs w:val="22"/>
              </w:rPr>
            </w:pPr>
            <w:r>
              <w:rPr>
                <w:b/>
                <w:i/>
                <w:color w:val="000000"/>
                <w:sz w:val="22"/>
                <w:szCs w:val="22"/>
              </w:rPr>
              <w:t>Lim</w:t>
            </w:r>
            <w:r>
              <w:rPr>
                <w:b/>
                <w:i/>
                <w:color w:val="000000"/>
                <w:sz w:val="22"/>
                <w:szCs w:val="22"/>
                <w:vertAlign w:val="subscript"/>
                <w:lang w:val="en-US"/>
              </w:rPr>
              <w:t>Ai</w:t>
            </w:r>
          </w:p>
        </w:tc>
        <w:tc>
          <w:tcPr>
            <w:tcW w:w="280" w:type="dxa"/>
            <w:tcBorders/>
            <w:shd w:color="auto" w:fill="auto" w:val="clear"/>
          </w:tcPr>
          <w:p>
            <w:pPr>
              <w:pStyle w:val="Normal"/>
              <w:widowControl w:val="false"/>
              <w:spacing w:lineRule="auto" w:line="240"/>
              <w:ind w:left="317" w:right="-108" w:hanging="317"/>
              <w:rPr>
                <w:sz w:val="22"/>
                <w:szCs w:val="22"/>
              </w:rPr>
            </w:pPr>
            <w:r>
              <w:rPr>
                <w:sz w:val="22"/>
                <w:szCs w:val="22"/>
              </w:rPr>
              <w:t>-</w:t>
            </w:r>
          </w:p>
        </w:tc>
        <w:tc>
          <w:tcPr>
            <w:tcW w:w="8509" w:type="dxa"/>
            <w:tcBorders/>
            <w:shd w:color="auto" w:fill="auto" w:val="clear"/>
          </w:tcPr>
          <w:p>
            <w:pPr>
              <w:pStyle w:val="Normal"/>
              <w:widowControl w:val="false"/>
              <w:spacing w:lineRule="auto" w:line="240"/>
              <w:ind w:left="-75" w:right="-108" w:firstLine="567"/>
              <w:rPr>
                <w:sz w:val="22"/>
                <w:szCs w:val="22"/>
              </w:rPr>
            </w:pPr>
            <w:r>
              <w:rPr>
                <w:sz w:val="22"/>
                <w:szCs w:val="22"/>
              </w:rPr>
              <w:t>Лимит риска для i-ой кредитной организации</w:t>
            </w:r>
            <w:r>
              <w:rPr>
                <w:rStyle w:val="FootnoteReference"/>
                <w:sz w:val="22"/>
                <w:szCs w:val="22"/>
              </w:rPr>
              <w:footnoteReference w:id="7"/>
            </w:r>
            <w:r>
              <w:rPr>
                <w:sz w:val="22"/>
                <w:szCs w:val="22"/>
                <w:vertAlign w:val="superscript"/>
              </w:rPr>
              <w:t>.</w:t>
            </w:r>
          </w:p>
        </w:tc>
      </w:tr>
      <w:tr>
        <w:trPr>
          <w:trHeight w:val="280" w:hRule="atLeast"/>
        </w:trPr>
        <w:tc>
          <w:tcPr>
            <w:tcW w:w="817" w:type="dxa"/>
            <w:tcBorders/>
            <w:shd w:color="auto" w:fill="auto" w:val="clear"/>
          </w:tcPr>
          <w:p>
            <w:pPr>
              <w:pStyle w:val="Normal"/>
              <w:widowControl w:val="false"/>
              <w:spacing w:lineRule="auto" w:line="240"/>
              <w:ind w:right="-108" w:firstLine="567"/>
              <w:rPr>
                <w:sz w:val="22"/>
                <w:szCs w:val="22"/>
              </w:rPr>
            </w:pPr>
            <w:r>
              <w:rPr>
                <w:b/>
                <w:i/>
                <w:color w:val="000000"/>
                <w:sz w:val="22"/>
                <w:szCs w:val="22"/>
              </w:rPr>
              <w:t>С</w:t>
            </w:r>
            <w:r>
              <w:rPr>
                <w:b/>
                <w:i/>
                <w:color w:val="000000"/>
                <w:sz w:val="22"/>
                <w:szCs w:val="22"/>
                <w:lang w:val="en-US"/>
              </w:rPr>
              <w:t>K</w:t>
            </w:r>
            <w:r>
              <w:rPr>
                <w:b/>
                <w:i/>
                <w:color w:val="000000"/>
                <w:sz w:val="22"/>
                <w:szCs w:val="22"/>
                <w:vertAlign w:val="subscript"/>
                <w:lang w:val="en-US"/>
              </w:rPr>
              <w:t>i</w:t>
            </w:r>
          </w:p>
          <w:p>
            <w:pPr>
              <w:pStyle w:val="Normal"/>
              <w:widowControl w:val="false"/>
              <w:spacing w:lineRule="auto" w:line="240"/>
              <w:ind w:right="-108" w:firstLine="567"/>
              <w:rPr>
                <w:color w:val="000000"/>
                <w:sz w:val="22"/>
                <w:szCs w:val="22"/>
              </w:rPr>
            </w:pPr>
            <w:r>
              <w:rPr>
                <w:color w:val="000000"/>
                <w:sz w:val="22"/>
                <w:szCs w:val="22"/>
              </w:rPr>
            </w:r>
          </w:p>
        </w:tc>
        <w:tc>
          <w:tcPr>
            <w:tcW w:w="280" w:type="dxa"/>
            <w:tcBorders/>
            <w:shd w:color="auto" w:fill="auto" w:val="clear"/>
          </w:tcPr>
          <w:p>
            <w:pPr>
              <w:pStyle w:val="Normal"/>
              <w:widowControl w:val="false"/>
              <w:spacing w:lineRule="auto" w:line="240"/>
              <w:ind w:right="-108" w:firstLine="567"/>
              <w:rPr>
                <w:sz w:val="22"/>
                <w:szCs w:val="22"/>
              </w:rPr>
            </w:pPr>
            <w:r>
              <w:rPr>
                <w:sz w:val="22"/>
                <w:szCs w:val="22"/>
              </w:rPr>
              <w:t>-</w:t>
            </w:r>
          </w:p>
        </w:tc>
        <w:tc>
          <w:tcPr>
            <w:tcW w:w="8509" w:type="dxa"/>
            <w:tcBorders/>
            <w:shd w:color="auto" w:fill="auto" w:val="clear"/>
          </w:tcPr>
          <w:p>
            <w:pPr>
              <w:pStyle w:val="Normal"/>
              <w:widowControl w:val="false"/>
              <w:spacing w:lineRule="auto" w:line="240"/>
              <w:ind w:left="-75" w:right="-108" w:firstLine="567"/>
              <w:rPr/>
            </w:pPr>
            <w:r>
              <w:rPr>
                <w:sz w:val="22"/>
                <w:szCs w:val="22"/>
              </w:rPr>
              <w:t xml:space="preserve">размер собственных средств (капитала) i-ой кредитной организации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r>
              <w:rPr>
                <w:sz w:val="24"/>
                <w:szCs w:val="24"/>
              </w:rPr>
              <w:t>(</w:t>
            </w:r>
            <w:hyperlink r:id="rId19">
              <w:r>
                <w:rPr>
                  <w:rStyle w:val="Hyperlink"/>
                  <w:color w:val="auto"/>
                  <w:sz w:val="24"/>
                  <w:szCs w:val="24"/>
                </w:rPr>
                <w:t>www.cbr.ru</w:t>
              </w:r>
            </w:hyperlink>
            <w:r>
              <w:rPr>
                <w:sz w:val="24"/>
                <w:szCs w:val="24"/>
              </w:rPr>
              <w:t>)</w:t>
            </w:r>
            <w:r>
              <w:rPr>
                <w:sz w:val="22"/>
                <w:szCs w:val="22"/>
              </w:rPr>
              <w:t xml:space="preserve"> на официальном сайте ЦБ РФ  и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right="-108" w:firstLine="567"/>
              <w:rPr>
                <w:sz w:val="22"/>
                <w:szCs w:val="22"/>
              </w:rPr>
            </w:pPr>
            <w:r>
              <w:rPr>
                <w:b/>
                <w:i/>
                <w:color w:val="000000"/>
                <w:sz w:val="22"/>
                <w:szCs w:val="22"/>
              </w:rPr>
              <w:t>r</w:t>
            </w:r>
            <w:r>
              <w:rPr>
                <w:b/>
                <w:i/>
                <w:color w:val="000000"/>
                <w:sz w:val="22"/>
                <w:szCs w:val="22"/>
                <w:vertAlign w:val="subscript"/>
              </w:rPr>
              <w:t>i</w:t>
            </w:r>
          </w:p>
        </w:tc>
        <w:tc>
          <w:tcPr>
            <w:tcW w:w="280" w:type="dxa"/>
            <w:tcBorders/>
          </w:tcPr>
          <w:p>
            <w:pPr>
              <w:pStyle w:val="Normal"/>
              <w:widowControl w:val="false"/>
              <w:spacing w:lineRule="auto" w:line="240"/>
              <w:ind w:right="-108" w:firstLine="567"/>
              <w:rPr>
                <w:sz w:val="22"/>
                <w:szCs w:val="22"/>
              </w:rPr>
            </w:pPr>
            <w:r>
              <w:rPr>
                <w:sz w:val="22"/>
                <w:szCs w:val="22"/>
              </w:rPr>
              <w:t>-</w:t>
            </w:r>
          </w:p>
        </w:tc>
        <w:tc>
          <w:tcPr>
            <w:tcW w:w="8509" w:type="dxa"/>
            <w:tcBorders/>
          </w:tcPr>
          <w:p>
            <w:pPr>
              <w:pStyle w:val="Normal"/>
              <w:widowControl w:val="false"/>
              <w:tabs>
                <w:tab w:val="clear" w:pos="709"/>
                <w:tab w:val="left" w:pos="7130" w:leader="none"/>
              </w:tabs>
              <w:spacing w:lineRule="auto" w:line="240"/>
              <w:ind w:right="-108" w:firstLine="567"/>
              <w:rPr>
                <w:sz w:val="22"/>
                <w:szCs w:val="22"/>
              </w:rPr>
            </w:pPr>
            <w:r>
              <w:rPr>
                <w:sz w:val="22"/>
                <w:szCs w:val="22"/>
              </w:rPr>
              <w:t>рейтинговый коэффициент</w:t>
            </w:r>
            <w:r>
              <w:rPr>
                <w:rStyle w:val="FootnoteReference"/>
                <w:sz w:val="22"/>
                <w:szCs w:val="22"/>
              </w:rPr>
              <w:footnoteReference w:id="8"/>
            </w:r>
            <w:r>
              <w:rPr>
                <w:sz w:val="22"/>
                <w:szCs w:val="22"/>
              </w:rPr>
              <w:t xml:space="preserve"> для i-ой кредитной организации, равный:</w:t>
            </w:r>
          </w:p>
          <w:p>
            <w:pPr>
              <w:pStyle w:val="Normal"/>
              <w:widowControl w:val="false"/>
              <w:spacing w:lineRule="auto" w:line="240"/>
              <w:ind w:firstLine="492"/>
              <w:rPr>
                <w:sz w:val="22"/>
                <w:szCs w:val="22"/>
              </w:rPr>
            </w:pPr>
            <w:r>
              <w:rPr>
                <w:b/>
                <w:sz w:val="22"/>
                <w:szCs w:val="22"/>
              </w:rPr>
              <w:t>0,075</w:t>
            </w:r>
            <w:r>
              <w:rPr>
                <w:sz w:val="22"/>
                <w:szCs w:val="22"/>
              </w:rPr>
              <w:t xml:space="preserve"> - если i-ая кредитная организация имеет национальный рейтинг кредитоспособности не ниже уровня </w:t>
            </w:r>
            <w:r>
              <w:rPr>
                <w:b/>
                <w:sz w:val="22"/>
                <w:szCs w:val="22"/>
              </w:rPr>
              <w:t>«АА-»</w:t>
            </w:r>
            <w:r>
              <w:rPr>
                <w:sz w:val="22"/>
                <w:szCs w:val="22"/>
              </w:rPr>
              <w:t xml:space="preserve"> по классификации рейтингового агентства АКРА или не ниже уровня </w:t>
            </w:r>
            <w:r>
              <w:rPr>
                <w:b/>
                <w:sz w:val="22"/>
                <w:szCs w:val="22"/>
              </w:rPr>
              <w:t>«</w:t>
            </w:r>
            <w:r>
              <w:rPr>
                <w:b/>
                <w:sz w:val="22"/>
                <w:szCs w:val="22"/>
                <w:lang w:val="en-US"/>
              </w:rPr>
              <w:t>ru</w:t>
            </w:r>
            <w:r>
              <w:rPr>
                <w:b/>
                <w:sz w:val="22"/>
                <w:szCs w:val="22"/>
              </w:rPr>
              <w:t>А</w:t>
            </w:r>
            <w:r>
              <w:rPr>
                <w:b/>
                <w:sz w:val="22"/>
                <w:szCs w:val="22"/>
                <w:lang w:val="en-US"/>
              </w:rPr>
              <w:t>A</w:t>
            </w:r>
            <w:r>
              <w:rPr>
                <w:b/>
                <w:sz w:val="22"/>
                <w:szCs w:val="22"/>
              </w:rPr>
              <w:t>-»</w:t>
            </w:r>
            <w:r>
              <w:rPr>
                <w:sz w:val="22"/>
                <w:szCs w:val="22"/>
              </w:rPr>
              <w:t xml:space="preserve"> по классификации рейтингового агентства Эксперт РА;</w:t>
            </w:r>
          </w:p>
          <w:p>
            <w:pPr>
              <w:pStyle w:val="Normal"/>
              <w:widowControl w:val="false"/>
              <w:spacing w:lineRule="auto" w:line="240"/>
              <w:ind w:left="67" w:firstLine="425"/>
              <w:rPr>
                <w:sz w:val="22"/>
                <w:szCs w:val="22"/>
              </w:rPr>
            </w:pPr>
            <w:r>
              <w:rPr>
                <w:b/>
                <w:sz w:val="22"/>
                <w:szCs w:val="22"/>
              </w:rPr>
              <w:t>0,05</w:t>
            </w:r>
            <w:r>
              <w:rPr>
                <w:sz w:val="22"/>
                <w:szCs w:val="22"/>
              </w:rPr>
              <w:t xml:space="preserve"> - если i-ая кредитная организация имеет национальный рейтинг кредитоспособности не ниже уровня </w:t>
            </w:r>
            <w:r>
              <w:rPr>
                <w:b/>
                <w:sz w:val="22"/>
                <w:szCs w:val="22"/>
              </w:rPr>
              <w:t>«А-»</w:t>
            </w:r>
            <w:r>
              <w:rPr>
                <w:sz w:val="22"/>
                <w:szCs w:val="22"/>
              </w:rPr>
              <w:t xml:space="preserve"> по классификации рейтингового агентства АКРА или не ниже уровня </w:t>
            </w:r>
            <w:r>
              <w:rPr>
                <w:b/>
                <w:sz w:val="22"/>
                <w:szCs w:val="22"/>
              </w:rPr>
              <w:t>«ruA-»</w:t>
            </w:r>
            <w:r>
              <w:rPr>
                <w:sz w:val="22"/>
                <w:szCs w:val="22"/>
              </w:rPr>
              <w:t xml:space="preserve"> по классификации рейтингового агентства Эксперт РА;</w:t>
            </w:r>
          </w:p>
          <w:p>
            <w:pPr>
              <w:pStyle w:val="Normal"/>
              <w:widowControl w:val="false"/>
              <w:spacing w:lineRule="auto" w:line="240"/>
              <w:ind w:firstLine="492"/>
              <w:rPr>
                <w:sz w:val="22"/>
                <w:szCs w:val="22"/>
              </w:rPr>
            </w:pPr>
            <w:r>
              <w:rPr>
                <w:b/>
                <w:sz w:val="22"/>
                <w:szCs w:val="22"/>
              </w:rPr>
              <w:t>0,025</w:t>
            </w:r>
            <w:r>
              <w:rPr>
                <w:sz w:val="22"/>
                <w:szCs w:val="22"/>
              </w:rPr>
              <w:t xml:space="preserve"> - если i-ая кредитная организация имеет национальный рейтинг кредитоспособности не ниже уровня </w:t>
            </w:r>
            <w:r>
              <w:rPr>
                <w:b/>
                <w:sz w:val="22"/>
                <w:szCs w:val="22"/>
              </w:rPr>
              <w:t>«</w:t>
            </w:r>
            <w:r>
              <w:rPr>
                <w:b/>
                <w:sz w:val="22"/>
                <w:szCs w:val="22"/>
                <w:lang w:val="en-US"/>
              </w:rPr>
              <w:t>BB</w:t>
            </w:r>
            <w:r>
              <w:rPr>
                <w:b/>
                <w:sz w:val="22"/>
                <w:szCs w:val="22"/>
              </w:rPr>
              <w:t>В»</w:t>
            </w:r>
            <w:r>
              <w:rPr>
                <w:sz w:val="22"/>
                <w:szCs w:val="22"/>
              </w:rPr>
              <w:t xml:space="preserve"> по классификации рейтингового агентства АКРА или не ниже уровня «</w:t>
            </w:r>
            <w:r>
              <w:rPr>
                <w:sz w:val="22"/>
                <w:szCs w:val="22"/>
                <w:lang w:val="en-US"/>
              </w:rPr>
              <w:t>ruBB</w:t>
            </w:r>
            <w:r>
              <w:rPr>
                <w:sz w:val="22"/>
                <w:szCs w:val="22"/>
              </w:rPr>
              <w:t>В» по классификации рейтингового агентства Эксперт РА, а также находится в процессе финансового оздоровления (санации).</w:t>
            </w:r>
          </w:p>
          <w:p>
            <w:pPr>
              <w:pStyle w:val="Normal"/>
              <w:widowControl w:val="false"/>
              <w:spacing w:lineRule="auto" w:line="240"/>
              <w:ind w:firstLine="492"/>
              <w:rPr>
                <w:sz w:val="22"/>
                <w:szCs w:val="22"/>
              </w:rPr>
            </w:pPr>
            <w:r>
              <w:rPr>
                <w:sz w:val="22"/>
                <w:szCs w:val="22"/>
              </w:rPr>
            </w:r>
          </w:p>
        </w:tc>
      </w:tr>
    </w:tbl>
    <w:p>
      <w:pPr>
        <w:pStyle w:val="Normal"/>
        <w:widowControl w:val="false"/>
        <w:spacing w:lineRule="auto" w:line="240"/>
        <w:ind w:hanging="0"/>
        <w:rPr>
          <w:sz w:val="18"/>
          <w:szCs w:val="18"/>
        </w:rPr>
      </w:pPr>
      <w:r>
        <w:rPr>
          <w:sz w:val="18"/>
          <w:szCs w:val="18"/>
        </w:rPr>
      </w:r>
    </w:p>
    <w:p>
      <w:pPr>
        <w:pStyle w:val="Normal"/>
        <w:widowControl w:val="false"/>
        <w:spacing w:lineRule="auto" w:line="240"/>
        <w:ind w:hanging="0"/>
        <w:rPr>
          <w:sz w:val="18"/>
          <w:szCs w:val="18"/>
        </w:rPr>
      </w:pPr>
      <w:r>
        <w:rPr>
          <w:sz w:val="18"/>
          <w:szCs w:val="18"/>
        </w:rPr>
      </w:r>
    </w:p>
    <w:p>
      <w:pPr>
        <w:pStyle w:val="FootnoteText"/>
        <w:jc w:val="both"/>
        <w:rPr/>
      </w:pPr>
      <w:r>
        <w:rPr/>
      </w:r>
    </w:p>
    <w:tbl>
      <w:tblPr>
        <w:tblW w:w="9639" w:type="dxa"/>
        <w:jc w:val="left"/>
        <w:tblInd w:w="109" w:type="dxa"/>
        <w:tblLayout w:type="fixed"/>
        <w:tblCellMar>
          <w:top w:w="0" w:type="dxa"/>
          <w:left w:w="108" w:type="dxa"/>
          <w:bottom w:w="0" w:type="dxa"/>
          <w:right w:w="108" w:type="dxa"/>
        </w:tblCellMar>
        <w:tblLook w:val="0000" w:noVBand="0" w:noHBand="0" w:lastColumn="0" w:firstColumn="0" w:lastRow="0" w:firstRow="0"/>
      </w:tblPr>
      <w:tblGrid>
        <w:gridCol w:w="4643"/>
        <w:gridCol w:w="4995"/>
      </w:tblGrid>
      <w:tr>
        <w:trPr/>
        <w:tc>
          <w:tcPr>
            <w:tcW w:w="4643"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Подрядчик:</w:t>
            </w:r>
          </w:p>
        </w:tc>
        <w:tc>
          <w:tcPr>
            <w:tcW w:w="4995"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Заказчик:</w:t>
            </w:r>
          </w:p>
        </w:tc>
      </w:tr>
      <w:tr>
        <w:trPr/>
        <w:tc>
          <w:tcPr>
            <w:tcW w:w="4643"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w:t>
            </w:r>
          </w:p>
        </w:tc>
        <w:tc>
          <w:tcPr>
            <w:tcW w:w="4995" w:type="dxa"/>
            <w:tcBorders/>
            <w:shd w:color="auto" w:fill="auto" w:val="clear"/>
          </w:tcPr>
          <w:p>
            <w:pPr>
              <w:pStyle w:val="Normal"/>
              <w:widowControl w:val="false"/>
              <w:spacing w:lineRule="auto" w:line="240"/>
              <w:ind w:hanging="0"/>
              <w:jc w:val="left"/>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Директор Филиала ПАО «РусГидро» – «Карачаево-Черкесский филиал»</w:t>
            </w:r>
          </w:p>
          <w:p>
            <w:pPr>
              <w:pStyle w:val="Normal"/>
              <w:widowControl w:val="false"/>
              <w:spacing w:lineRule="auto" w:line="240"/>
              <w:jc w:val="center"/>
              <w:rPr>
                <w:color w:val="000000"/>
                <w:spacing w:val="1"/>
                <w:sz w:val="24"/>
                <w:szCs w:val="24"/>
              </w:rPr>
            </w:pPr>
            <w:r>
              <w:rPr>
                <w:color w:val="000000"/>
                <w:spacing w:val="1"/>
                <w:sz w:val="24"/>
                <w:szCs w:val="24"/>
              </w:rPr>
            </w:r>
          </w:p>
          <w:p>
            <w:pPr>
              <w:pStyle w:val="Normal"/>
              <w:widowControl w:val="false"/>
              <w:spacing w:lineRule="auto" w:line="240"/>
              <w:ind w:hanging="0"/>
              <w:jc w:val="left"/>
              <w:rPr>
                <w:sz w:val="24"/>
                <w:szCs w:val="24"/>
              </w:rPr>
            </w:pPr>
            <w:r>
              <w:rPr>
                <w:color w:val="000000"/>
                <w:spacing w:val="1"/>
                <w:sz w:val="24"/>
                <w:szCs w:val="24"/>
              </w:rPr>
              <w:t>_____________В.И. Шульженко</w:t>
            </w:r>
          </w:p>
        </w:tc>
      </w:tr>
    </w:tbl>
    <w:p>
      <w:pPr>
        <w:pStyle w:val="Normal"/>
        <w:ind w:hanging="0"/>
        <w:rPr>
          <w:sz w:val="22"/>
          <w:szCs w:val="22"/>
          <w:highlight w:val="lightGray"/>
        </w:rPr>
      </w:pPr>
      <w:r>
        <w:rPr/>
      </w:r>
    </w:p>
    <w:sectPr>
      <w:headerReference w:type="default" r:id="rId20"/>
      <w:headerReference w:type="first" r:id="rId21"/>
      <w:footerReference w:type="default" r:id="rId22"/>
      <w:footerReference w:type="first" r:id="rId23"/>
      <w:footnotePr>
        <w:numFmt w:val="decimal"/>
      </w:footnotePr>
      <w:type w:val="nextPage"/>
      <w:pgSz w:w="11906" w:h="16838"/>
      <w:pgMar w:left="1418" w:right="851" w:gutter="0" w:header="0" w:top="567"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pPr>
        <w:pStyle w:val="FootnoteText"/>
        <w:jc w:val="both"/>
        <w:rPr/>
      </w:pPr>
      <w:r>
        <w:rPr>
          <w:rStyle w:val="Style6"/>
        </w:rPr>
        <w:footnoteRef/>
      </w:r>
      <w:r>
        <w:rPr/>
        <w:t xml:space="preserve"> </w:t>
      </w:r>
      <w:r>
        <w:rPr/>
        <w:t>Применяется в случае подписания собственноручно без использования усиленных квалифицированных электронных подписей (УКЭП).</w:t>
      </w:r>
    </w:p>
  </w:footnote>
  <w:footnote w:id="4">
    <w:p>
      <w:pPr>
        <w:pStyle w:val="FootnoteText"/>
        <w:rPr/>
      </w:pPr>
      <w:r>
        <w:rPr>
          <w:rStyle w:val="Style6"/>
        </w:rPr>
        <w:footnoteRef/>
      </w:r>
      <w:r>
        <w:rPr/>
        <w:t xml:space="preserve">Актуальный Перечень Банков-Гарантов Группы РусГидро размещен на официальном сайте Общества </w:t>
      </w:r>
      <w:r>
        <w:rPr>
          <w:lang w:val="en-US"/>
        </w:rPr>
        <w:t>http</w:t>
      </w:r>
      <w:r>
        <w:rPr/>
        <w:t>://</w:t>
      </w:r>
      <w:r>
        <w:rPr>
          <w:lang w:val="en-US"/>
        </w:rPr>
        <w:t>zakupki</w:t>
      </w:r>
      <w:r>
        <w:rPr/>
        <w:t>.</w:t>
      </w:r>
      <w:r>
        <w:rPr>
          <w:lang w:val="en-US"/>
        </w:rPr>
        <w:t>rushydro</w:t>
      </w:r>
      <w:r>
        <w:rPr/>
        <w:t>.</w:t>
      </w:r>
      <w:r>
        <w:rPr>
          <w:lang w:val="en-US"/>
        </w:rPr>
        <w:t>ru</w:t>
      </w:r>
      <w:r>
        <w:rPr/>
        <w:t>/</w:t>
      </w:r>
      <w:r>
        <w:rPr>
          <w:lang w:val="en-US"/>
        </w:rPr>
        <w:t>PublicContent</w:t>
      </w:r>
      <w:r>
        <w:rPr/>
        <w:t>/</w:t>
      </w:r>
      <w:r>
        <w:rPr>
          <w:lang w:val="en-US"/>
        </w:rPr>
        <w:t>Section</w:t>
      </w:r>
      <w:r>
        <w:rPr/>
        <w:t>/6</w:t>
      </w:r>
    </w:p>
  </w:footnote>
  <w:footnote w:id="5">
    <w:p>
      <w:pPr>
        <w:pStyle w:val="FootnoteText"/>
        <w:jc w:val="both"/>
        <w:rPr/>
      </w:pPr>
      <w:r>
        <w:rPr>
          <w:rStyle w:val="Style6"/>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lang w:val="en-US"/>
        </w:rPr>
        <w:t>Reuters</w:t>
      </w:r>
      <w:r>
        <w:rPr/>
        <w:t xml:space="preserve">, </w:t>
      </w:r>
      <w:r>
        <w:rPr>
          <w:lang w:val="en-US"/>
        </w:rPr>
        <w:t>Bloomberg</w:t>
      </w:r>
      <w:r>
        <w:rPr/>
        <w:t>, С</w:t>
      </w:r>
      <w:r>
        <w:rPr>
          <w:lang w:val="en-US"/>
        </w:rPr>
        <w:t>bonds</w:t>
      </w:r>
      <w:r>
        <w:rPr/>
        <w:t>)</w:t>
      </w:r>
    </w:p>
  </w:footnote>
  <w:footnote w:id="6">
    <w:p>
      <w:pPr>
        <w:pStyle w:val="FootnoteText"/>
        <w:rPr/>
      </w:pPr>
      <w:r>
        <w:rPr>
          <w:rStyle w:val="Style6"/>
        </w:rPr>
        <w:footnoteRef/>
      </w:r>
      <w:r>
        <w:rPr/>
        <w:t xml:space="preserve"> </w:t>
      </w:r>
      <w:r>
        <w:rPr/>
        <w:t>Данное требование не применяется в отношении небанковских кредитных организаций.</w:t>
      </w:r>
    </w:p>
  </w:footnote>
  <w:footnote w:id="7">
    <w:p>
      <w:pPr>
        <w:pStyle w:val="FootnoteText"/>
        <w:jc w:val="both"/>
        <w:rPr/>
      </w:pPr>
      <w:r>
        <w:rPr>
          <w:rStyle w:val="Style6"/>
        </w:rPr>
        <w:footnoteRef/>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Pr>
          <w:lang w:val="en-US"/>
        </w:rPr>
        <w:t> </w:t>
      </w:r>
      <w:r>
        <w:rPr/>
        <w:t>440 млн. руб., лимит к установлению - 5</w:t>
      </w:r>
      <w:r>
        <w:rPr>
          <w:lang w:val="en-US"/>
        </w:rPr>
        <w:t> </w:t>
      </w:r>
      <w:r>
        <w:rPr/>
        <w:t>400 млн. руб.; расчетное значение лимита - 5</w:t>
      </w:r>
      <w:r>
        <w:rPr>
          <w:lang w:val="en-US"/>
        </w:rPr>
        <w:t> </w:t>
      </w:r>
      <w:r>
        <w:rPr/>
        <w:t>450 млн. руб., лимит к установлению - 5</w:t>
      </w:r>
      <w:r>
        <w:rPr>
          <w:lang w:val="en-US"/>
        </w:rPr>
        <w:t> </w:t>
      </w:r>
      <w:r>
        <w:rPr/>
        <w:t>500 млн. руб.</w:t>
      </w:r>
    </w:p>
  </w:footnote>
  <w:footnote w:id="8">
    <w:p>
      <w:pPr>
        <w:pStyle w:val="FootnoteText"/>
        <w:jc w:val="both"/>
        <w:rPr/>
      </w:pPr>
      <w:r>
        <w:rPr>
          <w:rStyle w:val="Style6"/>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 или рейтинговых агентств и/или из информационных систем </w:t>
      </w:r>
      <w:r>
        <w:rPr>
          <w:lang w:val="en-US"/>
        </w:rPr>
        <w:t>Reuters</w:t>
      </w:r>
      <w:r>
        <w:rPr/>
        <w:t xml:space="preserve">, </w:t>
      </w:r>
      <w:r>
        <w:rPr>
          <w:lang w:val="en-US"/>
        </w:rPr>
        <w:t>Bloomberg</w:t>
      </w:r>
      <w:r>
        <w:rPr/>
        <w:t>, С</w:t>
      </w:r>
      <w:r>
        <w:rPr>
          <w:lang w:val="en-US"/>
        </w:rPr>
        <w:t>bonds</w:t>
      </w:r>
      <w:r>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center"/>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center"/>
      <w:rPr>
        <w:sz w:val="20"/>
        <w:szCs w:val="20"/>
      </w:rPr>
    </w:pPr>
    <w:r>
      <w:rPr>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center"/>
      <w:rPr>
        <w:sz w:val="20"/>
        <w:szCs w:val="20"/>
      </w:rPr>
    </w:pPr>
    <w:r>
      <w:rPr>
        <w:sz w:val="20"/>
        <w:szCs w:val="20"/>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1214"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18">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9">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0"/>
        </w:tabs>
        <w:ind w:left="2149" w:hanging="360"/>
      </w:pPr>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lvl w:ilvl="0">
      <w:start w:val="7"/>
      <w:numFmt w:val="decimal"/>
      <w:lvlText w:val="%1."/>
      <w:lvlJc w:val="left"/>
      <w:pPr>
        <w:tabs>
          <w:tab w:val="num" w:pos="0"/>
        </w:tabs>
        <w:ind w:left="360" w:hanging="360"/>
      </w:pPr>
      <w:rPr>
        <w:sz w:val="24"/>
        <w:b/>
      </w:rPr>
    </w:lvl>
    <w:lvl w:ilvl="1">
      <w:start w:val="6"/>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21">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2">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6"/>
      <w:numFmt w:val="decimal"/>
      <w:lvlText w:val="%1."/>
      <w:lvlJc w:val="left"/>
      <w:pPr>
        <w:tabs>
          <w:tab w:val="num" w:pos="0"/>
        </w:tabs>
        <w:ind w:left="360" w:hanging="360"/>
      </w:pPr>
      <w:rPr/>
    </w:lvl>
    <w:lvl w:ilvl="1">
      <w:start w:val="1"/>
      <w:numFmt w:val="decimal"/>
      <w:lvlText w:val="%1.%2."/>
      <w:lvlJc w:val="left"/>
      <w:pPr>
        <w:tabs>
          <w:tab w:val="num" w:pos="0"/>
        </w:tabs>
        <w:ind w:left="1080" w:hanging="360"/>
      </w:pPr>
      <w:rPr>
        <w:sz w:val="24"/>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2880" w:hanging="72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4680" w:hanging="108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480" w:hanging="1440"/>
      </w:pPr>
      <w:rPr/>
    </w:lvl>
    <w:lvl w:ilvl="8">
      <w:start w:val="1"/>
      <w:numFmt w:val="decimal"/>
      <w:lvlText w:val="%1.%2.%3.%4.%5.%6.%7.%8.%9."/>
      <w:lvlJc w:val="left"/>
      <w:pPr>
        <w:tabs>
          <w:tab w:val="num" w:pos="0"/>
        </w:tabs>
        <w:ind w:left="7560" w:hanging="1800"/>
      </w:pPr>
      <w:rPr/>
    </w:lvl>
  </w:abstractNum>
  <w:abstractNum w:abstractNumId="26">
    <w:lvl w:ilvl="0">
      <w:start w:val="11"/>
      <w:numFmt w:val="decimal"/>
      <w:lvlText w:val="%1."/>
      <w:lvlJc w:val="left"/>
      <w:pPr>
        <w:tabs>
          <w:tab w:val="num" w:pos="0"/>
        </w:tabs>
        <w:ind w:left="360" w:hanging="360"/>
      </w:pPr>
      <w:rPr>
        <w:sz w:val="24"/>
        <w:b/>
      </w:rPr>
    </w:lvl>
    <w:lvl w:ilvl="1">
      <w:start w:val="1"/>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27">
    <w:lvl w:ilvl="0">
      <w:start w:val="8"/>
      <w:numFmt w:val="decimal"/>
      <w:lvlText w:val="%1."/>
      <w:lvlJc w:val="left"/>
      <w:pPr>
        <w:tabs>
          <w:tab w:val="num" w:pos="0"/>
        </w:tabs>
        <w:ind w:left="360" w:hanging="360"/>
      </w:pPr>
      <w:rPr>
        <w:sz w:val="24"/>
        <w:b/>
      </w:rPr>
    </w:lvl>
    <w:lvl w:ilvl="1">
      <w:start w:val="1"/>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2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28"/>
    <w:lvlOverride w:ilvl="0">
      <w:startOverride w:val="1"/>
    </w:lvlOverride>
  </w:num>
  <w:num w:numId="43">
    <w:abstractNumId w:val="28"/>
  </w:num>
  <w:num w:numId="44">
    <w:abstractNumId w:val="28"/>
  </w:num>
  <w:num w:numId="45">
    <w:abstractNumId w:val="28"/>
  </w:num>
  <w:num w:numId="46">
    <w:abstractNumId w:val="28"/>
  </w:num>
  <w:num w:numId="47">
    <w:abstractNumId w:val="28"/>
  </w:num>
  <w:num w:numId="48">
    <w:abstractNumId w:val="28"/>
  </w:num>
  <w:num w:numId="49">
    <w:abstractNumId w:val="28"/>
  </w:num>
  <w:num w:numId="50">
    <w:abstractNumId w:val="28"/>
  </w:num>
  <w:num w:numId="51">
    <w:abstractNumId w:val="28"/>
  </w:num>
  <w:num w:numId="52">
    <w:abstractNumId w:val="28"/>
  </w:num>
  <w:num w:numId="53">
    <w:abstractNumId w:val="28"/>
  </w:num>
  <w:num w:numId="54">
    <w:abstractNumId w:val="28"/>
  </w:num>
  <w:num w:numId="55">
    <w:abstractNumId w:val="28"/>
  </w:num>
</w:numbering>
</file>

<file path=word/settings.xml><?xml version="1.0" encoding="utf-8"?>
<w:settings xmlns:w="http://schemas.openxmlformats.org/wordprocessingml/2006/main">
  <w:zoom w:percent="100"/>
  <w:trackRevisions/>
  <w:embedSystemFonts/>
  <w:defaultTabStop w:val="709"/>
  <w:autoHyphenation w:val="true"/>
  <w:footnotePr>
    <w:numFmt w:val="decimal"/>
    <w:footnote w:id="0"/>
    <w:footnote w:id="1"/>
  </w:footnotePr>
  <w:compat>
    <w:compatSetting w:name="compatibilityMode" w:uri="http://schemas.microsoft.com/office/word" w:val="12"/>
  </w:compat>
  <w:documentProtection w:edit="trackedChanges" w:cryptProviderType="rsaAES" w:cryptAlgorithmClass="hash" w:cryptAlgorithmType="typeAny" w:cryptAlgorithmSid="" w:cryptSpinCount="0" w:hash="" w:sal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lang w:val="x-none" w:eastAsia="x-none"/>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sz w:val="24"/>
      <w:szCs w:val="24"/>
      <w:lang w:val="x-none" w:eastAsia="x-none"/>
    </w:rPr>
  </w:style>
  <w:style w:type="character" w:styleId="4" w:customStyle="1">
    <w:name w:val="4. Отчерк Знак"/>
    <w:link w:val="41"/>
    <w:qFormat/>
    <w:rsid w:val="00f50d64"/>
    <w:rPr>
      <w:sz w:val="24"/>
      <w:szCs w:val="24"/>
      <w:lang w:val="x-none" w:eastAsia="x-none"/>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uiPriority w:val="99"/>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link w:val="13"/>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customStyle="1">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Текст Знак"/>
    <w:basedOn w:val="DefaultParagraphFont"/>
    <w:link w:val="PlainText"/>
    <w:uiPriority w:val="99"/>
    <w:semiHidden/>
    <w:qFormat/>
    <w:rsid w:val="003b200e"/>
    <w:rPr>
      <w:rFonts w:ascii="Calibri" w:hAnsi="Calibri" w:eastAsia="Calibri"/>
      <w:sz w:val="22"/>
      <w:szCs w:val="21"/>
      <w:lang w:eastAsia="en-US"/>
    </w:rPr>
  </w:style>
  <w:style w:type="character" w:styleId="Style17" w:customStyle="1">
    <w:name w:val="Абзац списка Знак"/>
    <w:link w:val="ListParagraph"/>
    <w:uiPriority w:val="34"/>
    <w:qFormat/>
    <w:locked/>
    <w:rsid w:val="008a3fe7"/>
    <w:rPr>
      <w:sz w:val="24"/>
      <w:szCs w:val="24"/>
    </w:rPr>
  </w:style>
  <w:style w:type="character" w:styleId="Style18" w:customStyle="1">
    <w:name w:val="Символ нумерации"/>
    <w:qFormat/>
    <w:rPr/>
  </w:style>
  <w:style w:type="character" w:styleId="Linenumber1" w:customStyle="1">
    <w:name w:val="line number1"/>
    <w:qFormat/>
    <w:rPr/>
  </w:style>
  <w:style w:type="character" w:styleId="Linenumber2">
    <w:name w:val="line number2"/>
    <w:qFormat/>
    <w:rPr/>
  </w:style>
  <w:style w:type="character" w:styleId="LineNumber">
    <w:name w:val="Line Number"/>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21" w:customStyle="1">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2"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3"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4"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5"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6"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7"/>
    <w:uiPriority w:val="34"/>
    <w:qFormat/>
    <w:rsid w:val="005f3f9e"/>
    <w:pPr>
      <w:spacing w:lineRule="auto" w:line="240" w:before="0" w:after="0"/>
      <w:ind w:left="720" w:hanging="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spacing w:before="0" w:after="0"/>
      <w:ind w:right="1462" w:hanging="0"/>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uiPriority w:val="9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3" w:customStyle="1">
    <w:name w:val="Заголовок1"/>
    <w:basedOn w:val="Normal"/>
    <w:link w:val="Style11"/>
    <w:qFormat/>
    <w:rsid w:val="00ae674d"/>
    <w:pPr>
      <w:widowControl w:val="fals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spacing w:lineRule="auto" w:line="240" w:before="240" w:after="240"/>
      <w:ind w:left="704" w:hanging="504"/>
      <w:jc w:val="left"/>
      <w:textAlignment w:val="baseline"/>
      <w:outlineLvl w:val="1"/>
    </w:pPr>
    <w:rPr>
      <w:sz w:val="24"/>
      <w:szCs w:val="20"/>
    </w:rPr>
  </w:style>
  <w:style w:type="paragraph" w:styleId="Caption11111111" w:customStyle="1">
    <w:name w:val="caption11111111"/>
    <w:basedOn w:val="Normal"/>
    <w:next w:val="Normal"/>
    <w:qFormat/>
    <w:rsid w:val="00ae674d"/>
    <w:pPr>
      <w:widowControl w:val="fals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5"/>
      </w:numPr>
      <w:tabs>
        <w:tab w:val="clear" w:pos="709"/>
        <w:tab w:val="left" w:pos="0" w:leader="none"/>
        <w:tab w:val="left" w:pos="567" w:leader="none"/>
      </w:tabs>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5"/>
      </w:numPr>
    </w:pPr>
    <w:rPr/>
  </w:style>
  <w:style w:type="paragraph" w:styleId="-2" w:customStyle="1">
    <w:name w:val="Контракт-подпункт"/>
    <w:basedOn w:val="Normal"/>
    <w:qFormat/>
    <w:rsid w:val="00f43f0d"/>
    <w:pPr>
      <w:numPr>
        <w:ilvl w:val="2"/>
        <w:numId w:val="5"/>
      </w:numPr>
    </w:pPr>
    <w:rPr/>
  </w:style>
  <w:style w:type="paragraph" w:styleId="-3" w:customStyle="1">
    <w:name w:val="Контракт-подподпункт"/>
    <w:basedOn w:val="Normal"/>
    <w:qFormat/>
    <w:rsid w:val="00f43f0d"/>
    <w:pPr>
      <w:numPr>
        <w:ilvl w:val="3"/>
        <w:numId w:val="5"/>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paragraph" w:styleId="ConsPlusNonformat" w:customStyle="1">
    <w:name w:val="ConsPlusNonformat"/>
    <w:qFormat/>
    <w:rsid w:val="006b6853"/>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PlainText">
    <w:name w:val="Plain Text"/>
    <w:basedOn w:val="Normal"/>
    <w:link w:val="Style16"/>
    <w:uiPriority w:val="99"/>
    <w:semiHidden/>
    <w:unhideWhenUsed/>
    <w:qFormat/>
    <w:rsid w:val="003b200e"/>
    <w:pPr>
      <w:spacing w:lineRule="auto" w:line="240"/>
      <w:ind w:hanging="0"/>
      <w:jc w:val="left"/>
    </w:pPr>
    <w:rPr>
      <w:rFonts w:ascii="Calibri" w:hAnsi="Calibri" w:eastAsia="Calibri"/>
      <w:sz w:val="22"/>
      <w:szCs w:val="21"/>
      <w:lang w:eastAsia="en-US"/>
    </w:rPr>
  </w:style>
  <w:style w:type="paragraph" w:styleId="Style27" w:customStyle="1">
    <w:name w:val="Содержимое таблицы"/>
    <w:basedOn w:val="Normal"/>
    <w:qFormat/>
    <w:pPr>
      <w:widowControl w:val="false"/>
      <w:suppressLineNumbers/>
    </w:pPr>
    <w:rPr/>
  </w:style>
  <w:style w:type="paragraph" w:styleId="Style28" w:customStyle="1">
    <w:name w:val="Заголовок таблицы"/>
    <w:basedOn w:val="Style27"/>
    <w:qFormat/>
    <w:pPr>
      <w:jc w:val="center"/>
    </w:pPr>
    <w:rPr>
      <w:b/>
      <w:bCs/>
    </w:rPr>
  </w:style>
  <w:style w:type="paragraph" w:styleId="Style29" w:customStyle="1">
    <w:name w:val="Таблица текст"/>
    <w:basedOn w:val="Normal"/>
    <w:qFormat/>
    <w:pPr>
      <w:spacing w:before="40" w:after="40"/>
      <w:ind w:left="57" w:right="57" w:hanging="0"/>
      <w:jc w:val="left"/>
    </w:pPr>
    <w:rPr>
      <w:sz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e">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http://www.rushydro.ru/" TargetMode="External"/><Relationship Id="rId4" Type="http://schemas.openxmlformats.org/officeDocument/2006/relationships/hyperlink" Target="consultantplus://offline/ref=94D5CE8889791A29DE57299515463A9D6134D8237B999C803E6F853513x2A2P" TargetMode="External"/><Relationship Id="rId5" Type="http://schemas.openxmlformats.org/officeDocument/2006/relationships/hyperlink" Target="consultantplus://offline/ref=94D5CE8889791A29DE57299515463A9D6135D2287D929C803E6F853513x2A2P" TargetMode="External"/><Relationship Id="rId6" Type="http://schemas.openxmlformats.org/officeDocument/2006/relationships/hyperlink" Target="consultantplus://offline/ref=79440D5123ABA6A25F43346AB59DBAAC7032C8E1556DA64FAED62E167F76889C2B7C475C32EFC59BJ8rDH"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www.cbr.ru/" TargetMode="External"/><Relationship Id="rId19" Type="http://schemas.openxmlformats.org/officeDocument/2006/relationships/hyperlink" Target="http://www.cbr.ru/" TargetMode="External"/><Relationship Id="rId20" Type="http://schemas.openxmlformats.org/officeDocument/2006/relationships/header" Target="header7.xml"/><Relationship Id="rId21" Type="http://schemas.openxmlformats.org/officeDocument/2006/relationships/header" Target="header8.xml"/><Relationship Id="rId22" Type="http://schemas.openxmlformats.org/officeDocument/2006/relationships/footer" Target="footer6.xml"/><Relationship Id="rId23" Type="http://schemas.openxmlformats.org/officeDocument/2006/relationships/footer" Target="footer7.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 Id="rId29" Type="http://schemas.openxmlformats.org/officeDocument/2006/relationships/customXml" Target="../customXml/item1.xml"/><Relationship Id="rId30"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5AEBA-2CEA-4769-BC47-CF598A2FFCBA}">
  <ds:schemaRefs>
    <ds:schemaRef ds:uri="http://schemas.openxmlformats.org/officeDocument/2006/bibliography"/>
  </ds:schemaRefs>
</ds:datastoreItem>
</file>

<file path=customXml/itemProps2.xml><?xml version="1.0" encoding="utf-8"?>
<ds:datastoreItem xmlns:ds="http://schemas.openxmlformats.org/officeDocument/2006/customXml" ds:itemID="{B541DF53-44DD-4A7A-9B01-E096C8F0B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Application>AlterOffice/3.4.0.9$Linux_X86_64 LibreOffice_project/b8daf9e823b1a5463a2f48435ddc2e8696e7d4fc</Application>
  <AppVersion>15.0000</AppVersion>
  <Pages>35</Pages>
  <Words>12951</Words>
  <Characters>93221</Characters>
  <CharactersWithSpaces>105733</CharactersWithSpaces>
  <Paragraphs>546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2023-06-13T10:58:00Z</dcterms:created>
  <dc:creator>UK VoHEC</dc:creator>
  <dc:description/>
  <dc:language>ru-RU</dc:language>
  <cp:lastModifiedBy>Марина Викторовна Бутыгина</cp:lastModifiedBy>
  <cp:lastPrinted>2026-09-08T12:22:00Z</cp:lastPrinted>
  <dcterms:modified xsi:type="dcterms:W3CDTF">2026-10-15T15:45:52Z</dcterms:modified>
  <cp:revision>85</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