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Приложение №3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 Договору поставки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от___  _________ 2026 г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№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1190-____-202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6</w:t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eastAsia="Calibri" w:cs="Times New Roman" w:ascii="Times New Roman" w:hAnsi="Times New Roman"/>
          <w:b/>
          <w:sz w:val="32"/>
          <w:szCs w:val="32"/>
          <w:lang w:eastAsia="ru-RU"/>
        </w:rPr>
        <w:t>Технические требования на поставку МТР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spacing w:before="0" w:after="0"/>
        <w:ind w:left="567" w:hanging="0"/>
        <w:jc w:val="center"/>
        <w:rPr>
          <w:b w:val="false"/>
          <w:bCs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val="ru-RU" w:eastAsia="ru-RU"/>
        </w:rPr>
        <w:t xml:space="preserve">ОКДП2 23.63.10.000 Поставка бетона для спорт площадки для </w:t>
      </w:r>
    </w:p>
    <w:p>
      <w:pPr>
        <w:pStyle w:val="Normal"/>
        <w:spacing w:before="0" w:after="0"/>
        <w:ind w:left="567" w:hanging="0"/>
        <w:jc w:val="center"/>
        <w:rPr>
          <w:b w:val="false"/>
          <w:bCs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val="ru-RU" w:eastAsia="ru-RU"/>
        </w:rPr>
        <w:t>Филиала ПАО РусГидро-Карачаево-Черкесский филиал</w:t>
      </w:r>
    </w:p>
    <w:p>
      <w:pPr>
        <w:pStyle w:val="Normal"/>
        <w:shd w:val="clear" w:color="auto" w:fill="FFFFFF"/>
        <w:spacing w:lineRule="auto" w:line="240" w:before="0" w:after="0"/>
        <w:ind w:right="-2" w:hanging="0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right="-2" w:hanging="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пгт. Правокубанский 2026</w:t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shd w:fill="FFFFFF" w:val="clear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rStyle w:val="Style7"/>
              <w:sz w:val="24"/>
              <w:b/>
              <w:szCs w:val="24"/>
              <w:bCs/>
              <w:rFonts w:eastAsia="Times New Roman" w:cs="Calibri Light (Заголовки)" w:ascii="Times New Roman" w:hAnsi="Times New Roman"/>
              <w:lang w:eastAsia="ru-RU"/>
            </w:rPr>
            <w:instrText xml:space="preserve"> TOC \o "1-4" \h</w:instrText>
          </w:r>
          <w:r>
            <w:rPr>
              <w:rStyle w:val="Style7"/>
              <w:sz w:val="24"/>
              <w:b/>
              <w:szCs w:val="24"/>
              <w:bCs/>
              <w:rFonts w:eastAsia="Times New Roman" w:cs="Calibri Light (Заголовки)" w:ascii="Times New Roman" w:hAnsi="Times New Roman"/>
              <w:lang w:eastAsia="ru-RU"/>
            </w:rPr>
            <w:fldChar w:fldCharType="separate"/>
          </w:r>
          <w:hyperlink w:anchor="_Toc75446566"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Style w:val="Style7"/>
                <w:rFonts w:eastAsia="PMingLiU" w:cs="Arial"/>
                <w:lang w:eastAsia="ru-RU"/>
              </w:rPr>
              <w:tab/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>Общие сведения</w:t>
              <w:tab/>
            </w:r>
          </w:hyperlink>
          <w:r>
            <w:rPr>
              <w:rFonts w:eastAsia="Times New Roman" w:cs="Calibri Light (Заголовки)" w:ascii="Times New Roman" w:hAnsi="Times New Roman"/>
              <w:b/>
              <w:bCs/>
              <w:sz w:val="24"/>
              <w:szCs w:val="24"/>
              <w:lang w:eastAsia="ru-RU"/>
            </w:rPr>
            <w:t>3</w:t>
          </w:r>
        </w:p>
        <w:p>
          <w:pPr>
            <w:pStyle w:val="Normal"/>
            <w:shd w:val="clear" w:color="auto" w:fill="FFFFFF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left="560" w:hanging="0"/>
            <w:rPr>
              <w:rFonts w:ascii="Times New Roman" w:hAnsi="Times New Roman" w:eastAsia="Times New Roman" w:cs="Calibri"/>
              <w:sz w:val="24"/>
              <w:szCs w:val="24"/>
              <w:lang w:eastAsia="ru-RU"/>
            </w:rPr>
          </w:pPr>
          <w:r>
            <w:rPr>
              <w:rFonts w:eastAsia="Times New Roman" w:cs="Calibri" w:ascii="Times New Roman" w:hAnsi="Times New Roman"/>
              <w:sz w:val="24"/>
              <w:szCs w:val="24"/>
              <w:lang w:eastAsia="ru-RU"/>
            </w:rPr>
            <w:t>1.1.</w:t>
            <w:tab/>
            <w:t>Обозначения и сокращения</w:t>
            <w:tab/>
            <w:t>3</w:t>
          </w:r>
        </w:p>
        <w:p>
          <w:pPr>
            <w:pStyle w:val="Normal"/>
            <w:shd w:val="clear" w:color="auto" w:fill="FFFFFF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left="560" w:hanging="0"/>
            <w:rPr>
              <w:rFonts w:ascii="Times New Roman" w:hAnsi="Times New Roman" w:eastAsia="Times New Roman" w:cs="Calibri"/>
              <w:sz w:val="24"/>
              <w:szCs w:val="24"/>
              <w:lang w:eastAsia="ru-RU"/>
            </w:rPr>
          </w:pPr>
          <w:r>
            <w:rPr>
              <w:rFonts w:eastAsia="Times New Roman" w:cs="Calibri" w:ascii="Times New Roman" w:hAnsi="Times New Roman"/>
              <w:sz w:val="24"/>
              <w:szCs w:val="24"/>
              <w:lang w:eastAsia="ru-RU"/>
            </w:rPr>
            <w:t>1.2.</w:t>
            <w:tab/>
            <w:t>Наименование закупаемого Товара</w:t>
            <w:tab/>
            <w:t>4</w:t>
          </w:r>
        </w:p>
        <w:p>
          <w:pPr>
            <w:pStyle w:val="Normal"/>
            <w:shd w:val="clear" w:color="auto" w:fill="FFFFFF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left="560" w:hanging="0"/>
            <w:rPr>
              <w:rFonts w:ascii="Times New Roman" w:hAnsi="Times New Roman" w:eastAsia="Times New Roman" w:cs="Calibri"/>
              <w:sz w:val="24"/>
              <w:szCs w:val="24"/>
              <w:lang w:eastAsia="ru-RU"/>
            </w:rPr>
          </w:pPr>
          <w:r>
            <w:rPr>
              <w:rFonts w:eastAsia="Times New Roman" w:cs="Calibri" w:ascii="Times New Roman" w:hAnsi="Times New Roman"/>
              <w:sz w:val="24"/>
              <w:szCs w:val="24"/>
              <w:lang w:eastAsia="ru-RU"/>
            </w:rPr>
            <w:t>1.3.</w:t>
            <w:tab/>
            <w:t xml:space="preserve">Цель использования закупаемого Товара </w:t>
            <w:tab/>
            <w:t>4</w:t>
          </w:r>
        </w:p>
        <w:p>
          <w:pPr>
            <w:pStyle w:val="Normal"/>
            <w:shd w:val="clear" w:color="auto" w:fill="FFFFFF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left="560" w:hanging="0"/>
            <w:rPr>
              <w:rFonts w:ascii="Times New Roman" w:hAnsi="Times New Roman" w:eastAsia="Times New Roman" w:cs="Calibri"/>
              <w:sz w:val="24"/>
              <w:szCs w:val="24"/>
              <w:lang w:eastAsia="ru-RU"/>
            </w:rPr>
          </w:pPr>
          <w:r>
            <w:rPr>
              <w:rFonts w:eastAsia="Times New Roman" w:cs="Calibri" w:ascii="Times New Roman" w:hAnsi="Times New Roman"/>
              <w:sz w:val="24"/>
              <w:szCs w:val="24"/>
              <w:lang w:eastAsia="ru-RU"/>
            </w:rPr>
            <w:t>1.4.</w:t>
            <w:tab/>
            <w:t xml:space="preserve">Существующее положение </w:t>
            <w:tab/>
            <w:t>4</w:t>
          </w:r>
        </w:p>
        <w:p>
          <w:pPr>
            <w:pStyle w:val="Normal"/>
            <w:shd w:val="clear" w:color="auto" w:fill="FFFFFF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left="560" w:hanging="0"/>
            <w:rPr>
              <w:rFonts w:ascii="Times New Roman" w:hAnsi="Times New Roman" w:eastAsia="Times New Roman" w:cs="Calibri"/>
              <w:sz w:val="24"/>
              <w:szCs w:val="24"/>
              <w:lang w:eastAsia="ru-RU"/>
            </w:rPr>
          </w:pPr>
          <w:r>
            <w:rPr>
              <w:rFonts w:eastAsia="Times New Roman" w:cs="Calibri" w:ascii="Times New Roman" w:hAnsi="Times New Roman"/>
              <w:sz w:val="24"/>
              <w:szCs w:val="24"/>
              <w:lang w:eastAsia="ru-RU"/>
            </w:rPr>
            <w:t>1.5.</w:t>
            <w:tab/>
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    <w:tab/>
            <w:t>5</w:t>
          </w:r>
        </w:p>
        <w:p>
          <w:pPr>
            <w:pStyle w:val="Normal"/>
            <w:shd w:val="clear" w:color="auto" w:fill="FFFFFF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left="560" w:hanging="0"/>
            <w:rPr>
              <w:rFonts w:ascii="Times New Roman" w:hAnsi="Times New Roman" w:eastAsia="Times New Roman" w:cs="Calibri"/>
              <w:sz w:val="20"/>
              <w:szCs w:val="20"/>
              <w:lang w:eastAsia="ru-RU"/>
            </w:rPr>
          </w:pPr>
          <w:hyperlink w:anchor="_Toc75446572">
            <w:r>
              <w:rPr>
                <w:rStyle w:val="Style7"/>
                <w:rFonts w:eastAsia="Times New Roman" w:cs="Calibri" w:ascii="Times New Roman" w:hAnsi="Times New Roman"/>
                <w:iCs/>
                <w:sz w:val="24"/>
                <w:szCs w:val="24"/>
                <w:lang w:eastAsia="ru-RU"/>
              </w:rPr>
              <w:t>1.6.</w:t>
            </w:r>
            <w:r>
              <w:rPr>
                <w:rStyle w:val="Style7"/>
                <w:rFonts w:eastAsia="PMingLiU" w:cs="Arial" w:ascii="Times New Roman" w:hAnsi="Times New Roman"/>
                <w:sz w:val="24"/>
                <w:szCs w:val="24"/>
                <w:lang w:eastAsia="ru-RU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7"/>
                <w:rFonts w:eastAsia="Times New Roman" w:cs="Calibri" w:ascii="Times New Roman" w:hAnsi="Times New Roman"/>
                <w:sz w:val="24"/>
                <w:szCs w:val="24"/>
                <w:lang w:eastAsia="ru-RU"/>
              </w:rPr>
              <w:t xml:space="preserve">Иные требования и сведения общего характера 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hd w:val="clear" w:color="auto" w:fill="FFFFFF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hyperlink w:anchor="_Toc75446573"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  <w:r>
              <w:rPr>
                <w:rStyle w:val="Style7"/>
                <w:rFonts w:eastAsia="PMingLiU" w:cs="Arial" w:ascii="Times New Roman" w:hAnsi="Times New Roman"/>
                <w:sz w:val="24"/>
                <w:szCs w:val="24"/>
                <w:lang w:eastAsia="ru-RU"/>
              </w:rPr>
              <w:tab/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Требования к </w:t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iCs/>
                <w:sz w:val="24"/>
                <w:szCs w:val="24"/>
                <w:lang w:val="en-US" w:eastAsia="ru-RU"/>
              </w:rPr>
              <w:t>Товару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hd w:val="clear" w:color="auto" w:fill="FFFFFF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left="560" w:hanging="0"/>
            <w:rPr>
              <w:rFonts w:ascii="Times New Roman" w:hAnsi="Times New Roman" w:eastAsia="Times New Roman" w:cs="Calibri"/>
              <w:sz w:val="20"/>
              <w:szCs w:val="20"/>
              <w:lang w:eastAsia="ru-RU"/>
            </w:rPr>
          </w:pPr>
          <w:hyperlink w:anchor="_Toc75446574">
            <w:r>
              <w:rPr>
                <w:rStyle w:val="Style7"/>
                <w:rFonts w:eastAsia="Times New Roman" w:cs="Calibri" w:ascii="Times New Roman" w:hAnsi="Times New Roman"/>
                <w:iCs/>
                <w:sz w:val="24"/>
                <w:szCs w:val="24"/>
                <w:lang w:eastAsia="ru-RU"/>
              </w:rPr>
              <w:t>2.1.</w:t>
            </w:r>
            <w:r>
              <w:rPr>
                <w:rStyle w:val="Style7"/>
                <w:rFonts w:eastAsia="PMingLiU" w:cs="Arial" w:ascii="Times New Roman" w:hAnsi="Times New Roman"/>
                <w:sz w:val="24"/>
                <w:szCs w:val="24"/>
                <w:lang w:eastAsia="ru-RU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7"/>
                <w:rFonts w:eastAsia="Times New Roman" w:cs="Calibri" w:ascii="Times New Roman" w:hAnsi="Times New Roman"/>
                <w:sz w:val="24"/>
                <w:szCs w:val="24"/>
                <w:lang w:eastAsia="ru-RU"/>
              </w:rPr>
              <w:t>Требования к объемам и срокам поставки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hd w:val="clear" w:color="auto" w:fill="FFFFFF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left="280" w:hanging="0"/>
            <w:rPr>
              <w:rFonts w:ascii="Times New Roman" w:hAnsi="Times New Roman" w:eastAsia="Times New Roman" w:cs="Calibri"/>
              <w:sz w:val="20"/>
              <w:szCs w:val="20"/>
              <w:lang w:eastAsia="ru-RU"/>
            </w:rPr>
          </w:pPr>
          <w:hyperlink w:anchor="_Toc75446575">
            <w:r>
              <w:rPr>
                <w:rStyle w:val="Style7"/>
                <w:rFonts w:eastAsia="Times New Roman" w:cs="Calibri" w:ascii="Times New Roman" w:hAnsi="Times New Roman"/>
                <w:sz w:val="24"/>
                <w:szCs w:val="24"/>
                <w:lang w:eastAsia="ru-RU"/>
              </w:rPr>
              <w:t>2.1.1.</w:t>
            </w:r>
            <w:r>
              <w:rPr>
                <w:rStyle w:val="Style7"/>
                <w:rFonts w:eastAsia="PMingLiU" w:cs="Arial" w:ascii="Times New Roman" w:hAnsi="Times New Roman"/>
                <w:sz w:val="24"/>
                <w:szCs w:val="24"/>
                <w:lang w:eastAsia="ru-RU"/>
              </w:rPr>
              <w:tab/>
            </w:r>
            <w:r>
              <w:rPr>
                <w:rStyle w:val="Style7"/>
                <w:rFonts w:eastAsia="Times New Roman" w:cs="Calibri" w:ascii="Times New Roman" w:hAnsi="Times New Roman"/>
                <w:sz w:val="24"/>
                <w:szCs w:val="24"/>
                <w:lang w:eastAsia="ru-RU"/>
              </w:rPr>
              <w:t xml:space="preserve">Перечень и объем закупаемого </w:t>
            </w:r>
            <w:r>
              <w:rPr>
                <w:rStyle w:val="Style7"/>
                <w:rFonts w:eastAsia="Times New Roman" w:cs="Calibri" w:ascii="Times New Roman" w:hAnsi="Times New Roman"/>
                <w:sz w:val="24"/>
                <w:szCs w:val="24"/>
                <w:lang w:val="en-US" w:eastAsia="ru-RU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7"/>
                <w:rFonts w:eastAsia="Times New Roman" w:cs="Calibri" w:ascii="Times New Roman" w:hAnsi="Times New Roman"/>
                <w:sz w:val="24"/>
                <w:szCs w:val="24"/>
                <w:lang w:eastAsia="ru-RU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hd w:val="clear" w:color="auto" w:fill="FFFFFF"/>
            <w:tabs>
              <w:tab w:val="clear" w:pos="708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hyperlink w:anchor="_Toc75446576"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Таблица 1.1 Перечень и объем закупаемого </w:t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val="en-US" w:eastAsia="ru-RU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hd w:val="clear" w:color="auto" w:fill="FFFFFF"/>
            <w:tabs>
              <w:tab w:val="clear" w:pos="708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hyperlink w:anchor="_Toc75446577"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>Таблица 1.2 Перечень и объем закупаемых сопутствующих услуг</w:t>
              <w:tab/>
            </w:r>
          </w:hyperlink>
          <w:r>
            <w:rPr>
              <w:rFonts w:eastAsia="Times New Roman" w:cs="Calibri Light (Заголовки)" w:ascii="Times New Roman" w:hAnsi="Times New Roman"/>
              <w:b/>
              <w:bCs/>
              <w:sz w:val="24"/>
              <w:szCs w:val="24"/>
              <w:lang w:eastAsia="ru-RU"/>
            </w:rPr>
            <w:t>5</w:t>
          </w:r>
        </w:p>
        <w:p>
          <w:pPr>
            <w:pStyle w:val="Normal"/>
            <w:shd w:val="clear" w:color="auto" w:fill="FFFFFF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left="280" w:hanging="0"/>
            <w:rPr>
              <w:rFonts w:ascii="Times New Roman" w:hAnsi="Times New Roman" w:eastAsia="Times New Roman" w:cs="Calibri"/>
              <w:sz w:val="24"/>
              <w:szCs w:val="24"/>
              <w:lang w:eastAsia="ru-RU"/>
            </w:rPr>
          </w:pPr>
          <w:r>
            <w:rPr>
              <w:rFonts w:eastAsia="Times New Roman" w:cs="Calibri" w:ascii="Times New Roman" w:hAnsi="Times New Roman"/>
              <w:sz w:val="24"/>
              <w:szCs w:val="24"/>
              <w:lang w:eastAsia="ru-RU"/>
            </w:rPr>
            <w:t>2.1.2.</w:t>
            <w:tab/>
            <w:t>Требования к срокам поставки Товара и оказания сопутствующих услуг</w:t>
            <w:tab/>
            <w:t>6</w:t>
          </w:r>
        </w:p>
        <w:p>
          <w:pPr>
            <w:pStyle w:val="Normal"/>
            <w:shd w:val="clear" w:color="auto" w:fill="FFFFFF"/>
            <w:tabs>
              <w:tab w:val="clear" w:pos="708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hyperlink w:anchor="_Toc75446579"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Таблица 2.1 Требования по срокам поставки </w:t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val="en-US" w:eastAsia="ru-RU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hd w:val="clear" w:color="auto" w:fill="FFFFFF"/>
            <w:tabs>
              <w:tab w:val="clear" w:pos="708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hyperlink w:anchor="_Toc7544658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>Таблица 2.2 Требования по срокам оказания сопутствующих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hd w:val="clear" w:color="auto" w:fill="FFFFFF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left="560" w:hanging="0"/>
            <w:rPr>
              <w:rFonts w:ascii="Times New Roman" w:hAnsi="Times New Roman" w:eastAsia="Times New Roman" w:cs="Calibri"/>
              <w:sz w:val="24"/>
              <w:szCs w:val="24"/>
              <w:lang w:eastAsia="ru-RU"/>
            </w:rPr>
          </w:pPr>
          <w:r>
            <w:rPr>
              <w:rFonts w:eastAsia="Times New Roman" w:cs="Calibri" w:ascii="Times New Roman" w:hAnsi="Times New Roman"/>
              <w:sz w:val="24"/>
              <w:szCs w:val="24"/>
              <w:lang w:eastAsia="ru-RU"/>
            </w:rPr>
            <w:t>2.2.</w:t>
            <w:tab/>
            <w:t>Требования к качеству Товара</w:t>
            <w:tab/>
            <w:t>7</w:t>
          </w:r>
        </w:p>
        <w:p>
          <w:pPr>
            <w:pStyle w:val="Normal"/>
            <w:shd w:val="clear" w:color="auto" w:fill="FFFFFF"/>
            <w:tabs>
              <w:tab w:val="clear" w:pos="708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hyperlink w:anchor="_Toc75446582"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>Таблица</w:t>
            </w:r>
          </w:hyperlink>
          <w:r>
            <w:rPr>
              <w:rFonts w:eastAsia="Times New Roman" w:cs="Calibri Light (Заголовки)" w:ascii="Times New Roman" w:hAnsi="Times New Roman"/>
              <w:b/>
              <w:bCs/>
              <w:color w:val="000000"/>
              <w:sz w:val="24"/>
              <w:szCs w:val="24"/>
              <w:lang w:eastAsia="ru-RU"/>
            </w:rPr>
            <w:t> </w:t>
          </w:r>
          <w:hyperlink w:anchor="_Toc7544658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>3. Требования к Товару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hd w:val="clear" w:color="auto" w:fill="FFFFFF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hyperlink w:anchor="_Toc75446583"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>3.</w:t>
            </w:r>
            <w:r>
              <w:rPr>
                <w:rStyle w:val="Style7"/>
                <w:rFonts w:eastAsia="PMingLiU" w:cs="Arial" w:ascii="Times New Roman" w:hAnsi="Times New Roman"/>
                <w:sz w:val="24"/>
                <w:szCs w:val="24"/>
                <w:lang w:eastAsia="ru-RU"/>
              </w:rPr>
              <w:tab/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Требования к документации по ценообразованию на этапе закупки</w:t>
              <w:tab/>
            </w:r>
          </w:hyperlink>
          <w:r>
            <w:rPr>
              <w:rFonts w:eastAsia="Times New Roman" w:cs="Calibri Light (Заголовки)" w:ascii="Times New Roman" w:hAnsi="Times New Roman"/>
              <w:b/>
              <w:bCs/>
              <w:sz w:val="24"/>
              <w:szCs w:val="24"/>
              <w:lang w:eastAsia="ru-RU"/>
            </w:rPr>
            <w:t>78</w:t>
          </w:r>
        </w:p>
        <w:p>
          <w:pPr>
            <w:pStyle w:val="Normal"/>
            <w:shd w:val="clear" w:color="auto" w:fill="FFFFFF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r>
            <w:rPr>
              <w:rFonts w:eastAsia="Times New Roman" w:cs="Calibri Light (Заголовки)" w:ascii="Times New Roman" w:hAnsi="Times New Roman"/>
              <w:b/>
              <w:bCs/>
              <w:sz w:val="24"/>
              <w:szCs w:val="24"/>
              <w:lang w:eastAsia="ru-RU"/>
            </w:rPr>
            <w:t>4</w:t>
          </w:r>
          <w:hyperlink w:anchor="_Toc75446585"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Style w:val="Style7"/>
                <w:rFonts w:eastAsia="PMingLiU" w:cs="Arial" w:ascii="Times New Roman" w:hAnsi="Times New Roman"/>
                <w:sz w:val="24"/>
                <w:szCs w:val="24"/>
                <w:lang w:eastAsia="ru-RU"/>
              </w:rPr>
              <w:tab/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Приложения</w:t>
            </w:r>
            <w:r>
              <w:rPr>
                <w:rStyle w:val="Style7"/>
                <w:rFonts w:eastAsia="Times New Roman" w:cs="Calibri Light (Заголовки)" w:ascii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</w:hyperlink>
          <w:r>
            <w:rPr>
              <w:rFonts w:eastAsia="Times New Roman" w:cs="Calibri Light (Заголовки)" w:ascii="Times New Roman" w:hAnsi="Times New Roman"/>
              <w:b/>
              <w:bCs/>
              <w:sz w:val="24"/>
              <w:szCs w:val="24"/>
              <w:lang w:eastAsia="ru-RU"/>
            </w:rPr>
            <w:t>79</w:t>
          </w:r>
          <w:r>
            <w:rPr>
              <w:sz w:val="24"/>
              <w:b/>
              <w:szCs w:val="24"/>
              <w:bCs/>
              <w:rFonts w:eastAsia="Times New Roman" w:cs="Calibri Light (Заголовки)" w:ascii="Times New Roman" w:hAnsi="Times New Roman"/>
              <w:lang w:eastAsia="ru-RU"/>
            </w:rPr>
            <w:fldChar w:fldCharType="end"/>
          </w:r>
        </w:p>
      </w:sdtContent>
    </w:sdt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left="0" w:hanging="0"/>
        <w:outlineLvl w:val="1"/>
        <w:rPr>
          <w:rFonts w:ascii="Times New Roman" w:hAnsi="Times New Roman" w:eastAsia="Calibri" w:cs="Times New Roman"/>
          <w:bCs/>
          <w:i/>
          <w:i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4.1.Приложение №1 к ТТ…………………………………………………………………………</w:t>
      </w:r>
      <w:r>
        <w:rPr>
          <w:rFonts w:eastAsia="Calibri" w:cs="Times New Roman" w:ascii="Times New Roman" w:hAnsi="Times New Roman"/>
          <w:bCs/>
          <w:i/>
          <w:sz w:val="24"/>
          <w:szCs w:val="24"/>
          <w:lang w:val="x-none" w:eastAsia="x-none"/>
        </w:rPr>
        <w:t>...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80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i/>
          <w:sz w:val="24"/>
          <w:szCs w:val="24"/>
          <w:lang w:eastAsia="ru-RU"/>
        </w:rPr>
      </w:r>
      <w:r>
        <w:br w:type="page"/>
      </w:r>
    </w:p>
    <w:p>
      <w:pPr>
        <w:pStyle w:val="Normal"/>
        <w:keepNext w:val="true"/>
        <w:keepLines/>
        <w:numPr>
          <w:ilvl w:val="0"/>
          <w:numId w:val="2"/>
        </w:numPr>
        <w:tabs>
          <w:tab w:val="clear" w:pos="708"/>
          <w:tab w:val="left" w:pos="0" w:leader="none"/>
        </w:tabs>
        <w:spacing w:lineRule="auto" w:line="240" w:before="120" w:after="60"/>
        <w:ind w:left="357" w:hanging="357"/>
        <w:jc w:val="center"/>
        <w:outlineLvl w:val="0"/>
        <w:rPr>
          <w:rFonts w:ascii="Times New Roman" w:hAnsi="Times New Roman" w:eastAsia="Calibri" w:cs="Times New Roman"/>
          <w:b/>
          <w:caps/>
          <w:sz w:val="28"/>
          <w:szCs w:val="28"/>
          <w:lang w:eastAsia="x-none"/>
        </w:rPr>
      </w:pPr>
      <w:bookmarkStart w:id="0" w:name="_Toc51339692"/>
      <w:bookmarkStart w:id="1" w:name="_Toc75446566"/>
      <w:r>
        <w:rPr>
          <w:rFonts w:eastAsia="Calibri" w:cs="Times New Roman" w:ascii="Times New Roman" w:hAnsi="Times New Roman"/>
          <w:b/>
          <w:sz w:val="28"/>
          <w:szCs w:val="28"/>
          <w:lang w:eastAsia="x-none"/>
        </w:rPr>
        <w:t>Общие сведения</w:t>
      </w:r>
      <w:bookmarkEnd w:id="0"/>
      <w:bookmarkEnd w:id="1"/>
    </w:p>
    <w:p>
      <w:pPr>
        <w:pStyle w:val="Normal"/>
        <w:keepNext w:val="true"/>
        <w:numPr>
          <w:ilvl w:val="1"/>
          <w:numId w:val="2"/>
        </w:numPr>
        <w:spacing w:lineRule="auto" w:line="240" w:before="120" w:after="60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2" w:name="_Toc46743505"/>
      <w:bookmarkStart w:id="3" w:name="_Toc75446567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Обозначения и сокращения</w:t>
      </w:r>
      <w:bookmarkEnd w:id="2"/>
      <w:bookmarkEnd w:id="3"/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i/>
          <w:i/>
          <w:iCs/>
          <w:sz w:val="26"/>
          <w:szCs w:val="26"/>
          <w:shd w:fill="FFFF99" w:val="clear"/>
          <w:lang w:eastAsia="ru-RU"/>
        </w:rPr>
      </w:pPr>
      <w:r>
        <w:rPr>
          <w:rFonts w:eastAsia="Times New Roman" w:cs="Times New Roman" w:ascii="Times New Roman" w:hAnsi="Times New Roman"/>
          <w:bCs/>
          <w:i/>
          <w:iCs/>
          <w:sz w:val="26"/>
          <w:szCs w:val="26"/>
          <w:shd w:fill="FFFF99" w:val="clear"/>
          <w:lang w:eastAsia="ru-RU"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0" w:val="0000" w:noHBand="0" w:lastColumn="0" w:firstColumn="0" w:lastRow="0" w:firstRow="0"/>
      </w:tblPr>
      <w:tblGrid>
        <w:gridCol w:w="1523"/>
        <w:gridCol w:w="8397"/>
      </w:tblGrid>
      <w:tr>
        <w:trPr/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ТТ</w:t>
            </w:r>
          </w:p>
        </w:tc>
        <w:tc>
          <w:tcPr>
            <w:tcW w:w="8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Технические требования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shd w:fill="FFFFFF" w:val="clear"/>
                <w:lang w:eastAsia="ru-RU"/>
              </w:rPr>
              <w:t xml:space="preserve"> </w:t>
            </w:r>
          </w:p>
        </w:tc>
      </w:tr>
      <w:tr>
        <w:trPr/>
        <w:tc>
          <w:tcPr>
            <w:tcW w:w="15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8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стандарт организации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FFFF99" w:val="clear"/>
                <w:lang w:eastAsia="ru-RU"/>
              </w:rPr>
              <w:t xml:space="preserve"> </w:t>
            </w:r>
          </w:p>
        </w:tc>
      </w:tr>
      <w:tr>
        <w:trPr/>
        <w:tc>
          <w:tcPr>
            <w:tcW w:w="15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ГЭС</w:t>
            </w:r>
          </w:p>
        </w:tc>
        <w:tc>
          <w:tcPr>
            <w:tcW w:w="8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Гидроэлектростанция</w:t>
            </w:r>
          </w:p>
        </w:tc>
      </w:tr>
      <w:tr>
        <w:trPr/>
        <w:tc>
          <w:tcPr>
            <w:tcW w:w="15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ГАЭС</w:t>
            </w:r>
          </w:p>
        </w:tc>
        <w:tc>
          <w:tcPr>
            <w:tcW w:w="8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Гидро-акк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val="en-US" w:eastAsia="ru-RU"/>
              </w:rPr>
              <w:t>у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мулирующая электростанция</w:t>
            </w:r>
          </w:p>
        </w:tc>
      </w:tr>
    </w:tbl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  <w:r>
        <w:br w:type="page"/>
      </w:r>
    </w:p>
    <w:p>
      <w:pPr>
        <w:pStyle w:val="Normal"/>
        <w:keepNext w:val="true"/>
        <w:numPr>
          <w:ilvl w:val="1"/>
          <w:numId w:val="2"/>
        </w:numPr>
        <w:spacing w:lineRule="auto" w:line="240" w:before="120" w:after="60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4" w:name="_Toc46743506"/>
      <w:bookmarkStart w:id="5" w:name="_Toc75446568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Наименование закупаемого </w:t>
      </w:r>
      <w:bookmarkEnd w:id="4"/>
      <w:bookmarkEnd w:id="5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Товара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120" w:after="60"/>
        <w:ind w:left="0" w:right="0" w:hanging="0"/>
        <w:jc w:val="left"/>
        <w:outlineLvl w:val="3"/>
        <w:rPr>
          <w:b w:val="false"/>
          <w:bCs w:val="false"/>
        </w:rPr>
      </w:pPr>
      <w:bookmarkStart w:id="6" w:name="_Toc230178291_Копия_1"/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 w:eastAsia="ru-RU"/>
        </w:rPr>
        <w:t>ОКДП2 23.63.10.000 Поставка бетона для спорт площадки на Зеленчукской ГЭС-ГАЭС для Филиала ПАО РусГидро-Карачаево-Черкесский филиал</w:t>
      </w:r>
      <w:bookmarkEnd w:id="6"/>
    </w:p>
    <w:p>
      <w:pPr>
        <w:pStyle w:val="Normal"/>
        <w:keepNext w:val="true"/>
        <w:numPr>
          <w:ilvl w:val="1"/>
          <w:numId w:val="2"/>
        </w:numPr>
        <w:spacing w:lineRule="auto" w:line="240" w:before="240" w:after="60"/>
        <w:ind w:left="431" w:hanging="431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7" w:name="_Toc75446569"/>
      <w:bookmarkStart w:id="8" w:name="_Toc46743507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Цель </w:t>
      </w:r>
      <w:bookmarkEnd w:id="8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использования закупаемого </w:t>
      </w:r>
      <w:bookmarkEnd w:id="7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Товара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Организация спортивной площадки на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ЗГЭС-ГАЭС Филиала ПАО «РусГидро» - «Карачаево-Черкесский филиал»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</w:t>
      </w:r>
    </w:p>
    <w:p>
      <w:pPr>
        <w:pStyle w:val="Normal"/>
        <w:keepNext w:val="true"/>
        <w:numPr>
          <w:ilvl w:val="1"/>
          <w:numId w:val="2"/>
        </w:numPr>
        <w:spacing w:lineRule="auto" w:line="240" w:before="120" w:after="60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9" w:name="_Toc75446570"/>
      <w:bookmarkStart w:id="10" w:name="_Toc46743508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Существующее положение</w:t>
      </w:r>
      <w:bookmarkEnd w:id="10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 </w:t>
      </w:r>
      <w:bookmarkEnd w:id="9"/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1.4.1. Зеленчукская ГЭС - ГАЭС – деривационная гидроэлектростанция, расположена около поселка Правокубанский и аула Сары-Тюз Карачаевского района Карачаево-Черкесской Республики, в 42 км южнее г. Черкесска.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1.4.2.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Техническая схема Зеленчукской ГЭС- ГАЭС построена на объединении части стока рек Большой и Малый Зеленчуки и переброске объединенного стока в р. Кубань. Забор воды осуществляется из водохранилищ трех однотипных водозаборных гидроузлов, расположенных последовательно на реках Большой Зеленчук, Маруха и Аксаут. По деривационным сооружениям вода из водозаборных гидроузлов поступает в бассейн суточного регулирования (БСР) и из бассейна по напорным трубопроводам и туннелям подается на гидроагрегаты в здание ГЭС-ГАЭС, расположенное вблизи русла р. Кубань. Общая площадь гидротехнического комплекса Зеленчукской ГЭС-ГАЭС по проекту составляет 957 га (согласно актам отвода земельных участков). Комплекс предназначен для энергетических целей.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1.4.3. Площадки существующих сооружений Зеленчукской ГЭС-ГАЭС расположены на высотах 740-1012 м между метеостанциями г. Карачаевск (высота 861 м) и г. Черкесск (высота 525 м).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Сейсмичность площадки демонтажа здания – 8 баллов (карта общего сейсмического районирования ОСР-2015).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Климатические условия в месте расположения Зеленчукской ГЭС-ГАЭС: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а) Температура воздуха в районе строительства: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- максимальная, º С                           </w:t>
        <w:tab/>
        <w:tab/>
        <w:tab/>
        <w:tab/>
        <w:t>+38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- минимальная, º С                                            </w:t>
        <w:tab/>
        <w:t xml:space="preserve">            </w:t>
        <w:tab/>
        <w:t>- 31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среднегодовая º С                                                                         +8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б) Относительная влажность, %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- среднемесячная максимальная,               </w:t>
        <w:tab/>
        <w:tab/>
        <w:tab/>
        <w:t xml:space="preserve"> </w:t>
        <w:tab/>
        <w:t xml:space="preserve"> 73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- среднемесячная минимальная,                </w:t>
        <w:tab/>
        <w:tab/>
        <w:t xml:space="preserve">          </w:t>
        <w:tab/>
        <w:t xml:space="preserve"> </w:t>
        <w:tab/>
        <w:t xml:space="preserve"> 66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в) Среднегодовая скорость ветра, м/с                                </w:t>
        <w:tab/>
        <w:tab/>
        <w:t xml:space="preserve"> 3,1</w:t>
      </w:r>
    </w:p>
    <w:p>
      <w:pPr>
        <w:pStyle w:val="Normal"/>
        <w:tabs>
          <w:tab w:val="clear" w:pos="708"/>
          <w:tab w:val="left" w:pos="6270" w:leader="none"/>
        </w:tabs>
        <w:spacing w:lineRule="auto" w:line="240" w:before="0" w:after="0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Согласно СП 131.13330.2020 «Строительная климатология» (с Изменением №1)</w:t>
      </w:r>
      <w:r>
        <w:rPr>
          <w:rFonts w:eastAsia="Calibri" w:cs="Times New Roman" w:ascii="Times New Roman" w:hAnsi="Times New Roman"/>
          <w:color w:val="BF2F1C"/>
          <w:sz w:val="24"/>
          <w:szCs w:val="24"/>
          <w:u w:val="single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>актуализированная редакция СНиП 23-01-99* , район реконструкции сооружений Зеленчукской ГЭС-ГАЭС  характеризуется следующими климатическими характеристиками:</w:t>
      </w:r>
    </w:p>
    <w:p>
      <w:pPr>
        <w:pStyle w:val="Normal"/>
        <w:tabs>
          <w:tab w:val="clear" w:pos="708"/>
          <w:tab w:val="left" w:pos="6270" w:leader="none"/>
        </w:tabs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- климатический район строительства – </w:t>
      </w:r>
      <w:r>
        <w:rPr>
          <w:rFonts w:eastAsia="Calibri" w:cs="Times New Roman" w:ascii="Times New Roman" w:hAnsi="Times New Roman"/>
          <w:sz w:val="24"/>
          <w:szCs w:val="24"/>
          <w:lang w:val="en-US"/>
        </w:rPr>
        <w:t>III</w:t>
      </w:r>
      <w:r>
        <w:rPr>
          <w:rFonts w:eastAsia="Calibri" w:cs="Times New Roman" w:ascii="Times New Roman" w:hAnsi="Times New Roman"/>
          <w:sz w:val="24"/>
          <w:szCs w:val="24"/>
        </w:rPr>
        <w:t xml:space="preserve"> - климатический подрайон строительства – </w:t>
      </w:r>
      <w:r>
        <w:rPr>
          <w:rFonts w:eastAsia="Calibri" w:cs="Times New Roman" w:ascii="Times New Roman" w:hAnsi="Times New Roman"/>
          <w:sz w:val="24"/>
          <w:szCs w:val="24"/>
          <w:lang w:val="en-US"/>
        </w:rPr>
        <w:t>III</w:t>
      </w:r>
      <w:r>
        <w:rPr>
          <w:rFonts w:eastAsia="Calibri" w:cs="Times New Roman" w:ascii="Times New Roman" w:hAnsi="Times New Roman"/>
          <w:sz w:val="24"/>
          <w:szCs w:val="24"/>
        </w:rPr>
        <w:t xml:space="preserve"> Б;</w:t>
      </w:r>
    </w:p>
    <w:p>
      <w:pPr>
        <w:pStyle w:val="Normal"/>
        <w:tabs>
          <w:tab w:val="clear" w:pos="708"/>
          <w:tab w:val="left" w:pos="6270" w:leader="none"/>
        </w:tabs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- температура воздуха наиболее холодной пятидневки при обеспеченности 0,92 </w:t>
      </w:r>
      <w:r>
        <w:rPr>
          <w:rFonts w:eastAsia="Calibri" w:cs="Times New Roman" w:ascii="Times New Roman" w:hAnsi="Times New Roman"/>
          <w:sz w:val="24"/>
          <w:szCs w:val="24"/>
          <w:lang w:val="en-US"/>
        </w:rPr>
        <w:t>t</w:t>
      </w:r>
      <w:r>
        <w:rPr>
          <w:rFonts w:eastAsia="Calibri" w:cs="Times New Roman" w:ascii="Times New Roman" w:hAnsi="Times New Roman"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  <w:vertAlign w:val="subscript"/>
        </w:rPr>
        <w:t>н</w:t>
      </w:r>
      <w:r>
        <w:rPr>
          <w:rFonts w:eastAsia="Calibri" w:cs="Times New Roman" w:ascii="Times New Roman" w:hAnsi="Times New Roman"/>
          <w:sz w:val="24"/>
          <w:szCs w:val="24"/>
        </w:rPr>
        <w:t>= минус 18</w:t>
      </w:r>
      <w:r>
        <w:rPr>
          <w:rFonts w:eastAsia="Calibri" w:cs="Times New Roman" w:ascii="Times New Roman" w:hAnsi="Times New Roman"/>
          <w:sz w:val="24"/>
          <w:szCs w:val="24"/>
          <w:vertAlign w:val="superscript"/>
        </w:rPr>
        <w:t>0</w:t>
      </w:r>
      <w:r>
        <w:rPr>
          <w:rFonts w:eastAsia="Calibri" w:cs="Times New Roman" w:ascii="Times New Roman" w:hAnsi="Times New Roman"/>
          <w:sz w:val="24"/>
          <w:szCs w:val="24"/>
        </w:rPr>
        <w:t>С;</w:t>
      </w:r>
    </w:p>
    <w:p>
      <w:pPr>
        <w:pStyle w:val="Normal"/>
        <w:tabs>
          <w:tab w:val="clear" w:pos="708"/>
          <w:tab w:val="left" w:pos="6270" w:leader="none"/>
        </w:tabs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- средняя температура периода со среднесуточной температурой наружного воздуха не более минус 8</w:t>
      </w:r>
      <w:r>
        <w:rPr>
          <w:rFonts w:eastAsia="Calibri" w:cs="Times New Roman" w:ascii="Times New Roman" w:hAnsi="Times New Roman"/>
          <w:sz w:val="24"/>
          <w:szCs w:val="24"/>
          <w:vertAlign w:val="superscript"/>
        </w:rPr>
        <w:t>0</w:t>
      </w:r>
      <w:r>
        <w:rPr>
          <w:rFonts w:eastAsia="Calibri" w:cs="Times New Roman" w:ascii="Times New Roman" w:hAnsi="Times New Roman"/>
          <w:sz w:val="24"/>
          <w:szCs w:val="24"/>
        </w:rPr>
        <w:t xml:space="preserve">С – </w:t>
      </w:r>
      <w:r>
        <w:rPr>
          <w:rFonts w:eastAsia="Calibri" w:cs="Times New Roman" w:ascii="Times New Roman" w:hAnsi="Times New Roman"/>
          <w:sz w:val="24"/>
          <w:szCs w:val="24"/>
          <w:lang w:val="en-US"/>
        </w:rPr>
        <w:t>t</w:t>
      </w:r>
      <w:r>
        <w:rPr>
          <w:rFonts w:eastAsia="Calibri" w:cs="Times New Roman" w:ascii="Times New Roman" w:hAnsi="Times New Roman"/>
          <w:sz w:val="24"/>
          <w:szCs w:val="24"/>
          <w:vertAlign w:val="subscript"/>
        </w:rPr>
        <w:t xml:space="preserve">ср </w:t>
      </w:r>
      <w:r>
        <w:rPr>
          <w:rFonts w:eastAsia="Calibri" w:cs="Times New Roman" w:ascii="Times New Roman" w:hAnsi="Times New Roman"/>
          <w:sz w:val="24"/>
          <w:szCs w:val="24"/>
        </w:rPr>
        <w:t>= минус 0,6</w:t>
      </w:r>
      <w:r>
        <w:rPr>
          <w:rFonts w:eastAsia="Calibri" w:cs="Times New Roman" w:ascii="Times New Roman" w:hAnsi="Times New Roman"/>
          <w:sz w:val="24"/>
          <w:szCs w:val="24"/>
          <w:vertAlign w:val="superscript"/>
        </w:rPr>
        <w:t>0</w:t>
      </w:r>
      <w:r>
        <w:rPr>
          <w:rFonts w:eastAsia="Calibri" w:cs="Times New Roman" w:ascii="Times New Roman" w:hAnsi="Times New Roman"/>
          <w:sz w:val="24"/>
          <w:szCs w:val="24"/>
        </w:rPr>
        <w:t>С;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- по расчетному значению веса снегового покрова для </w:t>
      </w:r>
      <w:r>
        <w:rPr>
          <w:rFonts w:eastAsia="Times New Roman" w:cs="Times New Roman" w:ascii="Times New Roman" w:hAnsi="Times New Roman"/>
          <w:bCs/>
          <w:sz w:val="24"/>
          <w:szCs w:val="24"/>
          <w:lang w:val="en-US" w:eastAsia="ru-RU"/>
        </w:rPr>
        <w:t>II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района по СП 20.13330.2016 (с изменением №4), актуализированная редакция СНиП 2.01.07-85* «Нагрузки и воздействия»- кПа=120кгс/м</w:t>
      </w:r>
      <w:r>
        <w:rPr>
          <w:rFonts w:eastAsia="Times New Roman" w:cs="Times New Roman" w:ascii="Times New Roman" w:hAnsi="Times New Roman"/>
          <w:bCs/>
          <w:sz w:val="24"/>
          <w:szCs w:val="24"/>
          <w:vertAlign w:val="superscript"/>
          <w:lang w:eastAsia="ru-RU"/>
        </w:rPr>
        <w:t>2.</w:t>
      </w:r>
    </w:p>
    <w:p>
      <w:pPr>
        <w:pStyle w:val="Normal"/>
        <w:keepNext w:val="true"/>
        <w:numPr>
          <w:ilvl w:val="1"/>
          <w:numId w:val="2"/>
        </w:numPr>
        <w:spacing w:lineRule="auto" w:line="240" w:before="120" w:after="60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11" w:name="_Toc75446572"/>
      <w:bookmarkStart w:id="12" w:name="_Toc46743510"/>
      <w:bookmarkStart w:id="13" w:name="_Hlk48209761_Копия_1"/>
      <w:bookmarkStart w:id="14" w:name="_Toc50125126"/>
      <w:bookmarkEnd w:id="12"/>
      <w:bookmarkEnd w:id="13"/>
      <w:bookmarkEnd w:id="14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Иные требования и сведения общего характера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 </w:t>
      </w:r>
      <w:bookmarkEnd w:id="11"/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24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shd w:fill="FFFFFF" w:val="clear"/>
          <w:lang w:eastAsia="ru-RU"/>
        </w:rPr>
        <w:t xml:space="preserve">1.5.1.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Выполняются следующие услуги: поставка Товара и разгрузка в указанном Заказчиком месте (на территории Филиала).</w:t>
      </w:r>
      <w:r>
        <w:rPr>
          <w:rFonts w:eastAsia="Times New Roman" w:cs="Times New Roman" w:ascii="Times New Roman" w:hAnsi="Times New Roman"/>
          <w:bCs/>
          <w:sz w:val="24"/>
          <w:szCs w:val="24"/>
          <w:shd w:fill="FFFFFF" w:val="clear"/>
          <w:lang w:eastAsia="ru-RU"/>
        </w:rPr>
        <w:t xml:space="preserve"> </w:t>
      </w:r>
    </w:p>
    <w:p>
      <w:pPr>
        <w:pStyle w:val="Normal"/>
        <w:keepNext w:val="true"/>
        <w:keepLines/>
        <w:numPr>
          <w:ilvl w:val="0"/>
          <w:numId w:val="2"/>
        </w:numPr>
        <w:tabs>
          <w:tab w:val="clear" w:pos="708"/>
          <w:tab w:val="left" w:pos="0" w:leader="none"/>
        </w:tabs>
        <w:spacing w:lineRule="auto" w:line="240" w:before="120" w:after="60"/>
        <w:ind w:left="357" w:hanging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eastAsia="x-none"/>
        </w:rPr>
      </w:pPr>
      <w:bookmarkStart w:id="15" w:name="_Toc51339693"/>
      <w:bookmarkStart w:id="16" w:name="_Toc75446573"/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  <w:t xml:space="preserve">Требования к </w:t>
      </w:r>
      <w:bookmarkEnd w:id="15"/>
      <w:bookmarkEnd w:id="16"/>
      <w:r>
        <w:rPr>
          <w:rFonts w:eastAsia="Calibri" w:cs="Times New Roman" w:ascii="Times New Roman" w:hAnsi="Times New Roman"/>
          <w:b/>
          <w:iCs/>
          <w:sz w:val="28"/>
          <w:szCs w:val="28"/>
          <w:lang w:val="en-US" w:eastAsia="x-none"/>
        </w:rPr>
        <w:t>Товару</w:t>
      </w:r>
    </w:p>
    <w:p>
      <w:pPr>
        <w:pStyle w:val="Normal"/>
        <w:keepNext w:val="true"/>
        <w:numPr>
          <w:ilvl w:val="1"/>
          <w:numId w:val="2"/>
        </w:numPr>
        <w:spacing w:lineRule="auto" w:line="240" w:before="120" w:after="60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17" w:name="_Toc75446574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объемам и срокам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поставки</w:t>
      </w:r>
      <w:bookmarkEnd w:id="17"/>
    </w:p>
    <w:p>
      <w:pPr>
        <w:pStyle w:val="Normal"/>
        <w:keepNext w:val="true"/>
        <w:numPr>
          <w:ilvl w:val="2"/>
          <w:numId w:val="2"/>
        </w:numPr>
        <w:spacing w:lineRule="auto" w:line="240" w:before="120" w:after="60"/>
        <w:outlineLvl w:val="2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18" w:name="_Toc7544657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Перечень и объем закупаемого </w:t>
      </w:r>
      <w:bookmarkEnd w:id="18"/>
      <w:r>
        <w:rPr>
          <w:rFonts w:eastAsia="Calibri" w:cs="Times New Roman" w:ascii="Times New Roman" w:hAnsi="Times New Roman"/>
          <w:b/>
          <w:sz w:val="24"/>
          <w:szCs w:val="24"/>
          <w:lang w:val="en-US" w:eastAsia="x-none"/>
        </w:rPr>
        <w:t>Товара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left="0" w:hanging="0"/>
        <w:jc w:val="right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19" w:name="_Toc75446576"/>
      <w:bookmarkStart w:id="20" w:name="_Toc5133969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и объем закупаемого </w:t>
      </w:r>
      <w:bookmarkEnd w:id="19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Товара</w:t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36"/>
        <w:gridCol w:w="4261"/>
        <w:gridCol w:w="1929"/>
        <w:gridCol w:w="2785"/>
      </w:tblGrid>
      <w:tr>
        <w:trPr/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/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Бетон тяжелый, класс В 15 (М 200)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eastAsia="Calibri" w:cs="" w:ascii="Times New Roman" w:hAnsi="Times New Roman"/>
                <w:sz w:val="24"/>
                <w:szCs w:val="24"/>
              </w:rPr>
              <w:t>³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firstLine="142"/>
        <w:rPr>
          <w:rFonts w:ascii="Times New Roman" w:hAnsi="Times New Roman" w:eastAsia="Times New Roman" w:cs="Times New Roman"/>
          <w:bCs/>
          <w:i/>
          <w:i/>
          <w:sz w:val="24"/>
          <w:szCs w:val="24"/>
          <w:shd w:fill="FFFF99" w:val="clear"/>
          <w:lang w:eastAsia="ru-RU"/>
        </w:rPr>
      </w:pPr>
      <w:r>
        <w:rPr>
          <w:rFonts w:eastAsia="Times New Roman" w:cs="Times New Roman" w:ascii="Times New Roman" w:hAnsi="Times New Roman"/>
          <w:bCs/>
          <w:i/>
          <w:sz w:val="24"/>
          <w:szCs w:val="24"/>
          <w:shd w:fill="FFFF99" w:val="clear"/>
          <w:lang w:eastAsia="ru-RU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left="0" w:hanging="0"/>
        <w:jc w:val="right"/>
        <w:outlineLvl w:val="0"/>
        <w:rPr>
          <w:rFonts w:ascii="Times New Roman" w:hAnsi="Times New Roman" w:eastAsia="Calibri" w:cs="Times New Roman"/>
          <w:b/>
          <w:bCs/>
          <w:i/>
          <w:i/>
          <w:sz w:val="24"/>
          <w:szCs w:val="24"/>
          <w:shd w:fill="FFFF99" w:val="clear"/>
          <w:lang w:val="x-none" w:eastAsia="x-none"/>
        </w:rPr>
      </w:pPr>
      <w:bookmarkStart w:id="21" w:name="_Toc75446577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1.2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Перечень и объем закупаемых сопутствующих услуг</w:t>
      </w:r>
      <w:bookmarkEnd w:id="21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Поставка Товара и разгрузка в указанном Заказчиком месте (на территории Филиала).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FFFFFF" w:val="clear"/>
                <w:lang w:eastAsia="ru-RU"/>
              </w:rPr>
              <w:t xml:space="preserve">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eastAsia="Calibri" w:cs="" w:ascii="Times New Roman" w:hAnsi="Times New Roman"/>
                <w:sz w:val="24"/>
                <w:szCs w:val="24"/>
              </w:rPr>
              <w:t>³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firstLine="142"/>
        <w:rPr>
          <w:rFonts w:ascii="Times New Roman" w:hAnsi="Times New Roman" w:eastAsia="Times New Roman" w:cs="Times New Roman"/>
          <w:bCs/>
          <w:i/>
          <w:i/>
          <w:sz w:val="24"/>
          <w:szCs w:val="24"/>
          <w:shd w:fill="FFFF99" w:val="clear"/>
          <w:lang w:eastAsia="ru-RU"/>
        </w:rPr>
      </w:pPr>
      <w:r>
        <w:rPr>
          <w:rFonts w:eastAsia="Times New Roman" w:cs="Times New Roman" w:ascii="Times New Roman" w:hAnsi="Times New Roman"/>
          <w:bCs/>
          <w:i/>
          <w:sz w:val="24"/>
          <w:szCs w:val="24"/>
          <w:shd w:fill="FFFF99" w:val="clear"/>
          <w:lang w:eastAsia="ru-RU"/>
        </w:rPr>
      </w:r>
      <w:bookmarkStart w:id="22" w:name="_GoBack"/>
      <w:bookmarkStart w:id="23" w:name="_GoBack"/>
      <w:bookmarkEnd w:id="23"/>
    </w:p>
    <w:p>
      <w:pPr>
        <w:pStyle w:val="Normal"/>
        <w:keepNext w:val="true"/>
        <w:numPr>
          <w:ilvl w:val="2"/>
          <w:numId w:val="2"/>
        </w:numPr>
        <w:spacing w:lineRule="auto" w:line="240" w:before="120" w:after="60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24" w:name="_Toc75446578"/>
      <w:bookmarkStart w:id="25" w:name="_Toc5133969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Требования </w:t>
      </w:r>
      <w:bookmarkEnd w:id="2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к срокам поставки Товара и оказанию сопутствующих услуг</w:t>
      </w:r>
      <w:bookmarkEnd w:id="24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left="0" w:hanging="0"/>
        <w:jc w:val="right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26" w:name="_Toc75446579"/>
      <w:bookmarkStart w:id="27" w:name="_Toc51339697"/>
      <w:bookmarkStart w:id="28" w:name="_Toc50125127"/>
      <w:bookmarkStart w:id="29" w:name="_Toc50125126_Копия_1"/>
      <w:bookmarkEnd w:id="29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.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30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7"/>
      <w:bookmarkEnd w:id="28"/>
      <w:bookmarkEnd w:id="3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поставки </w:t>
      </w:r>
      <w:bookmarkEnd w:id="2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Товара</w:t>
      </w:r>
    </w:p>
    <w:tbl>
      <w:tblPr>
        <w:tblW w:w="100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7"/>
        <w:gridCol w:w="4111"/>
        <w:gridCol w:w="2557"/>
        <w:gridCol w:w="2523"/>
      </w:tblGrid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Товара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Товара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Товара</w:t>
            </w:r>
          </w:p>
        </w:tc>
      </w:tr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Поставка материалов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с даты заключения договора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15.12.2026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left="0" w:hanging="0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</w:r>
      <w:bookmarkStart w:id="31" w:name="_Toc46743510_Копия_1"/>
      <w:bookmarkStart w:id="32" w:name="_Toc46743510_Копия_1"/>
      <w:bookmarkEnd w:id="32"/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8192"/>
        </w:sectPr>
        <w:pStyle w:val="Normal"/>
        <w:keepNext w:val="true"/>
        <w:numPr>
          <w:ilvl w:val="0"/>
          <w:numId w:val="0"/>
        </w:numPr>
        <w:spacing w:lineRule="auto" w:line="240" w:before="120" w:after="60"/>
        <w:ind w:left="0" w:hanging="0"/>
        <w:jc w:val="right"/>
        <w:outlineLvl w:val="0"/>
        <w:rPr>
          <w:rFonts w:ascii="Times New Roman" w:hAnsi="Times New Roman" w:eastAsia="Calibri" w:cs="Times New Roman"/>
          <w:b/>
          <w:bCs/>
          <w:i/>
          <w:i/>
          <w:iCs/>
          <w:sz w:val="24"/>
          <w:szCs w:val="24"/>
          <w:shd w:fill="FFFF99" w:val="clear"/>
          <w:lang w:val="x-none" w:eastAsia="x-none"/>
        </w:rPr>
      </w:pPr>
      <w:r>
        <w:rPr/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left="432" w:hanging="0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3. </w:t>
      </w:r>
      <w:bookmarkStart w:id="33" w:name="_Toc51339698"/>
      <w:bookmarkStart w:id="34" w:name="_Toc75446581"/>
      <w:bookmarkStart w:id="35" w:name="_Toc46743511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</w:t>
      </w:r>
      <w:bookmarkEnd w:id="35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качеству </w:t>
      </w:r>
      <w:bookmarkEnd w:id="34"/>
      <w:r>
        <w:rPr>
          <w:rFonts w:eastAsia="Calibri" w:cs="Times New Roman" w:ascii="Times New Roman" w:hAnsi="Times New Roman"/>
          <w:b/>
          <w:bCs/>
          <w:sz w:val="24"/>
          <w:szCs w:val="24"/>
          <w:lang w:val="en-US" w:eastAsia="x-none"/>
        </w:rPr>
        <w:t>Товара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left="0" w:hanging="0"/>
        <w:jc w:val="right"/>
        <w:outlineLvl w:val="0"/>
        <w:rPr>
          <w:rFonts w:ascii="Times New Roman" w:hAnsi="Times New Roman" w:eastAsia="Calibri" w:cs="Times New Roman"/>
          <w:b/>
          <w:sz w:val="24"/>
          <w:szCs w:val="24"/>
          <w:lang w:val="en-US"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End w:id="33"/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Наименование товара (позиция №1 Таблицы 1.1): Бетон тяжелый, класс В 15 (М 200)</w:t>
      </w:r>
      <w:r>
        <w:rPr>
          <w:rFonts w:eastAsia="Times New Roman" w:cs="Times New Roman" w:ascii="Times New Roman" w:hAnsi="Times New Roman"/>
          <w:b/>
          <w:bCs/>
          <w:i/>
          <w:color w:val="111111"/>
          <w:sz w:val="26"/>
          <w:lang w:eastAsia="ru-RU"/>
        </w:rPr>
        <w:t xml:space="preserve">. </w:t>
      </w:r>
    </w:p>
    <w:tbl>
      <w:tblPr>
        <w:tblW w:w="1545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51"/>
        <w:gridCol w:w="1984"/>
        <w:gridCol w:w="5954"/>
        <w:gridCol w:w="2272"/>
        <w:gridCol w:w="2265"/>
        <w:gridCol w:w="2126"/>
      </w:tblGrid>
      <w:tr>
        <w:trPr/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Способ подтверждения участником соответствия требованиям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9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60" w:after="6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 xml:space="preserve">Объем и состав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поставки Товара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Материалы для спорт площадки на ЗГЭС-ГАЭС для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Филиала ПАО «РусГидро»- «Карачаево-Черкесский филиал» (далее Товар)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60" w:after="6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Область применения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8"/>
                <w:lang w:eastAsia="ru-RU"/>
              </w:rPr>
              <w:t>Организация спортивной площадки на территории Зеленчукской ГЭС-ГАЭС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8"/>
                <w:lang w:eastAsia="x-none"/>
              </w:rPr>
              <w:t xml:space="preserve"> Филиала ПАО «РусГидро» - «Карачаево-Черкесский филиал»</w:t>
            </w:r>
            <w:r>
              <w:rPr>
                <w:rFonts w:eastAsia="Times New Roman" w:cs="Times New Roman" w:ascii="Times New Roman" w:hAnsi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Цель услуги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2" w:leader="none"/>
              </w:tabs>
              <w:spacing w:lineRule="exact" w:line="264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Спортивная площадка предназначена для тренировок спортивных команд Филиала и проведения местных региональных соревнований.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60" w:after="6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конструкции, изготовлению и материалам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Требования к Товару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 Бетон тяжелый класс В 15 марка 200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 Качество и технические характеристики должны соответсвовать Стандартам РФ.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3. </w:t>
            </w:r>
            <w:r>
              <w:rPr>
                <w:rStyle w:val="Strong"/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Время перемешивания смеси.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Продолжительность перемешивания бетонных смесей в стационарных циклических смесителях (время от окончания загрузки всех материалов в работающий смеситель до начала выгрузки) устанавливается технологическим регламентом на производство бетонной смеси или в соответствии с приложением к ГОСТ 7473-2010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60" w:after="6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lang w:val="uk-UA"/>
              </w:rPr>
              <w:t>Температурный режим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lang w:val="uk-UA"/>
              </w:rPr>
              <w:t>Температурный режим эксплуатации от минус 30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°</w:t>
            </w: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lang w:val="uk-UA"/>
              </w:rPr>
              <w:t>до плюс 50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lang w:val="uk-UA"/>
              </w:rPr>
              <w:t>Влажность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lang w:val="uk-UA"/>
              </w:rPr>
              <w:t>Повышенная относительная влажность: 80%</w:t>
            </w:r>
            <w:bookmarkStart w:id="36" w:name="_GoBack_Копия_1"/>
            <w:bookmarkEnd w:id="36"/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60" w:after="6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Доставка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Доставка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 материалов силами Заказчика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outlineLvl w:val="2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Разгрузка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pacing w:lineRule="auto" w:line="240" w:before="0" w:after="200"/>
              <w:ind w:left="72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Разгрузка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 xml:space="preserve"> на территории Филиала.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6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6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60" w:after="6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2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2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2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Гарантийные обязательства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 xml:space="preserve">Гарантийный срок эксплуатации не менее 12 месяцев с даты ввода в эксплуатацию.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4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60"/>
              <w:ind w:left="0" w:hanging="0"/>
              <w:outlineLvl w:val="2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60" w:after="6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комплектации и документам, поставляемым вместе с Товаром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Документы, передаваемые вместе с изделиями и СИЗ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Поставщик обязан одновременно с передачей Товара передать Покупателю относящиеся к ним документы, оформленные надлежащим образом: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сертификаты качества;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технические паспорта;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руководства по эксплуатации;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упаковочные листы, упаковочные ярлыки;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товарно-транспортную накладную формы №1-Т;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- универсальный передаточный документ.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60" w:after="6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сопутствующим услугам: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шефмонтажу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3"/>
              </w:numPr>
              <w:spacing w:lineRule="auto" w:line="240" w:before="60" w:after="60"/>
              <w:ind w:left="1224" w:hanging="1199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Требования к исполнителю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Не требуется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60" w:after="6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sz w:val="24"/>
                <w:szCs w:val="24"/>
                <w:lang w:val="uk-UA"/>
              </w:rPr>
              <w:t>Общие требования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 xml:space="preserve">1.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ачеств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о, количество и сроки поставки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поставляемого Товара должно быть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 xml:space="preserve"> в полном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соответствии с условиями договора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 xml:space="preserve">2. Основные условия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поставки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 xml:space="preserve"> указаны в договоре Покупателя.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uk-UA"/>
              </w:rPr>
              <w:t>3. Допускается привлечение Поставщиком третьих лиц для исполнения обязательств по договору.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/>
      </w:r>
    </w:p>
    <w:tbl>
      <w:tblPr>
        <w:tblW w:w="9815" w:type="dxa"/>
        <w:jc w:val="left"/>
        <w:tblInd w:w="17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995"/>
        <w:gridCol w:w="4819"/>
      </w:tblGrid>
      <w:tr>
        <w:trPr/>
        <w:tc>
          <w:tcPr>
            <w:tcW w:w="499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b w:val="false"/>
                <w:bCs w:val="false"/>
                <w:shd w:fill="auto" w:val="clear"/>
              </w:rPr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firstLine="34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8192"/>
        </w:sectPr>
      </w:pPr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 w:before="120" w:after="60"/>
        <w:ind w:left="0" w:hanging="0"/>
        <w:outlineLvl w:val="0"/>
        <w:rPr/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PT San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844"/>
        </w:tabs>
        <w:ind w:left="6882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2">
    <w:name w:val="Heading 2"/>
    <w:basedOn w:val="Title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basedOn w:val="DefaultParagraphFont"/>
    <w:uiPriority w:val="99"/>
    <w:semiHidden/>
    <w:qFormat/>
    <w:rsid w:val="00862323"/>
    <w:rPr/>
  </w:style>
  <w:style w:type="character" w:styleId="Hyperlink">
    <w:name w:val="Hyperlink"/>
    <w:rPr>
      <w:color w:val="000080"/>
      <w:u w:val="single"/>
    </w:rPr>
  </w:style>
  <w:style w:type="character" w:styleId="Style7" w:customStyle="1">
    <w:name w:val="Ссылка указателя"/>
    <w:qFormat/>
    <w:rPr/>
  </w:style>
  <w:style w:type="character" w:styleId="Style8" w:customStyle="1">
    <w:name w:val="Маркеры"/>
    <w:qFormat/>
    <w:rPr>
      <w:rFonts w:ascii="OpenSymbol" w:hAnsi="OpenSymbol" w:eastAsia="OpenSymbol" w:cs="OpenSymbol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uiPriority w:val="99"/>
    <w:semiHidden/>
    <w:unhideWhenUsed/>
    <w:rsid w:val="0086232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Application>AlterOffice/3.4.0.9$Linux_X86_64 LibreOffice_project/b8daf9e823b1a5463a2f48435ddc2e8696e7d4fc</Application>
  <AppVersion>15.0000</AppVersion>
  <Pages>9</Pages>
  <Words>1121</Words>
  <Characters>7383</Characters>
  <CharactersWithSpaces>8532</CharactersWithSpaces>
  <Paragraphs>234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2024-10-16T11:21:00Z</dcterms:created>
  <dc:creator>Калашникова Алена Акимовна</dc:creator>
  <dc:description/>
  <dc:language>ru-RU</dc:language>
  <cp:lastModifiedBy>zabelkinans@corp.gidroogk.com</cp:lastModifiedBy>
  <dcterms:modified xsi:type="dcterms:W3CDTF">2026-10-16T14:28:16Z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