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widowControl/>
        <w:suppressAutoHyphens w:val="true"/>
        <w:bidi w:val="0"/>
        <w:spacing w:before="0" w:after="0"/>
        <w:ind w:left="567" w:right="0" w:hanging="0"/>
        <w:jc w:val="center"/>
        <w:rPr>
          <w:b w:val="false"/>
          <w:bCs w:val="false"/>
        </w:rPr>
      </w:pPr>
      <w:r>
        <w:rPr>
          <w:rFonts w:cs="Times New Roman" w:ascii="Times New Roman;Times;serif" w:hAnsi="Times New Roman;Times;serif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ОКПД2 </w:t>
      </w:r>
      <w:r>
        <w:rPr>
          <w:rFonts w:eastAsia="Arial Unicode MS" w:cs="Times New Roman" w:ascii="Times New Roman;Times;serif" w:hAnsi="Times New Roman;Times;serif"/>
          <w:b w:val="false"/>
          <w:bCs w:val="false"/>
          <w:i w:val="false"/>
          <w:caps w:val="false"/>
          <w:smallCaps w:val="false"/>
          <w:color w:val="00000A"/>
          <w:spacing w:val="0"/>
          <w:kern w:val="2"/>
          <w:sz w:val="24"/>
          <w:szCs w:val="24"/>
          <w:lang w:eastAsia="en-US"/>
        </w:rPr>
        <w:t>27.11.61.120</w:t>
      </w:r>
      <w:r>
        <w:rPr>
          <w:rFonts w:cs="Times New Roman" w:ascii="Times New Roman;Times;serif" w:hAnsi="Times New Roman;Times;serif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. </w:t>
      </w:r>
      <w:r>
        <w:rPr>
          <w:rFonts w:eastAsia="Arial Unicode MS" w:cs="Times New Roman" w:ascii="Times New Roman;Times;serif" w:hAnsi="Times New Roman;Times;serif"/>
          <w:b w:val="false"/>
          <w:bCs w:val="false"/>
          <w:i w:val="false"/>
          <w:caps w:val="false"/>
          <w:smallCaps w:val="false"/>
          <w:color w:val="00000A"/>
          <w:spacing w:val="0"/>
          <w:kern w:val="2"/>
          <w:sz w:val="24"/>
          <w:szCs w:val="24"/>
          <w:lang w:eastAsia="en-US"/>
        </w:rPr>
        <w:t xml:space="preserve">Поставка стержней обмотки статора генератора для </w:t>
      </w:r>
      <w:r>
        <w:rPr>
          <w:rFonts w:eastAsia="Calibri" w:cs="Times New Roman" w:ascii="Times New Roman;Times;serif" w:hAnsi="Times New Roman;Times;serif"/>
          <w:b w:val="false"/>
          <w:bCs w:val="false"/>
          <w:i w:val="false"/>
          <w:caps w:val="false"/>
          <w:smallCaps w:val="false"/>
          <w:color w:val="auto"/>
          <w:spacing w:val="0"/>
          <w:kern w:val="2"/>
          <w:sz w:val="26"/>
          <w:szCs w:val="24"/>
          <w:lang w:eastAsia="en-US"/>
        </w:rPr>
        <w:t>работ на Нижегородской  ГЭС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right="0" w:hanging="0"/>
        <w:jc w:val="center"/>
        <w:outlineLvl w:val="0"/>
        <w:rPr>
          <w:rFonts w:ascii="Times New Roman" w:hAnsi="Times New Roman"/>
          <w:highlight w:val="none"/>
          <w:shd w:fill="auto" w:val="clear"/>
        </w:rPr>
      </w:pPr>
      <w:r>
        <w:rPr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shd w:fill="auto" w:val="clear"/>
          <w:em w:val="none"/>
        </w:rPr>
        <w:t xml:space="preserve">(Лот № </w:t>
      </w:r>
      <w:r>
        <w:rPr>
          <w:rFonts w:eastAsia="Calibri" w:cs="Times New Roman"/>
          <w:b w:val="false"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shd w:fill="auto" w:val="clear"/>
          <w:em w:val="none"/>
        </w:rPr>
        <w:t>____________________</w:t>
      </w:r>
      <w:r>
        <w:rPr>
          <w:rFonts w:eastAsia="Geneva" w:cs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shd w:fill="auto" w:val="clear"/>
          <w:em w:val="none"/>
        </w:rPr>
        <w:t>)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shd w:val="clear" w:fill="FFFFFF"/>
        <w:jc w:val="center"/>
        <w:rPr>
          <w:sz w:val="24"/>
          <w:szCs w:val="24"/>
        </w:rPr>
      </w:pPr>
      <w:r>
        <w:rPr>
          <w:b/>
          <w:sz w:val="24"/>
          <w:szCs w:val="24"/>
          <w:shd w:fill="auto" w:val="clear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shd w:fill="FFFFFF" w:val="clear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4"/>
              <w:shd w:fill="auto" w:val="clear"/>
              <w:szCs w:val="2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sz w:val="24"/>
              <w:shd w:fill="auto" w:val="clear"/>
              <w:szCs w:val="24"/>
              <w:vanish w:val="false"/>
            </w:rPr>
            <w:fldChar w:fldCharType="separate"/>
          </w:r>
          <w:hyperlink w:anchor="_Toc75446566">
            <w:r>
              <w:rPr>
                <w:webHidden/>
                <w:rStyle w:val="Style14"/>
                <w:vanish w:val="false"/>
                <w:sz w:val="24"/>
                <w:szCs w:val="24"/>
                <w:shd w:fill="auto" w:val="clear"/>
              </w:rPr>
              <w:t>1.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4"/>
                <w:szCs w:val="24"/>
                <w:shd w:fill="auto" w:val="clear"/>
              </w:rPr>
              <w:tab/>
            </w:r>
            <w:r>
              <w:rPr>
                <w:rStyle w:val="Style14"/>
                <w:sz w:val="24"/>
                <w:szCs w:val="24"/>
                <w:shd w:fill="auto" w:val="clear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  <w:shd w:fill="auto" w:val="clear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shd w:val="clear" w:fill="FFFFFF"/>
            <w:tabs>
              <w:tab w:val="clear" w:pos="708"/>
              <w:tab w:val="left" w:pos="1120" w:leader="none"/>
              <w:tab w:val="right" w:pos="9911" w:leader="dot"/>
            </w:tabs>
            <w:ind w:left="560" w:hanging="0"/>
            <w:rPr/>
          </w:pPr>
          <w:hyperlink w:anchor="_Toc75446568">
            <w:r>
              <w:rPr>
                <w:webHidden/>
                <w:rStyle w:val="Style14"/>
                <w:iCs/>
                <w:vanish w:val="false"/>
                <w:sz w:val="24"/>
                <w:szCs w:val="24"/>
                <w:shd w:fill="auto" w:val="clear"/>
              </w:rPr>
              <w:t>1.1.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  <w:shd w:fill="auto" w:val="clear"/>
              </w:rPr>
              <w:tab/>
            </w:r>
            <w:r>
              <w:rPr>
                <w:rStyle w:val="Style14"/>
                <w:sz w:val="24"/>
                <w:szCs w:val="24"/>
                <w:shd w:fill="auto" w:val="clear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  <w:shd w:fill="auto" w:val="clear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shd w:val="clear" w:fill="FFFFFF"/>
            <w:tabs>
              <w:tab w:val="clear" w:pos="708"/>
              <w:tab w:val="left" w:pos="1120" w:leader="none"/>
              <w:tab w:val="right" w:pos="9911" w:leader="dot"/>
            </w:tabs>
            <w:ind w:left="560" w:hanging="0"/>
            <w:rPr/>
          </w:pPr>
          <w:hyperlink w:anchor="_Toc75446569">
            <w:r>
              <w:rPr>
                <w:webHidden/>
                <w:rStyle w:val="Style14"/>
                <w:iCs/>
                <w:vanish w:val="false"/>
                <w:sz w:val="24"/>
                <w:szCs w:val="24"/>
                <w:shd w:fill="auto" w:val="clear"/>
              </w:rPr>
              <w:t>1.2.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  <w:shd w:fill="auto" w:val="clear"/>
              </w:rPr>
              <w:tab/>
            </w:r>
            <w:r>
              <w:rPr>
                <w:rStyle w:val="Style14"/>
                <w:sz w:val="24"/>
                <w:szCs w:val="24"/>
                <w:shd w:fill="auto" w:val="clear"/>
              </w:rPr>
              <w:t xml:space="preserve">Цель использования закупаемой продукции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  <w:shd w:fill="auto" w:val="clear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fill="FFFFFF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75446573">
            <w:r>
              <w:rPr>
                <w:webHidden/>
                <w:rStyle w:val="Style14"/>
                <w:vanish w:val="false"/>
                <w:sz w:val="24"/>
                <w:szCs w:val="24"/>
                <w:shd w:fill="auto" w:val="clear"/>
              </w:rPr>
              <w:t>2.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4"/>
                <w:szCs w:val="24"/>
                <w:shd w:fill="auto" w:val="clear"/>
              </w:rPr>
              <w:tab/>
            </w:r>
            <w:r>
              <w:rPr>
                <w:rStyle w:val="Style14"/>
                <w:iCs/>
                <w:sz w:val="24"/>
                <w:szCs w:val="24"/>
                <w:shd w:fill="auto" w:val="clear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  <w:shd w:fill="auto" w:val="clear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shd w:val="clear" w:fill="FFFFFF"/>
            <w:tabs>
              <w:tab w:val="clear" w:pos="708"/>
              <w:tab w:val="left" w:pos="1120" w:leader="none"/>
              <w:tab w:val="right" w:pos="9911" w:leader="dot"/>
            </w:tabs>
            <w:ind w:left="560" w:hanging="0"/>
            <w:rPr/>
          </w:pPr>
          <w:hyperlink w:anchor="_Toc75446574">
            <w:r>
              <w:rPr>
                <w:webHidden/>
                <w:rStyle w:val="Style14"/>
                <w:iCs/>
                <w:vanish w:val="false"/>
                <w:sz w:val="24"/>
                <w:szCs w:val="24"/>
                <w:shd w:fill="auto" w:val="clear"/>
              </w:rPr>
              <w:t>2.1.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  <w:shd w:fill="auto" w:val="clear"/>
              </w:rPr>
              <w:tab/>
            </w:r>
            <w:r>
              <w:rPr>
                <w:rStyle w:val="Style14"/>
                <w:sz w:val="24"/>
                <w:szCs w:val="24"/>
                <w:shd w:fill="auto" w:val="clear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  <w:shd w:fill="auto" w:val="clear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hd w:val="clear" w:fill="FFFFFF"/>
            <w:tabs>
              <w:tab w:val="clear" w:pos="708"/>
              <w:tab w:val="left" w:pos="1120" w:leader="none"/>
              <w:tab w:val="right" w:pos="9911" w:leader="dot"/>
            </w:tabs>
            <w:ind w:left="280" w:hanging="0"/>
            <w:rPr/>
          </w:pPr>
          <w:hyperlink w:anchor="_Toc75446575">
            <w:r>
              <w:rPr>
                <w:webHidden/>
                <w:rStyle w:val="Style14"/>
                <w:vanish w:val="false"/>
                <w:sz w:val="24"/>
                <w:szCs w:val="24"/>
                <w:shd w:fill="auto" w:val="clear"/>
              </w:rPr>
              <w:t>2.1.1.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  <w:shd w:fill="auto" w:val="clear"/>
              </w:rPr>
              <w:tab/>
            </w:r>
            <w:r>
              <w:rPr>
                <w:rStyle w:val="Style14"/>
                <w:sz w:val="24"/>
                <w:szCs w:val="24"/>
                <w:shd w:fill="auto" w:val="clear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  <w:shd w:fill="auto" w:val="clear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fill="FFFFFF"/>
            <w:tabs>
              <w:tab w:val="clear" w:pos="708"/>
              <w:tab w:val="right" w:pos="9911" w:leader="dot"/>
            </w:tabs>
            <w:rPr/>
          </w:pPr>
          <w:hyperlink w:anchor="_Toc7544657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  <w:sz w:val="24"/>
                <w:szCs w:val="24"/>
                <w:shd w:fill="auto" w:val="clear"/>
              </w:rPr>
              <w:t>Таблица 1.1 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hd w:val="clear" w:fill="FFFFFF"/>
            <w:tabs>
              <w:tab w:val="clear" w:pos="708"/>
              <w:tab w:val="left" w:pos="1120" w:leader="none"/>
              <w:tab w:val="right" w:pos="9911" w:leader="dot"/>
            </w:tabs>
            <w:ind w:left="280" w:hanging="0"/>
            <w:rPr/>
          </w:pPr>
          <w:hyperlink w:anchor="_Toc75446578">
            <w:r>
              <w:rPr>
                <w:webHidden/>
                <w:rStyle w:val="Style14"/>
                <w:vanish w:val="false"/>
                <w:sz w:val="24"/>
                <w:szCs w:val="24"/>
                <w:shd w:fill="auto" w:val="clear"/>
              </w:rPr>
              <w:t>2.1.2.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  <w:shd w:fill="auto" w:val="clear"/>
              </w:rPr>
              <w:tab/>
            </w:r>
            <w:r>
              <w:rPr>
                <w:rStyle w:val="Style14"/>
                <w:sz w:val="24"/>
                <w:szCs w:val="24"/>
                <w:shd w:fill="auto" w:val="clear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  <w:shd w:fill="auto" w:val="clear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fill="FFFFFF"/>
            <w:tabs>
              <w:tab w:val="clear" w:pos="708"/>
              <w:tab w:val="right" w:pos="9911" w:leader="dot"/>
            </w:tabs>
            <w:rPr/>
          </w:pPr>
          <w:hyperlink w:anchor="_Toc7544657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  <w:sz w:val="24"/>
                <w:szCs w:val="24"/>
                <w:shd w:fill="auto" w:val="clear"/>
              </w:rPr>
              <w:t>Таблица 2.1 Требования по срокам поставки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shd w:val="clear" w:fill="FFFFFF"/>
            <w:tabs>
              <w:tab w:val="clear" w:pos="708"/>
              <w:tab w:val="left" w:pos="1120" w:leader="none"/>
              <w:tab w:val="right" w:pos="9911" w:leader="dot"/>
            </w:tabs>
            <w:ind w:left="560" w:hanging="0"/>
            <w:rPr/>
          </w:pPr>
          <w:hyperlink w:anchor="_Toc75446581">
            <w:r>
              <w:rPr>
                <w:webHidden/>
                <w:rStyle w:val="Style14"/>
                <w:iCs/>
                <w:vanish w:val="false"/>
                <w:sz w:val="24"/>
                <w:szCs w:val="24"/>
                <w:shd w:fill="auto" w:val="clear"/>
              </w:rPr>
              <w:t>2.2.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  <w:shd w:fill="auto" w:val="clear"/>
              </w:rPr>
              <w:tab/>
            </w:r>
            <w:r>
              <w:rPr>
                <w:rStyle w:val="Style14"/>
                <w:sz w:val="24"/>
                <w:szCs w:val="24"/>
                <w:shd w:fill="auto" w:val="clear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  <w:shd w:fill="auto" w:val="clear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fill="FFFFFF"/>
            <w:tabs>
              <w:tab w:val="clear" w:pos="708"/>
              <w:tab w:val="right" w:pos="9911" w:leader="dot"/>
            </w:tabs>
            <w:rPr/>
          </w:pPr>
          <w:hyperlink w:anchor="_Toc7544658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  <w:sz w:val="24"/>
                <w:szCs w:val="24"/>
                <w:shd w:fill="auto" w:val="clear"/>
              </w:rPr>
              <w:t>Таблица 3. Требования к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fill="FFFFFF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rPr>
              <w:vanish w:val="false"/>
              <w:sz w:val="24"/>
              <w:szCs w:val="24"/>
              <w:shd w:fill="auto" w:val="clear"/>
            </w:rPr>
            <w:t>3</w:t>
          </w:r>
          <w:hyperlink w:anchor="_Toc75446573">
            <w:r>
              <w:rPr>
                <w:webHidden/>
                <w:rStyle w:val="Style14"/>
                <w:vanish w:val="false"/>
                <w:sz w:val="24"/>
                <w:szCs w:val="24"/>
                <w:shd w:fill="auto" w:val="clear"/>
              </w:rPr>
              <w:t>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vanish w:val="false"/>
                <w:sz w:val="24"/>
                <w:szCs w:val="24"/>
                <w:shd w:fill="auto" w:val="clear"/>
              </w:rPr>
              <w:tab/>
            </w:r>
            <w:r>
              <w:rPr>
                <w:rStyle w:val="Style14"/>
                <w:rFonts w:eastAsia="" w:cs=""/>
                <w:b/>
                <w:bCs/>
                <w:iCs/>
                <w:vanish w:val="false"/>
                <w:sz w:val="24"/>
                <w:szCs w:val="24"/>
                <w:shd w:fill="auto" w:val="clear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  <w:shd w:fill="auto" w:val="clear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sz w:val="24"/>
              <w:shd w:fill="auto" w:val="clear"/>
              <w:szCs w:val="24"/>
              <w:vanish w:val="false"/>
            </w:rPr>
            <w:fldChar w:fldCharType="end"/>
          </w:r>
        </w:p>
      </w:sdtContent>
    </w:sdt>
    <w:p>
      <w:pPr>
        <w:pStyle w:val="TOC1"/>
        <w:shd w:fill="FFFFFF" w:val="clear"/>
        <w:tabs>
          <w:tab w:val="clear" w:pos="708"/>
          <w:tab w:val="left" w:pos="560" w:leader="none"/>
          <w:tab w:val="right" w:pos="9911" w:leader="dot"/>
        </w:tabs>
        <w:rPr/>
      </w:pPr>
      <w:r>
        <w:rPr/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75446566"/>
      <w:bookmarkStart w:id="1" w:name="_Toc51339692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>
          <w:sz w:val="24"/>
          <w:szCs w:val="24"/>
        </w:rPr>
      </w:pPr>
      <w:bookmarkStart w:id="2" w:name="_Toc46743506"/>
      <w:bookmarkStart w:id="3" w:name="_Toc75446568"/>
      <w:r>
        <w:rPr>
          <w:sz w:val="24"/>
          <w:szCs w:val="24"/>
        </w:rPr>
        <w:t>Наименование закупаемой продукции</w:t>
      </w:r>
      <w:bookmarkEnd w:id="2"/>
      <w:bookmarkEnd w:id="3"/>
    </w:p>
    <w:p>
      <w:pPr>
        <w:pStyle w:val="Normal"/>
        <w:bidi w:val="0"/>
        <w:jc w:val="left"/>
        <w:rPr>
          <w:sz w:val="24"/>
          <w:szCs w:val="24"/>
        </w:rPr>
      </w:pPr>
      <w:r>
        <w:rPr>
          <w:rFonts w:eastAsia="Calibri" w:cs="Times New Roman" w:ascii="Times New Roman;Times;serif" w:hAnsi="Times New Roman;Times;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  <w:lang w:eastAsia="x-none"/>
        </w:rPr>
        <w:t xml:space="preserve">ОКПД2 </w:t>
      </w:r>
      <w:r>
        <w:rPr>
          <w:rFonts w:eastAsia="Arial Unicode MS" w:cs="Times New Roman" w:ascii="Times New Roman;Times;serif" w:hAnsi="Times New Roman;Times;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A"/>
          <w:spacing w:val="0"/>
          <w:kern w:val="2"/>
          <w:sz w:val="24"/>
          <w:szCs w:val="24"/>
          <w:u w:val="none"/>
          <w:em w:val="none"/>
          <w:lang w:eastAsia="en-US"/>
        </w:rPr>
        <w:t>27.11.61.120</w:t>
      </w:r>
      <w:r>
        <w:rPr>
          <w:rFonts w:eastAsia="Calibri" w:cs="Times New Roman" w:ascii="Times New Roman;Times;serif" w:hAnsi="Times New Roman;Times;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  <w:lang w:eastAsia="x-none"/>
        </w:rPr>
        <w:t xml:space="preserve">. </w:t>
      </w:r>
      <w:r>
        <w:rPr>
          <w:rFonts w:eastAsia="Arial Unicode MS" w:cs="Times New Roman" w:ascii="Times New Roman;Times;serif" w:hAnsi="Times New Roman;Times;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A"/>
          <w:spacing w:val="0"/>
          <w:kern w:val="2"/>
          <w:sz w:val="24"/>
          <w:szCs w:val="24"/>
          <w:u w:val="none"/>
          <w:em w:val="none"/>
          <w:lang w:eastAsia="en-US"/>
        </w:rPr>
        <w:t xml:space="preserve">Поставка стержней обмотки статора генератора для </w:t>
      </w:r>
      <w:r>
        <w:rPr>
          <w:rFonts w:eastAsia="Calibri" w:cs="Times New Roman" w:ascii="Times New Roman;Times;serif" w:hAnsi="Times New Roman;Times;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6"/>
          <w:szCs w:val="24"/>
          <w:u w:val="none"/>
          <w:em w:val="none"/>
          <w:lang w:eastAsia="en-US"/>
        </w:rPr>
        <w:t>работ на Нижегородской  ГЭС</w:t>
      </w:r>
      <w:r>
        <w:rPr>
          <w:rFonts w:eastAsia="Calibri"/>
          <w:i w:val="false"/>
          <w:iCs w:val="false"/>
          <w:sz w:val="24"/>
          <w:szCs w:val="24"/>
          <w:lang w:eastAsia="x-none"/>
        </w:rPr>
        <w:t xml:space="preserve"> (далее – продукция).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>
          <w:sz w:val="24"/>
          <w:szCs w:val="24"/>
        </w:rPr>
      </w:pPr>
      <w:bookmarkStart w:id="4" w:name="_Toc75446569"/>
      <w:bookmarkStart w:id="5" w:name="_Toc46743507"/>
      <w:r>
        <w:rPr>
          <w:sz w:val="24"/>
          <w:szCs w:val="24"/>
        </w:rPr>
        <w:t xml:space="preserve">Цель </w:t>
      </w:r>
      <w:bookmarkEnd w:id="5"/>
      <w:r>
        <w:rPr>
          <w:sz w:val="24"/>
          <w:szCs w:val="24"/>
          <w:lang w:val="ru-RU"/>
        </w:rPr>
        <w:t>использования закупаемой продукции</w:t>
      </w:r>
      <w:bookmarkEnd w:id="4"/>
    </w:p>
    <w:p>
      <w:pPr>
        <w:pStyle w:val="Normal"/>
        <w:widowControl/>
        <w:suppressAutoHyphens w:val="true"/>
        <w:bidi w:val="0"/>
        <w:spacing w:before="0" w:after="0"/>
        <w:ind w:left="0" w:right="0" w:hanging="0"/>
        <w:jc w:val="both"/>
        <w:rPr/>
      </w:pPr>
      <w:r>
        <w:rPr>
          <w:rFonts w:eastAsia="Times New Roman" w:cs="Times New Roman"/>
          <w:bCs/>
          <w:sz w:val="24"/>
          <w:szCs w:val="24"/>
          <w:shd w:fill="FFFFFF" w:val="clear"/>
          <w:lang w:eastAsia="ru-RU"/>
        </w:rPr>
        <w:t>Исполнение доходного договора:</w:t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0"/>
        <w:jc w:val="both"/>
        <w:rPr/>
      </w:pP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sz w:val="24"/>
          <w:szCs w:val="24"/>
          <w:shd w:fill="auto" w:val="clear"/>
          <w:lang w:eastAsia="ru-RU"/>
        </w:rPr>
        <w:t>-</w:t>
      </w: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 №1240-129-2021 от 12.07.2021 «Строительно-монтажные и пусконаладочные работы по замене гидроагрегата ст.№1,4,7» для нужд филиала ПАО «РусГидро»-«Нижегородская ГЭС» </w:t>
      </w: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sz w:val="24"/>
          <w:szCs w:val="24"/>
          <w:shd w:fill="auto" w:val="clear"/>
          <w:lang w:eastAsia="ru-RU"/>
        </w:rPr>
        <w:t>(заключенный между ПАО «РусГидро» и АО «Гидроремонт-ВКК»)</w:t>
      </w: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</w:rPr>
        <w:t>.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6" w:name="_Toc75446573"/>
      <w:bookmarkStart w:id="7" w:name="_Toc51339693"/>
      <w:r>
        <w:rPr>
          <w:iCs/>
          <w:sz w:val="24"/>
          <w:szCs w:val="24"/>
        </w:rPr>
        <w:t>Требования к 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>
          <w:sz w:val="24"/>
          <w:szCs w:val="24"/>
        </w:rPr>
      </w:pPr>
      <w:bookmarkStart w:id="8" w:name="_Toc75446574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>
          <w:sz w:val="24"/>
          <w:szCs w:val="24"/>
        </w:rPr>
      </w:pPr>
      <w:bookmarkStart w:id="9" w:name="_Toc75446575"/>
      <w:r>
        <w:rPr>
          <w:sz w:val="24"/>
          <w:szCs w:val="24"/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55"/>
        <w:gridCol w:w="5100"/>
        <w:gridCol w:w="2220"/>
        <w:gridCol w:w="5"/>
        <w:gridCol w:w="1929"/>
      </w:tblGrid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336" w:hRule="atLeast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51"/>
              <w:widowControl w:val="false"/>
              <w:tabs>
                <w:tab w:val="clear" w:pos="708"/>
                <w:tab w:val="left" w:pos="567" w:leader="none"/>
              </w:tabs>
              <w:spacing w:lineRule="auto" w:line="240" w:before="0" w:after="0"/>
              <w:ind w:left="567" w:hanging="567"/>
              <w:contextualSpacing w:val="false"/>
              <w:rPr/>
            </w:pPr>
            <w:r>
              <w:rPr/>
              <w:t>Стержень нижний</w:t>
            </w:r>
          </w:p>
        </w:tc>
        <w:tc>
          <w:tcPr>
            <w:tcW w:w="2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шт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336" w:hRule="atLeast"/>
        </w:trPr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5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51"/>
              <w:widowControl w:val="false"/>
              <w:tabs>
                <w:tab w:val="clear" w:pos="708"/>
                <w:tab w:val="left" w:pos="538" w:leader="none"/>
                <w:tab w:val="left" w:pos="567" w:leader="none"/>
              </w:tabs>
              <w:spacing w:lineRule="auto" w:line="240" w:before="0" w:after="0"/>
              <w:ind w:left="567" w:hanging="567"/>
              <w:contextualSpacing w:val="false"/>
              <w:rPr/>
            </w:pPr>
            <w:r>
              <w:rPr/>
              <w:t>Стержень нижний выводной</w:t>
            </w:r>
          </w:p>
        </w:tc>
        <w:tc>
          <w:tcPr>
            <w:tcW w:w="222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sz w:val="24"/>
          <w:szCs w:val="24"/>
        </w:rPr>
      </w:pPr>
      <w:bookmarkStart w:id="12" w:name="_Toc75446578"/>
      <w:bookmarkStart w:id="13" w:name="_Toc51339696"/>
      <w:r>
        <w:rPr>
          <w:sz w:val="24"/>
          <w:szCs w:val="24"/>
          <w:lang w:val="ru-RU"/>
        </w:rPr>
        <w:t xml:space="preserve">Требования </w:t>
      </w:r>
      <w:bookmarkEnd w:id="13"/>
      <w:r>
        <w:rPr>
          <w:sz w:val="24"/>
          <w:szCs w:val="24"/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0125127"/>
      <w:bookmarkStart w:id="16" w:name="_Toc51339697"/>
      <w:bookmarkStart w:id="17" w:name="_Toc50125126_Копия_1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tbl>
      <w:tblPr>
        <w:tblW w:w="9916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5"/>
        <w:gridCol w:w="5109"/>
        <w:gridCol w:w="2106"/>
        <w:gridCol w:w="2025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bidi w:val="0"/>
              <w:spacing w:before="0" w:after="0"/>
              <w:ind w:left="567" w:right="0" w:hanging="0"/>
              <w:jc w:val="left"/>
              <w:rPr>
                <w:b w:val="false"/>
                <w:bCs w:val="false"/>
              </w:rPr>
            </w:pPr>
            <w:r>
              <w:rPr>
                <w:rFonts w:eastAsia="Calibri" w:cs="Times New Roman" w:ascii="Times New Roman;Times;serif" w:hAnsi="Times New Roman;Times;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 xml:space="preserve">ОКПД2 </w:t>
            </w:r>
            <w:r>
              <w:rPr>
                <w:rFonts w:eastAsia="Arial Unicode MS" w:cs="Times New Roman" w:ascii="Times New Roman;Times;serif" w:hAnsi="Times New Roman;Times;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A"/>
                <w:kern w:val="2"/>
                <w:sz w:val="24"/>
                <w:szCs w:val="24"/>
                <w:u w:val="none"/>
                <w:em w:val="none"/>
                <w:lang w:val="ru-RU" w:eastAsia="en-US" w:bidi="ar-SA"/>
              </w:rPr>
              <w:t>27.11.61.120</w:t>
            </w:r>
            <w:r>
              <w:rPr>
                <w:rFonts w:eastAsia="Calibri" w:cs="Times New Roman" w:ascii="Times New Roman;Times;serif" w:hAnsi="Times New Roman;Times;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 xml:space="preserve">. </w:t>
            </w:r>
            <w:r>
              <w:rPr>
                <w:rFonts w:eastAsia="Arial Unicode MS" w:cs="Times New Roman" w:ascii="Times New Roman;Times;serif" w:hAnsi="Times New Roman;Times;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A"/>
                <w:kern w:val="2"/>
                <w:sz w:val="24"/>
                <w:szCs w:val="24"/>
                <w:u w:val="none"/>
                <w:em w:val="none"/>
                <w:lang w:val="ru-RU" w:eastAsia="en-US" w:bidi="ar-SA"/>
              </w:rPr>
              <w:t xml:space="preserve">Поставка стержней обмотки статора генератора для </w:t>
            </w:r>
            <w:r>
              <w:rPr>
                <w:rFonts w:eastAsia="Calibri" w:cs="Times New Roman" w:ascii="Times New Roman;Times;serif" w:hAnsi="Times New Roman;Times;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6"/>
                <w:szCs w:val="24"/>
                <w:u w:val="none"/>
                <w:em w:val="none"/>
                <w:lang w:val="ru-RU" w:eastAsia="en-US" w:bidi="ar-SA"/>
              </w:rPr>
              <w:t>работ на Нижегородской  ГЭС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В течение </w:t>
            </w:r>
            <w:r>
              <w:rPr>
                <w:sz w:val="24"/>
                <w:szCs w:val="24"/>
                <w:shd w:fill="auto" w:val="clear"/>
              </w:rPr>
              <w:t>11 месяцев с дат</w:t>
            </w:r>
            <w:r>
              <w:rPr>
                <w:sz w:val="24"/>
                <w:szCs w:val="24"/>
              </w:rPr>
              <w:t>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>
          <w:sz w:val="24"/>
          <w:szCs w:val="24"/>
        </w:rPr>
      </w:pPr>
      <w:bookmarkStart w:id="19" w:name="_Toc51339698"/>
      <w:bookmarkStart w:id="20" w:name="_Toc75446581"/>
      <w:bookmarkStart w:id="21" w:name="_Toc46743511"/>
      <w:bookmarkStart w:id="22" w:name="_Toc46743510_Копия_1_Копия_1"/>
      <w:bookmarkEnd w:id="22"/>
      <w:r>
        <w:rPr>
          <w:sz w:val="24"/>
          <w:szCs w:val="24"/>
        </w:rPr>
        <w:t xml:space="preserve">Требования к </w:t>
      </w:r>
      <w:bookmarkEnd w:id="21"/>
      <w:r>
        <w:rPr>
          <w:sz w:val="24"/>
          <w:szCs w:val="24"/>
          <w:lang w:val="ru-RU"/>
        </w:rPr>
        <w:t>качеству продукции</w:t>
      </w:r>
      <w:bookmarkEnd w:id="20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.1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jc w:val="both"/>
        <w:rPr/>
      </w:pPr>
      <w:r>
        <w:rPr>
          <w:b/>
          <w:bCs/>
          <w:i/>
          <w:iCs/>
          <w:sz w:val="24"/>
          <w:szCs w:val="24"/>
        </w:rPr>
        <w:t>Н</w:t>
      </w:r>
      <w:r>
        <w:rPr>
          <w:b/>
          <w:bCs/>
          <w:i/>
          <w:iCs/>
          <w:sz w:val="24"/>
          <w:szCs w:val="24"/>
          <w:shd w:fill="auto" w:val="clear"/>
        </w:rPr>
        <w:t>аименование продукции (позиция №</w:t>
      </w:r>
      <w:r>
        <w:rPr>
          <w:rStyle w:val="Style8"/>
          <w:b w:val="false"/>
          <w:bCs/>
          <w:iCs/>
          <w:sz w:val="24"/>
          <w:szCs w:val="24"/>
          <w:shd w:fill="auto" w:val="clear"/>
        </w:rPr>
        <w:t xml:space="preserve">1 </w:t>
      </w:r>
      <w:r>
        <w:rPr>
          <w:b/>
          <w:bCs/>
          <w:i/>
          <w:iCs/>
          <w:sz w:val="24"/>
          <w:szCs w:val="24"/>
          <w:shd w:fill="auto" w:val="clear"/>
        </w:rPr>
        <w:t xml:space="preserve">Таблицы 1.1): </w:t>
      </w:r>
      <w:r>
        <w:rPr>
          <w:rStyle w:val="Style8"/>
          <w:rFonts w:eastAsia="Calibri" w:cs="Times New Roman" w:ascii="Times New Roman;Times;serif" w:hAnsi="Times New Roman;Times;serif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shd w:fill="auto" w:val="clear"/>
          <w:em w:val="none"/>
          <w:lang w:val="ru-RU" w:eastAsia="en-US" w:bidi="ar-SA"/>
        </w:rPr>
        <w:t xml:space="preserve">ОКПД2 </w:t>
      </w:r>
      <w:r>
        <w:rPr>
          <w:rStyle w:val="Style8"/>
          <w:rFonts w:eastAsia="Arial Unicode MS" w:cs="Times New Roman" w:ascii="Times New Roman;Times;serif" w:hAnsi="Times New Roman;Times;serif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shd w:fill="auto" w:val="clear"/>
          <w:em w:val="none"/>
          <w:lang w:val="ru-RU" w:eastAsia="en-US" w:bidi="ar-SA"/>
        </w:rPr>
        <w:t>27.11.61.120</w:t>
      </w:r>
      <w:r>
        <w:rPr>
          <w:rStyle w:val="Style8"/>
          <w:rFonts w:eastAsia="Calibri" w:cs="Times New Roman" w:ascii="Times New Roman;Times;serif" w:hAnsi="Times New Roman;Times;serif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shd w:fill="auto" w:val="clear"/>
          <w:em w:val="none"/>
          <w:lang w:val="ru-RU" w:eastAsia="en-US" w:bidi="ar-SA"/>
        </w:rPr>
        <w:t xml:space="preserve">. </w:t>
      </w:r>
      <w:r>
        <w:rPr>
          <w:rStyle w:val="Style8"/>
          <w:rFonts w:eastAsia="Arial Unicode MS" w:cs="Times New Roman" w:ascii="Times New Roman;Times;serif" w:hAnsi="Times New Roman;Times;serif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shd w:fill="auto" w:val="clear"/>
          <w:em w:val="none"/>
          <w:lang w:val="ru-RU" w:eastAsia="en-US" w:bidi="ar-SA"/>
        </w:rPr>
        <w:t xml:space="preserve">Поставка стержней обмотки статора генератора для </w:t>
      </w:r>
      <w:r>
        <w:rPr>
          <w:rStyle w:val="Style8"/>
          <w:rFonts w:eastAsia="Calibri" w:cs="Times New Roman" w:ascii="Times New Roman;Times;serif" w:hAnsi="Times New Roman;Times;serif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6"/>
          <w:szCs w:val="24"/>
          <w:u w:val="none"/>
          <w:shd w:fill="auto" w:val="clear"/>
          <w:em w:val="none"/>
          <w:lang w:val="ru-RU" w:eastAsia="en-US" w:bidi="ar-SA"/>
        </w:rPr>
        <w:t>работ на Нижегородской  ГЭС</w:t>
      </w:r>
    </w:p>
    <w:tbl>
      <w:tblPr>
        <w:tblStyle w:val="af"/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454"/>
        <w:gridCol w:w="3100"/>
        <w:gridCol w:w="2887"/>
        <w:gridCol w:w="3452"/>
        <w:gridCol w:w="4342"/>
        <w:gridCol w:w="74"/>
      </w:tblGrid>
      <w:tr>
        <w:trPr/>
        <w:tc>
          <w:tcPr>
            <w:tcW w:w="14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5987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34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4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Соответствие стандартам</w:t>
            </w:r>
          </w:p>
        </w:tc>
      </w:tr>
      <w:tr>
        <w:trPr/>
        <w:tc>
          <w:tcPr>
            <w:tcW w:w="14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987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434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4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781" w:type="dxa"/>
            <w:gridSpan w:val="4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987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51"/>
              <w:widowControl w:val="false"/>
              <w:tabs>
                <w:tab w:val="clear" w:pos="708"/>
                <w:tab w:val="left" w:pos="567" w:leader="none"/>
              </w:tabs>
              <w:spacing w:lineRule="auto" w:line="240" w:before="0" w:after="0"/>
              <w:ind w:left="567" w:hanging="567"/>
              <w:contextualSpacing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Стержень нижний</w:t>
            </w:r>
          </w:p>
        </w:tc>
        <w:tc>
          <w:tcPr>
            <w:tcW w:w="34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чертежу</w:t>
            </w:r>
          </w:p>
        </w:tc>
        <w:tc>
          <w:tcPr>
            <w:tcW w:w="4342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5БС.542.436-03</w:t>
            </w:r>
          </w:p>
        </w:tc>
        <w:tc>
          <w:tcPr>
            <w:tcW w:w="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r>
          </w:p>
        </w:tc>
      </w:tr>
      <w:tr>
        <w:trPr/>
        <w:tc>
          <w:tcPr>
            <w:tcW w:w="14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987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51"/>
              <w:widowControl w:val="false"/>
              <w:tabs>
                <w:tab w:val="clear" w:pos="708"/>
                <w:tab w:val="left" w:pos="538" w:leader="none"/>
                <w:tab w:val="left" w:pos="567" w:leader="none"/>
              </w:tabs>
              <w:spacing w:lineRule="auto" w:line="240" w:before="0" w:after="0"/>
              <w:ind w:left="567" w:hanging="567"/>
              <w:contextualSpacing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Стержень нижний выводной</w:t>
            </w:r>
          </w:p>
        </w:tc>
        <w:tc>
          <w:tcPr>
            <w:tcW w:w="3452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pacing w:before="0" w:after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Соответствие чертежу</w:t>
            </w:r>
          </w:p>
        </w:tc>
        <w:tc>
          <w:tcPr>
            <w:tcW w:w="4342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BodyText"/>
              <w:widowControl w:val="false"/>
              <w:spacing w:before="0" w:after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5БС.542.436-06</w:t>
            </w:r>
          </w:p>
        </w:tc>
        <w:tc>
          <w:tcPr>
            <w:tcW w:w="74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pacing w:before="0" w:after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4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855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14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3100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10755" w:type="dxa"/>
            <w:gridSpan w:val="4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Производственный участок АО "Гидроремонт-ВКК" в г. Заволжье, 606521, Нижегородская область, Городецкий район, г. Заволжье, Нижегородская ГЭС.</w:t>
            </w:r>
          </w:p>
        </w:tc>
      </w:tr>
      <w:tr>
        <w:trPr/>
        <w:tc>
          <w:tcPr>
            <w:tcW w:w="14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left="-57" w:righ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2.2</w:t>
            </w:r>
          </w:p>
        </w:tc>
        <w:tc>
          <w:tcPr>
            <w:tcW w:w="310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продукции</w:t>
            </w:r>
          </w:p>
        </w:tc>
        <w:tc>
          <w:tcPr>
            <w:tcW w:w="1075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sz w:val="24"/>
                <w:szCs w:val="24"/>
              </w:rPr>
              <w:t>Приемка продукции осуществляется только в рабочие дни с 9-00 до 11-00 и с 13-00 до 16-00.</w:t>
            </w:r>
          </w:p>
        </w:tc>
      </w:tr>
      <w:tr>
        <w:trPr/>
        <w:tc>
          <w:tcPr>
            <w:tcW w:w="14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2.3</w:t>
            </w:r>
          </w:p>
        </w:tc>
        <w:tc>
          <w:tcPr>
            <w:tcW w:w="13855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>
        <w:trPr/>
        <w:tc>
          <w:tcPr>
            <w:tcW w:w="14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2.4</w:t>
            </w:r>
          </w:p>
        </w:tc>
        <w:tc>
          <w:tcPr>
            <w:tcW w:w="13855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Продукция, поставляемая по Договору, должна отгружаться Поставщиком в таре и упаковке,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хранения, в том числе в местностях с неблагоприятными климатическими условиями.</w:t>
            </w:r>
          </w:p>
        </w:tc>
      </w:tr>
      <w:tr>
        <w:trPr/>
        <w:tc>
          <w:tcPr>
            <w:tcW w:w="14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13855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14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310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sz w:val="24"/>
                <w:szCs w:val="24"/>
                <w:lang w:eastAsia="x-none"/>
              </w:rPr>
              <w:t>Сроки гарантии</w:t>
            </w:r>
          </w:p>
        </w:tc>
        <w:tc>
          <w:tcPr>
            <w:tcW w:w="10755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 w:val="24"/>
                <w:szCs w:val="24"/>
              </w:rPr>
              <w:t>Не менее 12 (двенадцати)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>
        <w:trPr/>
        <w:tc>
          <w:tcPr>
            <w:tcW w:w="14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13855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14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310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u w:val="none"/>
              </w:rPr>
              <w:t>Документы, передаваемые вместе с продукцией</w:t>
            </w:r>
          </w:p>
        </w:tc>
        <w:tc>
          <w:tcPr>
            <w:tcW w:w="10755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u w:val="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унифицированной формы ТОРГ-12(УПД) в 2 экз.</w:t>
            </w:r>
          </w:p>
        </w:tc>
      </w:tr>
      <w:tr>
        <w:trPr/>
        <w:tc>
          <w:tcPr>
            <w:tcW w:w="14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13855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по маркировке и упаковке товара</w:t>
            </w:r>
          </w:p>
        </w:tc>
      </w:tr>
      <w:tr>
        <w:trPr/>
        <w:tc>
          <w:tcPr>
            <w:tcW w:w="14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5.1</w:t>
            </w:r>
          </w:p>
        </w:tc>
        <w:tc>
          <w:tcPr>
            <w:tcW w:w="13855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1276" w:leader="none"/>
                <w:tab w:val="left" w:pos="1418" w:leader="none"/>
              </w:tabs>
              <w:spacing w:lineRule="auto" w:line="240" w:before="0" w:after="57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Продукция, упаковка, тара должны быть надлежащим образом промаркированы. На таре и упаковке должны быть указаны: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1276" w:leader="none"/>
                <w:tab w:val="left" w:pos="1418" w:leader="none"/>
              </w:tabs>
              <w:spacing w:lineRule="auto" w:line="240" w:before="0" w:after="57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наименование и адрес грузоотправителя и грузополучателя;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1276" w:leader="none"/>
                <w:tab w:val="left" w:pos="1418" w:leader="none"/>
              </w:tabs>
              <w:spacing w:lineRule="auto" w:line="240" w:before="0" w:after="57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номер Товарной накладной и/или Товарно-транспортной накладной;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1276" w:leader="none"/>
                <w:tab w:val="left" w:pos="1418" w:leader="none"/>
              </w:tabs>
              <w:spacing w:lineRule="auto" w:line="240" w:before="0" w:after="57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вес, брутто/нетто каждого места;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1276" w:leader="none"/>
                <w:tab w:val="left" w:pos="1418" w:leader="none"/>
              </w:tabs>
              <w:spacing w:lineRule="auto" w:line="240" w:before="0" w:after="57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наименование Продукции;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1276" w:leader="none"/>
                <w:tab w:val="left" w:pos="1418" w:leader="none"/>
              </w:tabs>
              <w:spacing w:lineRule="auto" w:line="240" w:before="0" w:after="57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номера мест и их общее количество;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1276" w:leader="none"/>
                <w:tab w:val="left" w:pos="1418" w:leader="none"/>
              </w:tabs>
              <w:spacing w:lineRule="auto" w:line="240" w:before="0" w:after="57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весогабаритные характеристики мест;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1276" w:leader="none"/>
                <w:tab w:val="left" w:pos="1418" w:leader="none"/>
              </w:tabs>
              <w:spacing w:lineRule="auto" w:line="240" w:before="0" w:after="57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центр тяжести;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1276" w:leader="none"/>
                <w:tab w:val="left" w:pos="1418" w:leader="none"/>
              </w:tabs>
              <w:spacing w:lineRule="auto" w:line="240" w:before="0" w:after="57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условия хранения;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1276" w:leader="none"/>
                <w:tab w:val="left" w:pos="1418" w:leader="none"/>
              </w:tabs>
              <w:spacing w:lineRule="auto" w:line="240" w:before="0" w:after="57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обозначения типа «не бросать» и другие обычно используемые обозначения.</w:t>
            </w:r>
          </w:p>
        </w:tc>
      </w:tr>
      <w:tr>
        <w:trPr/>
        <w:tc>
          <w:tcPr>
            <w:tcW w:w="14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5.2</w:t>
            </w:r>
          </w:p>
        </w:tc>
        <w:tc>
          <w:tcPr>
            <w:tcW w:w="13855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1276" w:leader="none"/>
                <w:tab w:val="left" w:pos="1418" w:leader="none"/>
              </w:tabs>
              <w:spacing w:lineRule="auto" w:line="240" w:before="0" w:after="0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тары и упаковки включена в Цену Договора; тара и упаковка возврату не подлежат.</w:t>
            </w:r>
          </w:p>
        </w:tc>
      </w:tr>
      <w:tr>
        <w:trPr/>
        <w:tc>
          <w:tcPr>
            <w:tcW w:w="14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6.</w:t>
            </w:r>
          </w:p>
        </w:tc>
        <w:tc>
          <w:tcPr>
            <w:tcW w:w="13855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>
        <w:trPr/>
        <w:tc>
          <w:tcPr>
            <w:tcW w:w="14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6.1</w:t>
            </w:r>
          </w:p>
        </w:tc>
        <w:tc>
          <w:tcPr>
            <w:tcW w:w="13855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Продукция должна быть новой, ранее не использовавшейся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extDirection w:val="lrTb"/>
          <w:docGrid w:type="default" w:linePitch="381" w:charSpace="0"/>
        </w:sectPr>
      </w:pPr>
      <w:r>
        <w:br w:type="page"/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709" w:leader="none"/>
        </w:tabs>
        <w:suppressAutoHyphens w:val="true"/>
        <w:overflowPunct w:val="true"/>
        <w:bidi w:val="0"/>
        <w:spacing w:before="0" w:after="0"/>
        <w:ind w:left="737" w:right="0" w:hanging="0"/>
        <w:jc w:val="left"/>
        <w:rPr/>
      </w:pPr>
      <w:r>
        <w:rPr>
          <w:b/>
          <w:bCs/>
          <w:lang w:val="ru-RU"/>
        </w:rPr>
        <w:t>2.2</w:t>
      </w:r>
      <w:r>
        <w:rPr>
          <w:b/>
          <w:bCs/>
        </w:rPr>
        <w:tab/>
        <w:t>Требования к качеству продукции</w:t>
      </w:r>
    </w:p>
    <w:p>
      <w:pPr>
        <w:pStyle w:val="Normal"/>
        <w:bidi w:val="0"/>
        <w:spacing w:before="0" w:after="0"/>
        <w:jc w:val="both"/>
        <w:rPr/>
      </w:pPr>
      <w:r>
        <w:rPr>
          <w:lang w:val="ru-RU" w:eastAsia="ru-RU" w:bidi="ar-SA"/>
        </w:rPr>
        <w:tab/>
        <w:t>2.2.1. 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</w:r>
    </w:p>
    <w:p>
      <w:pPr>
        <w:pStyle w:val="Normal"/>
        <w:bidi w:val="0"/>
        <w:spacing w:before="0" w:after="0"/>
        <w:jc w:val="both"/>
        <w:rPr/>
      </w:pPr>
      <w:r>
        <w:rPr>
          <w:lang w:val="ru-RU" w:eastAsia="ru-RU" w:bidi="ar-SA"/>
        </w:rPr>
        <w:tab/>
        <w:t>2.2.2. Продукция поставщика должна быть пригодна для ремонта гидроагрегатов и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стандартов, поставщик обязан согласовывать это с Покупателем.</w:t>
      </w:r>
    </w:p>
    <w:p>
      <w:pPr>
        <w:pStyle w:val="Normal"/>
        <w:bidi w:val="0"/>
        <w:spacing w:before="0" w:after="0"/>
        <w:jc w:val="both"/>
        <w:rPr/>
      </w:pPr>
      <w:r>
        <w:rPr>
          <w:lang w:val="ru-RU" w:eastAsia="ru-RU" w:bidi="ar-SA"/>
        </w:rPr>
        <w:tab/>
      </w:r>
      <w:r>
        <w:rPr>
          <w:lang w:eastAsia="x-none"/>
        </w:rPr>
        <w:t>2.2.3. Покупателем чертежи и конструкторская документация на продукцию не предоставляются. Победитель обязан самостоятельно урегулировать с третьими лицами все вопросы необходимости использования прав третьих лиц на охраняемые результаты интеллектуальной деятельности и на средства индивидуализации при производстве Победителем продукции. Продукция должна не нарушать права третьих лиц на охраняемые результат интеллектуальной деятельности и на средства индивидуализации</w:t>
      </w:r>
    </w:p>
    <w:p>
      <w:pPr>
        <w:pStyle w:val="Normal"/>
        <w:bidi w:val="0"/>
        <w:spacing w:before="0" w:after="0"/>
        <w:jc w:val="both"/>
        <w:rPr/>
      </w:pPr>
      <w:r>
        <w:rPr>
          <w:lang w:eastAsia="x-none"/>
        </w:rPr>
        <w:tab/>
        <w:t>2.2.4. Победитель гарантирует предварительно самостоятельно и за свой счет урегулировать с правообладателями прав на охраняемые результат интеллектуальной деятельности и на средства индивидуализации все вопросы связанные с использованием</w:t>
      </w:r>
      <w:r>
        <w:rPr>
          <w:lang w:val="en-US" w:eastAsia="x-none"/>
        </w:rPr>
        <w:t> </w:t>
      </w:r>
      <w:r>
        <w:rPr>
          <w:lang w:eastAsia="x-none"/>
        </w:rPr>
        <w:t xml:space="preserve"> прав третьих лиц на охраняемые</w:t>
      </w:r>
      <w:r>
        <w:rPr>
          <w:lang w:val="en-US" w:eastAsia="x-none"/>
        </w:rPr>
        <w:t> </w:t>
      </w:r>
      <w:r>
        <w:rPr>
          <w:lang w:eastAsia="x-none"/>
        </w:rPr>
        <w:t xml:space="preserve"> результаты интеллектуальной деятельности и средства индивидуализации в случае необходимости их использования при производстве продукции Победителем, а также по первому требованию Покупателя в течение 3 (трех) рабочих дней предоставить документы, подтверждающие соблюдение прав третьих лиц на охраняемые результаты интеллектуальной деятельности и на средства индивидуализации, а равно документы, подтверждающие законность использования Победителем прав третьих лиц на охраняемые результаты интеллектуальной деятельности и на средства индивидуализации при производстве и введении в гражданский оборот продукции, произведенной Победителем.</w:t>
      </w:r>
    </w:p>
    <w:p>
      <w:pPr>
        <w:pStyle w:val="Normal"/>
        <w:bidi w:val="0"/>
        <w:spacing w:before="0" w:after="0"/>
        <w:jc w:val="both"/>
        <w:rPr/>
      </w:pPr>
      <w:r>
        <w:rPr>
          <w:lang w:eastAsia="x-none"/>
        </w:rPr>
        <w:tab/>
        <w:t>2.2.5 В случае поступления каких-либо претензий, требований, исков в адрес Покупателя от любых третьих лиц в отношении результатов интеллектуальной деятельности и средств индивидуализации, в том числе от любых иных лиц чьи права на результаты интеллектуальной деятельности были нарушены и (или) могли быть нарушены Победитель обязуется незамедлительно после получения соответствующего сообщения от Покупателя в полном объёме</w:t>
      </w:r>
      <w:r>
        <w:rPr>
          <w:lang w:val="en-US" w:eastAsia="x-none"/>
        </w:rPr>
        <w:t> </w:t>
      </w:r>
      <w:r>
        <w:rPr>
          <w:lang w:eastAsia="x-none"/>
        </w:rPr>
        <w:t>урегулировать с этими третьими лицами все вышеуказанные претензии, требования, исковые требования своими силами и за свой счет. В случае нарушения данного условия Победитель обязан возместить Покупателю в полном объеме все понесенные Покупателем убытки в течение 3 (трех) рабочих дней с момента предъявления соответствующего требования Покупателя.</w:t>
      </w:r>
    </w:p>
    <w:p>
      <w:pPr>
        <w:pStyle w:val="Normal"/>
        <w:jc w:val="both"/>
        <w:rPr>
          <w:sz w:val="16"/>
          <w:szCs w:val="22"/>
          <w:lang w:val="ru-RU" w:eastAsia="ru-RU" w:bidi="ar-SA"/>
        </w:rPr>
      </w:pPr>
      <w:r>
        <w:rPr>
          <w:sz w:val="16"/>
          <w:szCs w:val="22"/>
          <w:lang w:val="ru-RU" w:eastAsia="ru-RU" w:bidi="ar-SA"/>
        </w:rPr>
      </w:r>
    </w:p>
    <w:p>
      <w:pPr>
        <w:pStyle w:val="Heading1"/>
        <w:numPr>
          <w:ilvl w:val="0"/>
          <w:numId w:val="0"/>
        </w:numPr>
        <w:tabs>
          <w:tab w:val="clear" w:pos="708"/>
          <w:tab w:val="left" w:pos="0" w:leader="none"/>
        </w:tabs>
        <w:spacing w:before="120" w:after="60"/>
        <w:ind w:left="357" w:right="0" w:hanging="0"/>
        <w:jc w:val="center"/>
        <w:rPr>
          <w:rFonts w:eastAsia="Times New Roman" w:cs="Times New Roman"/>
          <w:i w:val="false"/>
          <w:i w:val="false"/>
          <w:iCs w:val="false"/>
          <w:sz w:val="24"/>
          <w:szCs w:val="24"/>
          <w:lang w:val="ru-RU" w:eastAsia="ru-RU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altName w:val="Times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highlight w:val="none"/>
        <w:shd w:fill="FFFFFF" w:val="clear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4</w: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8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83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hd w:val="clear" w:fill="FFFFFF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paragraph" w:styleId="51">
    <w:name w:val="Абзац списка5"/>
    <w:basedOn w:val="Normal"/>
    <w:qFormat/>
    <w:pPr>
      <w:widowControl w:val="false"/>
      <w:spacing w:lineRule="auto" w:line="276" w:before="0" w:after="200"/>
      <w:contextualSpacing/>
    </w:pPr>
    <w:rPr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AFEB1-EE9B-4389-AAC3-7FFE8013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6318</TotalTime>
  <Application>AlterOffice/3.4.0.9$Linux_X86_64 LibreOffice_project/b8daf9e823b1a5463a2f48435ddc2e8696e7d4fc</Application>
  <AppVersion>15.0000</AppVersion>
  <Pages>7</Pages>
  <Words>995</Words>
  <Characters>6935</Characters>
  <CharactersWithSpaces>7806</CharactersWithSpaces>
  <Paragraphs>132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kudryavtsevaen@corp.gidroogk.com</cp:lastModifiedBy>
  <cp:lastPrinted>2026-10-16T16:04:24Z</cp:lastPrinted>
  <dcterms:modified xsi:type="dcterms:W3CDTF">2026-10-16T16:03:16Z</dcterms:modified>
  <cp:revision>46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