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2489"/>
        <w:gridCol w:w="3217"/>
        <w:gridCol w:w="5371"/>
        <w:gridCol w:w="2186"/>
        <w:gridCol w:w="2183"/>
      </w:tblGrid>
      <w:tr w:rsidR="00BC0191" w:rsidRPr="00BC0191" w:rsidTr="00BC0191">
        <w:tc>
          <w:tcPr>
            <w:tcW w:w="209" w:type="pct"/>
            <w:vAlign w:val="center"/>
          </w:tcPr>
          <w:p w:rsidR="00BC0191" w:rsidRPr="00BC0191" w:rsidRDefault="00BC0191" w:rsidP="00BC0191">
            <w:pPr>
              <w:suppressAutoHyphens/>
              <w:jc w:val="center"/>
              <w:textAlignment w:val="baseline"/>
              <w:rPr>
                <w:rFonts w:cs="Calibri"/>
                <w:b/>
                <w:color w:val="00000A"/>
                <w:sz w:val="18"/>
                <w:szCs w:val="18"/>
              </w:rPr>
            </w:pPr>
            <w:r w:rsidRPr="00BC0191">
              <w:rPr>
                <w:rFonts w:cs="Calibri"/>
                <w:b/>
                <w:color w:val="00000A"/>
                <w:sz w:val="18"/>
                <w:szCs w:val="18"/>
              </w:rPr>
              <w:t>№</w:t>
            </w:r>
          </w:p>
          <w:p w:rsidR="00BC0191" w:rsidRPr="00BC0191" w:rsidRDefault="00BC0191" w:rsidP="00BC0191">
            <w:pPr>
              <w:suppressAutoHyphens/>
              <w:jc w:val="center"/>
              <w:textAlignment w:val="baseline"/>
              <w:rPr>
                <w:rFonts w:cs="Calibri"/>
                <w:b/>
                <w:color w:val="00000A"/>
                <w:sz w:val="18"/>
                <w:szCs w:val="18"/>
              </w:rPr>
            </w:pPr>
            <w:r w:rsidRPr="00BC0191">
              <w:rPr>
                <w:rFonts w:cs="Calibri"/>
                <w:b/>
                <w:color w:val="00000A"/>
                <w:sz w:val="18"/>
                <w:szCs w:val="18"/>
              </w:rPr>
              <w:t>п/п</w:t>
            </w:r>
          </w:p>
        </w:tc>
        <w:tc>
          <w:tcPr>
            <w:tcW w:w="772" w:type="pct"/>
            <w:vAlign w:val="center"/>
          </w:tcPr>
          <w:p w:rsidR="00BC0191" w:rsidRPr="00BC0191" w:rsidRDefault="00BC0191" w:rsidP="00BC0191">
            <w:pPr>
              <w:suppressAutoHyphens/>
              <w:jc w:val="center"/>
              <w:textAlignment w:val="baseline"/>
              <w:rPr>
                <w:rFonts w:cs="Calibri"/>
                <w:b/>
                <w:color w:val="00000A"/>
                <w:sz w:val="18"/>
                <w:szCs w:val="18"/>
              </w:rPr>
            </w:pPr>
            <w:r w:rsidRPr="00BC0191">
              <w:rPr>
                <w:rFonts w:cs="Calibri"/>
                <w:b/>
                <w:color w:val="00000A"/>
                <w:sz w:val="18"/>
                <w:szCs w:val="18"/>
              </w:rPr>
              <w:t>МНН</w:t>
            </w:r>
          </w:p>
        </w:tc>
        <w:tc>
          <w:tcPr>
            <w:tcW w:w="998" w:type="pct"/>
            <w:vAlign w:val="center"/>
          </w:tcPr>
          <w:p w:rsidR="00BC0191" w:rsidRPr="00BC0191" w:rsidRDefault="00BC0191" w:rsidP="00BC0191">
            <w:pPr>
              <w:suppressAutoHyphens/>
              <w:jc w:val="center"/>
              <w:textAlignment w:val="baseline"/>
              <w:rPr>
                <w:rFonts w:cs="Calibri"/>
                <w:b/>
                <w:color w:val="00000A"/>
                <w:sz w:val="18"/>
                <w:szCs w:val="18"/>
              </w:rPr>
            </w:pPr>
            <w:r w:rsidRPr="00BC0191">
              <w:rPr>
                <w:rFonts w:cs="Calibri"/>
                <w:b/>
                <w:color w:val="00000A"/>
                <w:sz w:val="18"/>
                <w:szCs w:val="18"/>
              </w:rPr>
              <w:t>Наименование товара, работ, услуг</w:t>
            </w:r>
          </w:p>
        </w:tc>
        <w:tc>
          <w:tcPr>
            <w:tcW w:w="1666" w:type="pct"/>
            <w:vAlign w:val="center"/>
          </w:tcPr>
          <w:p w:rsidR="00BC0191" w:rsidRPr="00BC0191" w:rsidRDefault="00BC0191" w:rsidP="00BC0191">
            <w:pPr>
              <w:suppressAutoHyphens/>
              <w:jc w:val="center"/>
              <w:textAlignment w:val="baseline"/>
              <w:rPr>
                <w:rFonts w:cs="Calibri"/>
                <w:b/>
                <w:color w:val="00000A"/>
                <w:sz w:val="18"/>
                <w:szCs w:val="18"/>
              </w:rPr>
            </w:pPr>
            <w:r w:rsidRPr="00BC0191">
              <w:rPr>
                <w:rFonts w:cs="Calibri"/>
                <w:b/>
                <w:color w:val="00000A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678" w:type="pct"/>
            <w:vAlign w:val="center"/>
          </w:tcPr>
          <w:p w:rsidR="00BC0191" w:rsidRPr="00BC0191" w:rsidRDefault="00BC0191" w:rsidP="00BC0191">
            <w:pPr>
              <w:suppressAutoHyphens/>
              <w:jc w:val="center"/>
              <w:textAlignment w:val="baseline"/>
              <w:rPr>
                <w:rFonts w:cs="Calibri"/>
                <w:b/>
                <w:color w:val="00000A"/>
                <w:sz w:val="18"/>
                <w:szCs w:val="18"/>
              </w:rPr>
            </w:pPr>
            <w:r w:rsidRPr="00BC0191">
              <w:rPr>
                <w:rFonts w:cs="Calibri"/>
                <w:b/>
                <w:color w:val="00000A"/>
                <w:sz w:val="18"/>
                <w:szCs w:val="18"/>
              </w:rPr>
              <w:t>Ед. изм.</w:t>
            </w:r>
          </w:p>
        </w:tc>
        <w:tc>
          <w:tcPr>
            <w:tcW w:w="677" w:type="pct"/>
            <w:vAlign w:val="center"/>
          </w:tcPr>
          <w:p w:rsidR="00BC0191" w:rsidRPr="00806827" w:rsidRDefault="00BC0191" w:rsidP="00BC0191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Кол-во</w:t>
            </w:r>
          </w:p>
        </w:tc>
      </w:tr>
      <w:tr w:rsidR="00BC0191" w:rsidRPr="00BC0191" w:rsidTr="00BC0191">
        <w:tc>
          <w:tcPr>
            <w:tcW w:w="209" w:type="pct"/>
            <w:vAlign w:val="center"/>
          </w:tcPr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22"/>
              </w:rPr>
            </w:pPr>
            <w:r w:rsidRPr="00BC0191">
              <w:rPr>
                <w:rFonts w:cs="Calibri"/>
                <w:color w:val="00000A"/>
                <w:sz w:val="22"/>
              </w:rPr>
              <w:t>1</w:t>
            </w:r>
          </w:p>
        </w:tc>
        <w:tc>
          <w:tcPr>
            <w:tcW w:w="772" w:type="pct"/>
            <w:vAlign w:val="center"/>
          </w:tcPr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22"/>
              </w:rPr>
            </w:pPr>
            <w:r w:rsidRPr="00BC0191">
              <w:rPr>
                <w:rFonts w:cs="Calibri"/>
                <w:color w:val="00000A"/>
                <w:sz w:val="22"/>
              </w:rPr>
              <w:t xml:space="preserve">Бар-ВИПС </w:t>
            </w:r>
          </w:p>
        </w:tc>
        <w:tc>
          <w:tcPr>
            <w:tcW w:w="998" w:type="pct"/>
            <w:vAlign w:val="center"/>
          </w:tcPr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22"/>
              </w:rPr>
            </w:pPr>
            <w:r w:rsidRPr="00BC0191">
              <w:rPr>
                <w:rFonts w:cs="Calibri"/>
                <w:color w:val="00000A"/>
                <w:sz w:val="22"/>
              </w:rPr>
              <w:t>Бария сульфат</w:t>
            </w:r>
          </w:p>
        </w:tc>
        <w:tc>
          <w:tcPr>
            <w:tcW w:w="1666" w:type="pct"/>
            <w:vAlign w:val="center"/>
          </w:tcPr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b/>
                <w:color w:val="00000A"/>
                <w:sz w:val="16"/>
                <w:szCs w:val="16"/>
              </w:rPr>
            </w:pPr>
            <w:r w:rsidRPr="00BC0191">
              <w:rPr>
                <w:rFonts w:cs="Calibri"/>
                <w:b/>
                <w:color w:val="00000A"/>
                <w:sz w:val="16"/>
                <w:szCs w:val="16"/>
              </w:rPr>
              <w:t>Лекарственная форма:</w:t>
            </w:r>
          </w:p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16"/>
                <w:szCs w:val="16"/>
              </w:rPr>
            </w:pPr>
            <w:r w:rsidRPr="00BC0191">
              <w:rPr>
                <w:rFonts w:cs="Calibri"/>
                <w:color w:val="00000A"/>
                <w:sz w:val="16"/>
                <w:szCs w:val="16"/>
              </w:rPr>
              <w:t>Порошок по 240 г – пакеты из комбинированного материала в упаковке 40 штук- коробки картонные</w:t>
            </w:r>
          </w:p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b/>
                <w:color w:val="00000A"/>
                <w:sz w:val="16"/>
                <w:szCs w:val="16"/>
              </w:rPr>
            </w:pPr>
            <w:r w:rsidRPr="00BC0191">
              <w:rPr>
                <w:rFonts w:cs="Calibri"/>
                <w:b/>
                <w:color w:val="00000A"/>
                <w:sz w:val="16"/>
                <w:szCs w:val="16"/>
              </w:rPr>
              <w:t>Клинико-фармакологическая группа:</w:t>
            </w:r>
          </w:p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16"/>
                <w:szCs w:val="16"/>
              </w:rPr>
            </w:pPr>
            <w:r w:rsidRPr="00BC0191">
              <w:rPr>
                <w:rFonts w:cs="Calibri"/>
                <w:color w:val="00000A"/>
                <w:sz w:val="16"/>
                <w:szCs w:val="16"/>
              </w:rPr>
              <w:t>Порошок для приготовления суспензии для приема внутрь мелкодисперсный, белого или светло-кремового с сероватым оттенком цвета, со специфическим запахом. Используется для рентгенологических исследований пищевода, желудка и кишечника</w:t>
            </w:r>
            <w:proofErr w:type="gramStart"/>
            <w:r w:rsidRPr="00BC0191">
              <w:rPr>
                <w:rFonts w:cs="Calibri"/>
                <w:color w:val="00000A"/>
                <w:sz w:val="16"/>
                <w:szCs w:val="16"/>
              </w:rPr>
              <w:t xml:space="preserve">   (</w:t>
            </w:r>
            <w:proofErr w:type="gramEnd"/>
            <w:r w:rsidRPr="00BC0191">
              <w:rPr>
                <w:rFonts w:cs="Calibri"/>
                <w:color w:val="00000A"/>
                <w:sz w:val="16"/>
                <w:szCs w:val="16"/>
              </w:rPr>
              <w:t xml:space="preserve">в </w:t>
            </w:r>
            <w:proofErr w:type="spellStart"/>
            <w:r w:rsidRPr="00BC0191">
              <w:rPr>
                <w:rFonts w:cs="Calibri"/>
                <w:color w:val="00000A"/>
                <w:sz w:val="16"/>
                <w:szCs w:val="16"/>
              </w:rPr>
              <w:t>т.ч</w:t>
            </w:r>
            <w:proofErr w:type="spellEnd"/>
            <w:r w:rsidRPr="00BC0191">
              <w:rPr>
                <w:rFonts w:cs="Calibri"/>
                <w:color w:val="00000A"/>
                <w:sz w:val="16"/>
                <w:szCs w:val="16"/>
              </w:rPr>
              <w:t xml:space="preserve">. методом двойного </w:t>
            </w:r>
            <w:proofErr w:type="spellStart"/>
            <w:r w:rsidRPr="00BC0191">
              <w:rPr>
                <w:rFonts w:cs="Calibri"/>
                <w:color w:val="00000A"/>
                <w:sz w:val="16"/>
                <w:szCs w:val="16"/>
              </w:rPr>
              <w:t>константирования</w:t>
            </w:r>
            <w:proofErr w:type="spellEnd"/>
            <w:r w:rsidRPr="00BC0191">
              <w:rPr>
                <w:rFonts w:cs="Calibri"/>
                <w:color w:val="00000A"/>
                <w:sz w:val="16"/>
                <w:szCs w:val="16"/>
              </w:rPr>
              <w:t>)</w:t>
            </w:r>
          </w:p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b/>
                <w:color w:val="00000A"/>
                <w:sz w:val="16"/>
                <w:szCs w:val="16"/>
              </w:rPr>
            </w:pPr>
            <w:proofErr w:type="spellStart"/>
            <w:proofErr w:type="gramStart"/>
            <w:r w:rsidRPr="00BC0191">
              <w:rPr>
                <w:rFonts w:cs="Calibri"/>
                <w:b/>
                <w:color w:val="00000A"/>
                <w:sz w:val="16"/>
                <w:szCs w:val="16"/>
              </w:rPr>
              <w:t>Фармако</w:t>
            </w:r>
            <w:proofErr w:type="spellEnd"/>
            <w:r w:rsidRPr="00BC0191">
              <w:rPr>
                <w:rFonts w:cs="Calibri"/>
                <w:b/>
                <w:color w:val="00000A"/>
                <w:sz w:val="16"/>
                <w:szCs w:val="16"/>
              </w:rPr>
              <w:t>-терапевтическая</w:t>
            </w:r>
            <w:proofErr w:type="gramEnd"/>
            <w:r w:rsidRPr="00BC0191">
              <w:rPr>
                <w:rFonts w:cs="Calibri"/>
                <w:b/>
                <w:color w:val="00000A"/>
                <w:sz w:val="16"/>
                <w:szCs w:val="16"/>
              </w:rPr>
              <w:t xml:space="preserve"> группа:</w:t>
            </w:r>
          </w:p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22"/>
              </w:rPr>
            </w:pPr>
            <w:proofErr w:type="spellStart"/>
            <w:r w:rsidRPr="00BC0191">
              <w:rPr>
                <w:rFonts w:cs="Calibri"/>
                <w:color w:val="00000A"/>
                <w:sz w:val="16"/>
                <w:szCs w:val="16"/>
              </w:rPr>
              <w:t>Рентгеноконтрастное</w:t>
            </w:r>
            <w:proofErr w:type="spellEnd"/>
            <w:r w:rsidRPr="00BC0191">
              <w:rPr>
                <w:rFonts w:cs="Calibri"/>
                <w:color w:val="00000A"/>
                <w:sz w:val="16"/>
                <w:szCs w:val="16"/>
              </w:rPr>
              <w:t xml:space="preserve"> средство</w:t>
            </w:r>
          </w:p>
        </w:tc>
        <w:tc>
          <w:tcPr>
            <w:tcW w:w="678" w:type="pct"/>
            <w:vAlign w:val="center"/>
          </w:tcPr>
          <w:p w:rsidR="00BC0191" w:rsidRPr="00BC0191" w:rsidRDefault="00BC0191" w:rsidP="00BC0191">
            <w:pPr>
              <w:suppressAutoHyphens/>
              <w:textAlignment w:val="baseline"/>
              <w:rPr>
                <w:rFonts w:cs="Calibri"/>
                <w:color w:val="00000A"/>
                <w:sz w:val="22"/>
              </w:rPr>
            </w:pPr>
            <w:r>
              <w:rPr>
                <w:rFonts w:cs="Calibri"/>
                <w:color w:val="00000A"/>
                <w:sz w:val="22"/>
              </w:rPr>
              <w:t xml:space="preserve">          </w:t>
            </w:r>
            <w:r w:rsidRPr="00BC0191">
              <w:rPr>
                <w:rFonts w:cs="Calibri"/>
                <w:color w:val="00000A"/>
                <w:sz w:val="22"/>
              </w:rPr>
              <w:t xml:space="preserve">Упаковка </w:t>
            </w:r>
          </w:p>
        </w:tc>
        <w:tc>
          <w:tcPr>
            <w:tcW w:w="677" w:type="pct"/>
            <w:vAlign w:val="center"/>
          </w:tcPr>
          <w:p w:rsidR="00BC0191" w:rsidRPr="0026503F" w:rsidRDefault="00BC0191" w:rsidP="00BC01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</w:tbl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  <w:bookmarkStart w:id="0" w:name="_GoBack"/>
      <w:bookmarkEnd w:id="0"/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BC019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4F3B62"/>
    <w:rsid w:val="00691A14"/>
    <w:rsid w:val="006D0F92"/>
    <w:rsid w:val="00720C43"/>
    <w:rsid w:val="00737BC3"/>
    <w:rsid w:val="0076155D"/>
    <w:rsid w:val="0077600E"/>
    <w:rsid w:val="00823994"/>
    <w:rsid w:val="00893516"/>
    <w:rsid w:val="00984D40"/>
    <w:rsid w:val="00A95678"/>
    <w:rsid w:val="00B20A83"/>
    <w:rsid w:val="00BC0191"/>
    <w:rsid w:val="00C40AFA"/>
    <w:rsid w:val="00CA5808"/>
    <w:rsid w:val="00CD11E1"/>
    <w:rsid w:val="00CD17CE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2026-09-03T03:23:00Z</dcterms:created>
  <dcterms:modified xsi:type="dcterms:W3CDTF">2026-10-19T06:38:00Z</dcterms:modified>
</cp:coreProperties>
</file>