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  <w:bookmarkStart w:id="0" w:name="_GoBack"/>
      <w:bookmarkStart w:id="1" w:name="_GoBack"/>
      <w:bookmarkEnd w:id="1"/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keepLines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jc w:val="center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  <w:t>ТЕХНИЧЕСКИЕ ТРЕБОВАНИЯ</w:t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rFonts w:cs="Times New Roman"/>
          <w:b/>
          <w:color w:val="000000"/>
          <w:szCs w:val="24"/>
          <w:shd w:fill="FFFF00" w:val="clear"/>
        </w:rPr>
      </w:pPr>
      <w:r>
        <w:rPr>
          <w:rFonts w:cs="Times New Roman"/>
          <w:b/>
          <w:color w:val="000000"/>
          <w:szCs w:val="24"/>
          <w:shd w:fill="FFFF00" w:val="clear"/>
        </w:rPr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left="0" w:hanging="0"/>
        <w:jc w:val="center"/>
        <w:outlineLvl w:val="0"/>
        <w:rPr>
          <w:szCs w:val="24"/>
        </w:rPr>
      </w:pPr>
      <w:r>
        <w:rPr>
          <w:rFonts w:cs="Times New Roman"/>
          <w:color w:val="000000"/>
          <w:szCs w:val="24"/>
          <w:shd w:fill="FFFFFF" w:val="clear"/>
        </w:rPr>
        <w:t>ОКПД2 23.63 Поставка бетонных смесей для выполнения работ на Нижегородской ГЭС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left="0" w:hanging="0"/>
        <w:jc w:val="center"/>
        <w:outlineLvl w:val="0"/>
        <w:rPr>
          <w:shd w:fill="FFFFFF" w:val="clear"/>
        </w:rPr>
      </w:pPr>
      <w:r>
        <w:rPr>
          <w:rFonts w:cs="Times New Roman"/>
          <w:color w:val="000000"/>
          <w:sz w:val="26"/>
          <w:szCs w:val="26"/>
          <w:shd w:fill="FFFFFF" w:val="clear"/>
        </w:rPr>
        <w:t xml:space="preserve">(Лот </w:t>
      </w:r>
      <w:r>
        <w:rPr>
          <w:rFonts w:eastAsia="Geneva" w:cs="Times New Roman"/>
          <w:color w:val="000000"/>
          <w:sz w:val="26"/>
          <w:szCs w:val="26"/>
          <w:shd w:fill="FFFFFF" w:val="clear"/>
        </w:rPr>
        <w:t>)</w:t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left="0" w:hanging="0"/>
        <w:jc w:val="center"/>
        <w:outlineLvl w:val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left="0" w:hanging="0"/>
        <w:outlineLvl w:val="0"/>
        <w:rPr>
          <w:rFonts w:cs="Times New Roman"/>
          <w:b/>
          <w:color w:val="000000"/>
          <w:szCs w:val="24"/>
        </w:rPr>
      </w:pPr>
      <w:r>
        <w:rPr>
          <w:rFonts w:cs="Times New Roman"/>
          <w:b/>
          <w:color w:val="000000"/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20"/>
          <w:tab w:val="left" w:pos="900" w:leader="none"/>
        </w:tabs>
        <w:spacing w:lineRule="auto" w:line="276"/>
        <w:ind w:left="0" w:hanging="0"/>
        <w:jc w:val="center"/>
        <w:outlineLvl w:val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jc w:val="center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</w:r>
    </w:p>
    <w:p>
      <w:pPr>
        <w:pStyle w:val="Normal"/>
        <w:keepNext w:val="true"/>
        <w:keepLines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sectPr>
          <w:type w:val="nextPage"/>
          <w:pgSz w:w="11906" w:h="16838"/>
          <w:pgMar w:left="1701" w:right="851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>
          <w:rFonts w:cs="Times New Roman"/>
          <w:b/>
          <w:i/>
          <w:i/>
          <w:color w:val="000000"/>
          <w:szCs w:val="24"/>
        </w:rPr>
      </w:pPr>
      <w:r>
        <w:rPr>
          <w:rFonts w:cs="Times New Roman"/>
          <w:b/>
          <w:i/>
          <w:color w:val="000000"/>
          <w:szCs w:val="24"/>
        </w:rPr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rPr>
          <w:szCs w:val="24"/>
        </w:rPr>
      </w:pPr>
      <w:r>
        <w:rPr>
          <w:b/>
          <w:bCs/>
          <w:szCs w:val="24"/>
        </w:rPr>
        <w:t>1. Общие сведения</w:t>
      </w:r>
      <w:r>
        <w:rPr>
          <w:szCs w:val="24"/>
        </w:rPr>
        <w:tab/>
        <w:t>………………………………………..............................................</w:t>
        <w:tab/>
        <w:t>3</w:t>
      </w:r>
    </w:p>
    <w:p>
      <w:pPr>
        <w:pStyle w:val="Normal"/>
        <w:rPr/>
      </w:pPr>
      <w:r>
        <w:rPr>
          <w:szCs w:val="24"/>
        </w:rPr>
        <w:t>1.1 Наименование закупаемой продукции</w:t>
        <w:tab/>
        <w:t>…….…...………..………………………….</w:t>
        <w:tab/>
        <w:t>3</w:t>
      </w:r>
    </w:p>
    <w:p>
      <w:pPr>
        <w:pStyle w:val="Normal"/>
        <w:rPr/>
      </w:pPr>
      <w:r>
        <w:rPr>
          <w:szCs w:val="24"/>
        </w:rPr>
        <w:t>1.2. Цель использования закупаемой продукции</w:t>
        <w:tab/>
        <w:t>………………………………..…….</w:t>
        <w:tab/>
        <w:t>3</w:t>
      </w:r>
    </w:p>
    <w:p>
      <w:pPr>
        <w:pStyle w:val="Normal"/>
        <w:rPr/>
      </w:pPr>
      <w:r>
        <w:rPr>
          <w:b/>
          <w:bCs/>
          <w:szCs w:val="24"/>
        </w:rPr>
        <w:t>2. Требования к продукции</w:t>
      </w:r>
      <w:r>
        <w:rPr>
          <w:szCs w:val="24"/>
        </w:rPr>
        <w:tab/>
        <w:t>………………….……………………..…..………..</w:t>
        <w:tab/>
        <w:t>3</w:t>
      </w:r>
    </w:p>
    <w:p>
      <w:pPr>
        <w:pStyle w:val="Normal"/>
        <w:rPr/>
      </w:pPr>
      <w:r>
        <w:rPr>
          <w:szCs w:val="24"/>
        </w:rPr>
        <w:t>2.1. Требования к объемам и срокам поставки…………….………………………...….</w:t>
        <w:tab/>
        <w:t>3</w:t>
      </w:r>
    </w:p>
    <w:p>
      <w:pPr>
        <w:pStyle w:val="Normal"/>
        <w:rPr/>
      </w:pPr>
      <w:r>
        <w:rPr>
          <w:szCs w:val="24"/>
        </w:rPr>
        <w:t>2.1.1. Перечень и объем закупаемой продукции…………...………………………...….</w:t>
        <w:tab/>
        <w:t>3</w:t>
      </w:r>
    </w:p>
    <w:p>
      <w:pPr>
        <w:pStyle w:val="Normal"/>
        <w:rPr/>
      </w:pPr>
      <w:r>
        <w:rPr>
          <w:b/>
          <w:bCs/>
          <w:szCs w:val="24"/>
        </w:rPr>
        <w:t>Таблица 2.1. Перечень и объем закупаемой продукции</w:t>
      </w:r>
      <w:r>
        <w:rPr>
          <w:szCs w:val="24"/>
        </w:rPr>
        <w:t>…..……………………..….</w:t>
        <w:tab/>
        <w:t>3</w:t>
      </w:r>
    </w:p>
    <w:p>
      <w:pPr>
        <w:pStyle w:val="Normal"/>
        <w:rPr/>
      </w:pPr>
      <w:r>
        <w:rPr>
          <w:szCs w:val="24"/>
        </w:rPr>
        <w:t>2.1.2. Требования к срокам поставки продукции.…………………..………..………….</w:t>
        <w:tab/>
        <w:t>4</w:t>
      </w:r>
    </w:p>
    <w:p>
      <w:pPr>
        <w:pStyle w:val="Normal"/>
        <w:rPr/>
      </w:pPr>
      <w:r>
        <w:rPr>
          <w:b/>
          <w:bCs/>
          <w:szCs w:val="24"/>
        </w:rPr>
        <w:t>Таблица 2.2 Требования по срокам поставки продукции</w:t>
      </w:r>
      <w:r>
        <w:rPr>
          <w:szCs w:val="24"/>
        </w:rPr>
        <w:t>………………………….</w:t>
        <w:tab/>
        <w:t>4</w:t>
      </w:r>
    </w:p>
    <w:p>
      <w:pPr>
        <w:pStyle w:val="Normal"/>
        <w:rPr/>
      </w:pPr>
      <w:r>
        <w:rPr>
          <w:szCs w:val="24"/>
        </w:rPr>
        <w:t>2.2. Требования к качеству продукции</w:t>
        <w:tab/>
        <w:t>……...………………….……………...……</w:t>
        <w:tab/>
        <w:t>5</w:t>
      </w:r>
    </w:p>
    <w:p>
      <w:pPr>
        <w:pStyle w:val="Normal"/>
        <w:rPr/>
      </w:pPr>
      <w:r>
        <w:rPr>
          <w:b/>
          <w:bCs/>
          <w:szCs w:val="24"/>
        </w:rPr>
        <w:t>Таблица 2.3 Требования к продукции……………………...………………….</w:t>
      </w:r>
      <w:r>
        <w:rPr>
          <w:szCs w:val="24"/>
        </w:rPr>
        <w:t>…….</w:t>
        <w:tab/>
        <w:t>5</w:t>
      </w:r>
    </w:p>
    <w:p>
      <w:pPr>
        <w:pStyle w:val="Normal"/>
        <w:rPr/>
      </w:pPr>
      <w:r>
        <w:rPr>
          <w:b/>
          <w:bCs/>
          <w:szCs w:val="24"/>
        </w:rPr>
        <w:t>3. Требования к документации по ценообразованию</w:t>
      </w:r>
      <w:r>
        <w:rPr>
          <w:b/>
          <w:bCs/>
        </w:rPr>
        <w:t xml:space="preserve"> </w:t>
      </w:r>
      <w:r>
        <w:rPr>
          <w:b/>
          <w:bCs/>
          <w:szCs w:val="24"/>
        </w:rPr>
        <w:t>на этапе закупки</w:t>
      </w:r>
      <w:r>
        <w:rPr>
          <w:szCs w:val="24"/>
        </w:rPr>
        <w:tab/>
        <w:t>..…..</w:t>
        <w:tab/>
        <w:t>7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Cs/>
          <w:iCs/>
          <w:sz w:val="26"/>
          <w:szCs w:val="26"/>
        </w:rPr>
      </w:pPr>
      <w:r>
        <w:rPr>
          <w:bCs/>
          <w:iCs/>
          <w:sz w:val="26"/>
          <w:szCs w:val="26"/>
        </w:rPr>
      </w:r>
    </w:p>
    <w:p>
      <w:pPr>
        <w:pStyle w:val="Normal"/>
        <w:keepNext w:val="true"/>
        <w:keepLines/>
        <w:jc w:val="both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</w:p>
    <w:p>
      <w:pPr>
        <w:pStyle w:val="Normal"/>
        <w:rPr>
          <w:rFonts w:cs="Times New Roman"/>
          <w:color w:val="000000"/>
          <w:sz w:val="26"/>
          <w:szCs w:val="26"/>
        </w:rPr>
      </w:pPr>
      <w:r>
        <w:rPr>
          <w:rFonts w:cs="Times New Roman"/>
          <w:color w:val="000000"/>
          <w:sz w:val="26"/>
          <w:szCs w:val="26"/>
        </w:rPr>
      </w:r>
      <w:r>
        <w:br w:type="page"/>
      </w:r>
    </w:p>
    <w:p>
      <w:pPr>
        <w:pStyle w:val="Heading4"/>
        <w:numPr>
          <w:ilvl w:val="0"/>
          <w:numId w:val="6"/>
        </w:numPr>
        <w:tabs>
          <w:tab w:val="clear" w:pos="709"/>
          <w:tab w:val="left" w:pos="0" w:leader="none"/>
        </w:tabs>
        <w:ind w:left="426" w:hanging="360"/>
        <w:jc w:val="center"/>
        <w:rPr>
          <w:color w:val="000000"/>
        </w:rPr>
      </w:pPr>
      <w:r>
        <w:rPr>
          <w:color w:val="000000"/>
        </w:rPr>
        <w:t>Общие сведения</w:t>
      </w:r>
    </w:p>
    <w:p>
      <w:pPr>
        <w:pStyle w:val="Normal"/>
        <w:tabs>
          <w:tab w:val="clear" w:pos="720"/>
          <w:tab w:val="left" w:pos="0" w:leader="none"/>
        </w:tabs>
        <w:ind w:left="426" w:hanging="360"/>
        <w:jc w:val="center"/>
        <w:rPr>
          <w:color w:val="000000"/>
        </w:rPr>
      </w:pPr>
      <w:r>
        <w:rPr>
          <w:color w:val="000000"/>
        </w:rPr>
      </w:r>
    </w:p>
    <w:p>
      <w:pPr>
        <w:pStyle w:val="Heading4"/>
        <w:numPr>
          <w:ilvl w:val="1"/>
          <w:numId w:val="7"/>
        </w:numPr>
        <w:ind w:left="0" w:firstLine="709"/>
        <w:rPr>
          <w:color w:val="000000"/>
        </w:rPr>
      </w:pPr>
      <w:bookmarkStart w:id="2" w:name="_Toc75446568"/>
      <w:bookmarkStart w:id="3" w:name="_Toc46743506"/>
      <w:bookmarkStart w:id="4" w:name="_Toc75446569"/>
      <w:bookmarkEnd w:id="4"/>
      <w:r>
        <w:rPr>
          <w:color w:val="000000"/>
        </w:rPr>
        <w:t>Наименование закупаемой продукции</w:t>
      </w:r>
      <w:bookmarkEnd w:id="2"/>
      <w:bookmarkEnd w:id="3"/>
    </w:p>
    <w:p>
      <w:pPr>
        <w:pStyle w:val="Normal"/>
        <w:ind w:firstLine="419"/>
        <w:jc w:val="both"/>
        <w:rPr/>
      </w:pPr>
      <w:r>
        <w:rPr>
          <w:rFonts w:cs="Times New Roman"/>
          <w:color w:val="000000"/>
          <w:szCs w:val="24"/>
          <w:shd w:fill="FFFFFF" w:val="clear"/>
        </w:rPr>
        <w:t xml:space="preserve">ОКПД2 23.63 Поставка бетонных смесей для выполнения работ на Нижегородской ГЭС </w:t>
      </w:r>
      <w:r>
        <w:rPr>
          <w:color w:val="000000"/>
        </w:rPr>
        <w:t>(далее – продукция).</w:t>
      </w:r>
    </w:p>
    <w:p>
      <w:pPr>
        <w:pStyle w:val="Normal"/>
        <w:ind w:firstLine="419"/>
        <w:rPr>
          <w:color w:val="000000"/>
        </w:rPr>
      </w:pPr>
      <w:r>
        <w:rPr>
          <w:color w:val="000000"/>
        </w:rPr>
      </w:r>
    </w:p>
    <w:p>
      <w:pPr>
        <w:pStyle w:val="Heading4"/>
        <w:numPr>
          <w:ilvl w:val="1"/>
          <w:numId w:val="7"/>
        </w:numPr>
        <w:ind w:left="0" w:firstLine="709"/>
        <w:rPr>
          <w:color w:val="000000"/>
        </w:rPr>
      </w:pPr>
      <w:bookmarkStart w:id="5" w:name="_Toc46743507"/>
      <w:bookmarkStart w:id="6" w:name="_Toc75446569_Копия_1"/>
      <w:bookmarkEnd w:id="6"/>
      <w:r>
        <w:rPr>
          <w:color w:val="000000"/>
        </w:rPr>
        <w:t xml:space="preserve">Цель </w:t>
      </w:r>
      <w:bookmarkEnd w:id="5"/>
      <w:r>
        <w:rPr>
          <w:color w:val="000000"/>
        </w:rPr>
        <w:t xml:space="preserve">использования закупаемой продукции </w:t>
      </w:r>
    </w:p>
    <w:p>
      <w:pPr>
        <w:pStyle w:val="Heading4"/>
        <w:ind w:firstLine="454"/>
        <w:jc w:val="both"/>
        <w:rPr/>
      </w:pPr>
      <w:r>
        <w:rPr>
          <w:rStyle w:val="Style"/>
          <w:b/>
          <w:i w:val="false"/>
          <w:color w:val="000000"/>
          <w:shd w:fill="FFFFFF" w:val="clear"/>
        </w:rPr>
        <w:t xml:space="preserve">- Исполнение Договора </w:t>
      </w:r>
      <w:r>
        <w:rPr>
          <w:rStyle w:val="Style"/>
          <w:rFonts w:cs="Tahoma"/>
          <w:b/>
          <w:i w:val="false"/>
          <w:color w:val="000000"/>
          <w:szCs w:val="22"/>
          <w:shd w:fill="auto" w:val="clear"/>
          <w:lang w:val="ru-RU" w:eastAsia="en-US"/>
        </w:rPr>
        <w:t xml:space="preserve"> подряда </w:t>
      </w:r>
      <w:r>
        <w:rPr>
          <w:rStyle w:val="Style"/>
          <w:b/>
          <w:i w:val="false"/>
          <w:color w:val="000000"/>
          <w:szCs w:val="26"/>
          <w:shd w:fill="auto" w:val="clear"/>
          <w:lang w:val="ru-RU"/>
        </w:rPr>
        <w:t xml:space="preserve">№1240-129-2021 от 12.07.2021 «Строительно-монтажные и пусконаладочные работы по замене гидроагрегатов ст.№1,4,7 Нижегородской ГЭС», </w:t>
      </w:r>
      <w:r>
        <w:rPr>
          <w:rStyle w:val="Style"/>
          <w:rFonts w:cs="Tahoma"/>
          <w:b/>
          <w:i w:val="false"/>
          <w:color w:val="000000"/>
          <w:szCs w:val="22"/>
          <w:shd w:fill="auto" w:val="clear"/>
          <w:lang w:val="ru-RU" w:eastAsia="en-US"/>
        </w:rPr>
        <w:t>заключенный между ПАО "РусГидро" и АО "Гидроремонт-ВКК".</w:t>
      </w:r>
    </w:p>
    <w:p>
      <w:pPr>
        <w:pStyle w:val="Normal"/>
        <w:ind w:firstLine="454"/>
        <w:rPr>
          <w:rFonts w:cs="Times New Roman"/>
          <w:bCs/>
          <w:color w:val="000000"/>
          <w:szCs w:val="24"/>
          <w:shd w:fill="FFFFFF" w:val="clear"/>
        </w:rPr>
      </w:pPr>
      <w:r>
        <w:rPr>
          <w:rFonts w:cs="Times New Roman"/>
          <w:bCs/>
          <w:color w:val="000000"/>
          <w:szCs w:val="24"/>
          <w:shd w:fill="FFFFFF" w:val="clear"/>
        </w:rPr>
      </w:r>
    </w:p>
    <w:p>
      <w:pPr>
        <w:pStyle w:val="Heading1"/>
        <w:numPr>
          <w:ilvl w:val="0"/>
          <w:numId w:val="6"/>
        </w:numPr>
        <w:tabs>
          <w:tab w:val="clear" w:pos="0"/>
          <w:tab w:val="clear" w:pos="709"/>
        </w:tabs>
        <w:ind w:left="426" w:hanging="360"/>
        <w:jc w:val="center"/>
        <w:rPr>
          <w:caps/>
          <w:color w:val="000000"/>
          <w:sz w:val="24"/>
          <w:lang w:val="ru-RU"/>
        </w:rPr>
      </w:pPr>
      <w:bookmarkStart w:id="7" w:name="_Toc51339693"/>
      <w:bookmarkStart w:id="8" w:name="_Toc75446573"/>
      <w:r>
        <w:rPr>
          <w:color w:val="000000"/>
          <w:sz w:val="24"/>
        </w:rPr>
        <w:t>Требования к продукции</w:t>
      </w:r>
      <w:bookmarkEnd w:id="7"/>
      <w:bookmarkEnd w:id="8"/>
    </w:p>
    <w:p>
      <w:pPr>
        <w:pStyle w:val="Normal"/>
        <w:rPr>
          <w:rFonts w:cs="Times New Roman"/>
          <w:color w:val="000000"/>
          <w:lang w:eastAsia="x-none"/>
        </w:rPr>
      </w:pPr>
      <w:r>
        <w:rPr>
          <w:rFonts w:cs="Times New Roman"/>
          <w:color w:val="000000"/>
          <w:lang w:eastAsia="x-none"/>
        </w:rPr>
      </w:r>
    </w:p>
    <w:p>
      <w:pPr>
        <w:pStyle w:val="Heading4"/>
        <w:numPr>
          <w:ilvl w:val="1"/>
          <w:numId w:val="6"/>
        </w:numPr>
        <w:tabs>
          <w:tab w:val="clear" w:pos="0"/>
          <w:tab w:val="left" w:pos="709" w:leader="none"/>
        </w:tabs>
        <w:ind w:left="1134" w:hanging="360"/>
        <w:rPr>
          <w:color w:val="000000"/>
        </w:rPr>
      </w:pPr>
      <w:bookmarkStart w:id="9" w:name="_Toc75446574"/>
      <w:r>
        <w:rPr>
          <w:color w:val="000000"/>
        </w:rPr>
        <w:t xml:space="preserve">Требования к объемам и срокам </w:t>
      </w:r>
      <w:r>
        <w:rPr>
          <w:color w:val="000000"/>
          <w:lang w:val="ru-RU"/>
        </w:rPr>
        <w:t>поставки</w:t>
      </w:r>
      <w:bookmarkEnd w:id="9"/>
    </w:p>
    <w:p>
      <w:pPr>
        <w:pStyle w:val="Heading3"/>
        <w:numPr>
          <w:ilvl w:val="2"/>
          <w:numId w:val="6"/>
        </w:numPr>
        <w:tabs>
          <w:tab w:val="clear" w:pos="0"/>
          <w:tab w:val="left" w:pos="709" w:leader="none"/>
        </w:tabs>
        <w:ind w:left="0" w:firstLine="709"/>
        <w:rPr>
          <w:color w:val="000000"/>
        </w:rPr>
      </w:pPr>
      <w:bookmarkStart w:id="10" w:name="_Toc75446575"/>
      <w:r>
        <w:rPr>
          <w:color w:val="000000"/>
        </w:rPr>
        <w:t>Перечень и объем закупаемой продукции</w:t>
      </w:r>
      <w:bookmarkEnd w:id="10"/>
    </w:p>
    <w:p>
      <w:pPr>
        <w:pStyle w:val="Normal"/>
        <w:rPr>
          <w:rFonts w:cs="Times New Roman"/>
          <w:color w:val="000000"/>
          <w:lang w:val="x-none" w:eastAsia="x-none"/>
        </w:rPr>
      </w:pPr>
      <w:r>
        <w:rPr>
          <w:rFonts w:cs="Times New Roman"/>
          <w:color w:val="000000"/>
          <w:lang w:val="x-none" w:eastAsia="x-none"/>
        </w:rPr>
      </w:r>
    </w:p>
    <w:p>
      <w:pPr>
        <w:pStyle w:val="Normal"/>
        <w:jc w:val="both"/>
        <w:rPr>
          <w:rFonts w:cs="Times New Roman"/>
          <w:color w:val="000000"/>
          <w:szCs w:val="24"/>
        </w:rPr>
      </w:pPr>
      <w:bookmarkStart w:id="11" w:name="_Toc75446576"/>
      <w:bookmarkStart w:id="12" w:name="_Toc51339695"/>
      <w:r>
        <w:rPr>
          <w:rFonts w:cs="Times New Roman"/>
          <w:color w:val="000000"/>
          <w:szCs w:val="24"/>
        </w:rPr>
        <w:t xml:space="preserve">Таблица 2.1 Перечень </w:t>
      </w:r>
      <w:bookmarkEnd w:id="12"/>
      <w:r>
        <w:rPr>
          <w:rFonts w:cs="Times New Roman"/>
          <w:color w:val="000000"/>
          <w:szCs w:val="24"/>
        </w:rPr>
        <w:t>и объем закупаемой продукци</w:t>
      </w:r>
      <w:bookmarkEnd w:id="11"/>
      <w:r>
        <w:rPr>
          <w:rFonts w:cs="Times New Roman"/>
          <w:color w:val="000000"/>
          <w:szCs w:val="24"/>
        </w:rPr>
        <w:t>и</w:t>
      </w:r>
    </w:p>
    <w:tbl>
      <w:tblPr>
        <w:tblW w:w="949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644"/>
        <w:gridCol w:w="5541"/>
        <w:gridCol w:w="1324"/>
        <w:gridCol w:w="1747"/>
        <w:gridCol w:w="238"/>
      </w:tblGrid>
      <w:tr>
        <w:trPr>
          <w:trHeight w:val="682" w:hRule="atLeast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sz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п/п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lang w:eastAsia="x-none"/>
              </w:rPr>
            </w:r>
          </w:p>
        </w:tc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Наименование продукции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Единица измерения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sz w:val="22"/>
              </w:rPr>
              <w:t>Количество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lang w:eastAsia="x-none"/>
              </w:rPr>
            </w:pPr>
            <w:r>
              <w:rPr>
                <w:rFonts w:cs="Times New Roman"/>
                <w:color w:val="000000"/>
                <w:lang w:eastAsia="x-none"/>
              </w:rPr>
            </w:r>
          </w:p>
        </w:tc>
        <w:tc>
          <w:tcPr>
            <w:tcW w:w="2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1</w:t>
            </w:r>
          </w:p>
        </w:tc>
        <w:tc>
          <w:tcPr>
            <w:tcW w:w="5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2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3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  <w:sz w:val="22"/>
              </w:rPr>
              <w:t>4</w:t>
            </w:r>
          </w:p>
        </w:tc>
        <w:tc>
          <w:tcPr>
            <w:tcW w:w="2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1.</w:t>
            </w:r>
          </w:p>
        </w:tc>
        <w:tc>
          <w:tcPr>
            <w:tcW w:w="5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Смеси бетонные мелкозернистого бетона (БСМ), класс В22,5, гранитный щебень, фракция 5-10, W6, F150 (М300)</w:t>
            </w:r>
          </w:p>
        </w:tc>
        <w:tc>
          <w:tcPr>
            <w:tcW w:w="1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м3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1,620</w:t>
            </w:r>
          </w:p>
        </w:tc>
        <w:tc>
          <w:tcPr>
            <w:tcW w:w="2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2.</w:t>
            </w:r>
          </w:p>
        </w:tc>
        <w:tc>
          <w:tcPr>
            <w:tcW w:w="5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bCs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Смеси бетонные мелкозернистого бетона (БСМ), класс В25, гранитный щебень, фракция 5-10, W6, F150 (М350)</w:t>
            </w:r>
          </w:p>
        </w:tc>
        <w:tc>
          <w:tcPr>
            <w:tcW w:w="1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м3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139,75</w:t>
            </w:r>
          </w:p>
        </w:tc>
        <w:tc>
          <w:tcPr>
            <w:tcW w:w="2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20" w:hRule="atLeast"/>
        </w:trPr>
        <w:tc>
          <w:tcPr>
            <w:tcW w:w="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</w:t>
            </w:r>
          </w:p>
        </w:tc>
        <w:tc>
          <w:tcPr>
            <w:tcW w:w="5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Style w:val="Style18"/>
                <w:b w:val="false"/>
                <w:bCs w:val="false"/>
                <w:sz w:val="24"/>
                <w:szCs w:val="24"/>
              </w:rPr>
              <w:t>Смеси бетонные тяжелого бетона (БСТ), класс В30 W6 F150, (Бетон М-350 В30)</w:t>
            </w:r>
          </w:p>
        </w:tc>
        <w:tc>
          <w:tcPr>
            <w:tcW w:w="1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м3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41</w:t>
            </w:r>
          </w:p>
        </w:tc>
        <w:tc>
          <w:tcPr>
            <w:tcW w:w="2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609" w:hRule="atLeast"/>
        </w:trPr>
        <w:tc>
          <w:tcPr>
            <w:tcW w:w="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4.</w:t>
            </w:r>
          </w:p>
        </w:tc>
        <w:tc>
          <w:tcPr>
            <w:tcW w:w="5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rPr/>
            </w:pPr>
            <w:r>
              <w:rPr>
                <w:rStyle w:val="Style18"/>
                <w:rFonts w:eastAsia="Calibri" w:cs="Tahoma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Бетон тяжелый для гидротехнических сооружений на сульфатостойком портландцементе класса В30 W6 F150, (Бетон М-400 В30 на сульфатостойком портландцементе)</w:t>
            </w:r>
          </w:p>
        </w:tc>
        <w:tc>
          <w:tcPr>
            <w:tcW w:w="1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м3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175</w:t>
            </w:r>
          </w:p>
        </w:tc>
        <w:tc>
          <w:tcPr>
            <w:tcW w:w="2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609" w:hRule="atLeast"/>
        </w:trPr>
        <w:tc>
          <w:tcPr>
            <w:tcW w:w="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rPr/>
            </w:pPr>
            <w:r>
              <w:rPr>
                <w:rStyle w:val="Style18"/>
                <w:rFonts w:eastAsia="Calibri" w:cs="Tahoma"/>
                <w:b w:val="false"/>
                <w:bCs w:val="false"/>
                <w:color w:val="000000"/>
                <w:sz w:val="24"/>
                <w:szCs w:val="24"/>
                <w:lang w:eastAsia="en-US"/>
              </w:rPr>
              <w:t>Смеси бетонные тяжелого бетона (БСТ), класс В30 W6 F200 (Бетон М-400 В30 на щебне)</w:t>
            </w:r>
          </w:p>
        </w:tc>
        <w:tc>
          <w:tcPr>
            <w:tcW w:w="1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м3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2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609" w:hRule="atLeast"/>
        </w:trPr>
        <w:tc>
          <w:tcPr>
            <w:tcW w:w="6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5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Style w:val="Style18"/>
                <w:b w:val="false"/>
                <w:bCs w:val="false"/>
                <w:sz w:val="24"/>
                <w:szCs w:val="24"/>
              </w:rPr>
              <w:t>Смеси бетонные тяжелого бетона (БСТ), класс В30 W4 F100 (М350), (Бетон М-350 В30)</w:t>
            </w:r>
          </w:p>
        </w:tc>
        <w:tc>
          <w:tcPr>
            <w:tcW w:w="1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м3</w:t>
            </w:r>
          </w:p>
        </w:tc>
        <w:tc>
          <w:tcPr>
            <w:tcW w:w="1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8,5</w:t>
            </w:r>
          </w:p>
        </w:tc>
        <w:tc>
          <w:tcPr>
            <w:tcW w:w="23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Heading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ind w:hanging="0"/>
        <w:rPr>
          <w:b w:val="false"/>
        </w:rPr>
      </w:pPr>
      <w:bookmarkStart w:id="13" w:name="_Toc54785620"/>
      <w:r>
        <w:rPr>
          <w:b w:val="false"/>
          <w:sz w:val="24"/>
          <w:szCs w:val="24"/>
        </w:rPr>
        <w:t>Таблица 2.2 «Перечень и объем закупаемых сопутствующих услуг»</w:t>
      </w:r>
      <w:bookmarkEnd w:id="13"/>
      <w:r>
        <w:rPr>
          <w:b w:val="false"/>
          <w:sz w:val="24"/>
          <w:szCs w:val="24"/>
        </w:rPr>
        <w:t xml:space="preserve"> </w:t>
      </w:r>
    </w:p>
    <w:tbl>
      <w:tblPr>
        <w:tblW w:w="9464" w:type="dxa"/>
        <w:jc w:val="left"/>
        <w:tblInd w:w="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682"/>
        <w:gridCol w:w="5181"/>
        <w:gridCol w:w="1677"/>
        <w:gridCol w:w="1923"/>
      </w:tblGrid>
      <w:tr>
        <w:trPr/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услуг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Единица измерения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</w:t>
            </w:r>
          </w:p>
        </w:tc>
      </w:tr>
      <w:tr>
        <w:trPr/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1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</w:tr>
      <w:tr>
        <w:trPr/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t>1.</w:t>
            </w:r>
          </w:p>
        </w:tc>
        <w:tc>
          <w:tcPr>
            <w:tcW w:w="5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rPr>
                <w:szCs w:val="24"/>
              </w:rPr>
            </w:pPr>
            <w:r>
              <w:rPr>
                <w:bCs/>
                <w:szCs w:val="24"/>
              </w:rPr>
              <w:t>Доставка  смесей автобетоносмесителями с разгрузкой на объекте</w:t>
            </w: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Cs w:val="24"/>
              </w:rPr>
            </w:pPr>
            <w:r>
              <w:rPr>
                <w:rFonts w:eastAsia="DotumChe"/>
                <w:szCs w:val="24"/>
              </w:rPr>
              <w:t>рейс</w:t>
            </w:r>
          </w:p>
        </w:tc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iCs/>
                <w:szCs w:val="24"/>
              </w:rPr>
              <w:t>262</w:t>
            </w:r>
          </w:p>
        </w:tc>
      </w:tr>
    </w:tbl>
    <w:p>
      <w:pPr>
        <w:pStyle w:val="Heading3"/>
        <w:tabs>
          <w:tab w:val="clear" w:pos="0"/>
          <w:tab w:val="clear" w:pos="709"/>
          <w:tab w:val="left" w:pos="255" w:leader="none"/>
          <w:tab w:val="left" w:pos="570" w:leader="none"/>
          <w:tab w:val="left" w:pos="600" w:leader="none"/>
        </w:tabs>
        <w:jc w:val="both"/>
        <w:rPr/>
      </w:pPr>
      <w:r>
        <w:rPr/>
      </w:r>
    </w:p>
    <w:p>
      <w:pPr>
        <w:pStyle w:val="Heading3"/>
        <w:numPr>
          <w:ilvl w:val="2"/>
          <w:numId w:val="6"/>
        </w:numPr>
        <w:tabs>
          <w:tab w:val="clear" w:pos="0"/>
          <w:tab w:val="left" w:pos="709" w:leader="none"/>
        </w:tabs>
        <w:ind w:left="0" w:firstLine="709"/>
        <w:rPr>
          <w:color w:val="000000"/>
        </w:rPr>
      </w:pPr>
      <w:bookmarkStart w:id="14" w:name="_Toc75446578"/>
      <w:bookmarkStart w:id="15" w:name="_Toc51339696"/>
      <w:r>
        <w:rPr>
          <w:color w:val="000000"/>
        </w:rPr>
        <w:t xml:space="preserve">Требования </w:t>
      </w:r>
      <w:bookmarkEnd w:id="15"/>
      <w:r>
        <w:rPr>
          <w:color w:val="000000"/>
        </w:rPr>
        <w:t xml:space="preserve">к срокам поставки продукции </w:t>
      </w:r>
      <w:bookmarkEnd w:id="14"/>
    </w:p>
    <w:p>
      <w:pPr>
        <w:pStyle w:val="Normal"/>
        <w:rPr>
          <w:rFonts w:cs="Times New Roman"/>
          <w:color w:val="000000"/>
          <w:lang w:val="x-none" w:eastAsia="x-none"/>
        </w:rPr>
      </w:pPr>
      <w:r>
        <w:rPr>
          <w:rFonts w:cs="Times New Roman"/>
          <w:color w:val="000000"/>
          <w:lang w:val="x-none" w:eastAsia="x-none"/>
        </w:rPr>
      </w:r>
    </w:p>
    <w:p>
      <w:pPr>
        <w:pStyle w:val="Normal"/>
        <w:rPr>
          <w:rFonts w:cs="Times New Roman"/>
          <w:color w:val="000000"/>
          <w:szCs w:val="24"/>
          <w:lang w:eastAsia="x-none"/>
        </w:rPr>
      </w:pPr>
      <w:bookmarkStart w:id="16" w:name="_Toc75446579"/>
      <w:bookmarkStart w:id="17" w:name="_Toc51339697"/>
      <w:bookmarkStart w:id="18" w:name="_Toc50125127"/>
      <w:r>
        <w:rPr>
          <w:rFonts w:cs="Times New Roman"/>
          <w:color w:val="000000"/>
          <w:szCs w:val="24"/>
          <w:lang w:eastAsia="x-none"/>
        </w:rPr>
        <w:t xml:space="preserve">Таблица 2.3 </w:t>
      </w:r>
      <w:bookmarkStart w:id="19" w:name="_Hlk50465284"/>
      <w:r>
        <w:rPr>
          <w:rFonts w:cs="Times New Roman"/>
          <w:color w:val="000000"/>
          <w:szCs w:val="24"/>
          <w:lang w:eastAsia="x-none"/>
        </w:rPr>
        <w:t xml:space="preserve">Требования по срокам </w:t>
      </w:r>
      <w:bookmarkEnd w:id="17"/>
      <w:bookmarkEnd w:id="18"/>
      <w:bookmarkEnd w:id="19"/>
      <w:r>
        <w:rPr>
          <w:rFonts w:cs="Times New Roman"/>
          <w:color w:val="000000"/>
          <w:szCs w:val="24"/>
          <w:lang w:eastAsia="x-none"/>
        </w:rPr>
        <w:t>поставки продукции</w:t>
      </w:r>
      <w:bookmarkEnd w:id="16"/>
      <w:r>
        <w:rPr>
          <w:rFonts w:cs="Times New Roman"/>
          <w:color w:val="000000"/>
          <w:szCs w:val="24"/>
          <w:lang w:eastAsia="x-none"/>
        </w:rPr>
        <w:t xml:space="preserve"> </w:t>
      </w:r>
    </w:p>
    <w:tbl>
      <w:tblPr>
        <w:tblW w:w="9465" w:type="dxa"/>
        <w:jc w:val="left"/>
        <w:tblInd w:w="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1115"/>
        <w:gridCol w:w="3250"/>
        <w:gridCol w:w="2441"/>
        <w:gridCol w:w="2658"/>
      </w:tblGrid>
      <w:tr>
        <w:trPr/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№ </w:t>
            </w:r>
            <w:r>
              <w:rPr>
                <w:rFonts w:cs="Times New Roman"/>
                <w:color w:val="000000"/>
                <w:szCs w:val="24"/>
              </w:rPr>
              <w:t>п/п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Наименование продукции / партии продукции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2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3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</w:rPr>
            </w:pPr>
            <w:r>
              <w:rPr>
                <w:rFonts w:cs="Times New Roman"/>
                <w:b/>
                <w:color w:val="000000"/>
              </w:rPr>
              <w:t>4</w:t>
            </w:r>
          </w:p>
        </w:tc>
      </w:tr>
      <w:tr>
        <w:trPr>
          <w:trHeight w:val="874" w:hRule="atLeast"/>
        </w:trPr>
        <w:tc>
          <w:tcPr>
            <w:tcW w:w="1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right="170" w:hanging="0"/>
              <w:jc w:val="center"/>
              <w:rPr>
                <w:szCs w:val="24"/>
              </w:rPr>
            </w:pPr>
            <w:r>
              <w:rPr>
                <w:color w:val="000000"/>
                <w:szCs w:val="24"/>
              </w:rPr>
              <w:t>1-4</w:t>
            </w:r>
          </w:p>
        </w:tc>
        <w:tc>
          <w:tcPr>
            <w:tcW w:w="3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/>
                <w:color w:val="000000"/>
                <w:szCs w:val="24"/>
                <w:shd w:fill="FFFFFF" w:val="clear"/>
              </w:rPr>
              <w:t>ОКПД2 23.63 Поставка бетонных смесей для выполнения работ на Нижегородской ГЭС</w:t>
            </w:r>
          </w:p>
        </w:tc>
        <w:tc>
          <w:tcPr>
            <w:tcW w:w="2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szCs w:val="24"/>
              </w:rPr>
              <w:t>С даты подписания договора сторонами, согласно заявкам на партию Продукции от Заказчика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В течение 48 часов с даты направления Заказчиком заявки на партию Продукции, конечный срок поставки продукции — не позднее 31.12.2027г</w:t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701" w:right="851" w:gutter="0" w:header="0" w:top="668" w:footer="709" w:bottom="1134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ListParagraph"/>
        <w:numPr>
          <w:ilvl w:val="1"/>
          <w:numId w:val="6"/>
        </w:numPr>
        <w:rPr>
          <w:b/>
          <w:bCs/>
        </w:rPr>
      </w:pPr>
      <w:r>
        <w:rPr>
          <w:rFonts w:cs="Times New Roman"/>
          <w:b/>
          <w:bCs/>
          <w:color w:val="000000"/>
          <w:szCs w:val="24"/>
          <w:lang w:eastAsia="x-none"/>
        </w:rPr>
        <w:t xml:space="preserve">Требования к качеству продукции </w:t>
      </w:r>
    </w:p>
    <w:p>
      <w:pPr>
        <w:pStyle w:val="Normal"/>
        <w:rPr>
          <w:rFonts w:cs="Times New Roman"/>
          <w:color w:val="000000"/>
          <w:szCs w:val="24"/>
          <w:lang w:eastAsia="x-none"/>
        </w:rPr>
      </w:pPr>
      <w:r>
        <w:rPr>
          <w:rFonts w:cs="Times New Roman"/>
          <w:color w:val="000000"/>
          <w:szCs w:val="24"/>
          <w:lang w:eastAsia="x-none"/>
        </w:rPr>
        <w:t xml:space="preserve">  </w:t>
      </w:r>
      <w:bookmarkStart w:id="20" w:name="_Toc75446582"/>
      <w:r>
        <w:rPr>
          <w:rFonts w:cs="Times New Roman"/>
          <w:color w:val="000000"/>
          <w:szCs w:val="24"/>
          <w:lang w:eastAsia="x-none"/>
        </w:rPr>
        <w:t>Таблица 2.4. Требования к продукции</w:t>
      </w:r>
      <w:bookmarkEnd w:id="20"/>
      <w:r>
        <w:rPr>
          <w:rFonts w:cs="Times New Roman"/>
          <w:color w:val="000000"/>
          <w:szCs w:val="24"/>
          <w:lang w:eastAsia="x-none"/>
        </w:rPr>
        <w:t xml:space="preserve"> </w:t>
      </w:r>
    </w:p>
    <w:tbl>
      <w:tblPr>
        <w:tblW w:w="1430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682"/>
        <w:gridCol w:w="2672"/>
        <w:gridCol w:w="2673"/>
        <w:gridCol w:w="2673"/>
        <w:gridCol w:w="129"/>
        <w:gridCol w:w="7"/>
        <w:gridCol w:w="2660"/>
        <w:gridCol w:w="68"/>
        <w:gridCol w:w="2"/>
        <w:gridCol w:w="2739"/>
      </w:tblGrid>
      <w:tr>
        <w:trPr>
          <w:trHeight w:val="20" w:hRule="atLeast"/>
        </w:trPr>
        <w:tc>
          <w:tcPr>
            <w:tcW w:w="1430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 xml:space="preserve">Наименование продукции (позиции № 1-4 (Таблицы 2.1): </w:t>
            </w:r>
            <w:r>
              <w:rPr>
                <w:rFonts w:cs="Times New Roman"/>
                <w:color w:val="000000"/>
                <w:szCs w:val="24"/>
                <w:shd w:fill="FFFFFF" w:val="clear"/>
              </w:rPr>
              <w:t>ОКПД2 23.63 Поставка бетонных смесей для выполнения работ на Нижегородской ГЭС</w:t>
            </w:r>
            <w:r>
              <w:rPr>
                <w:bCs/>
                <w:color w:val="000000"/>
              </w:rPr>
              <w:t>.</w:t>
            </w:r>
          </w:p>
        </w:tc>
      </w:tr>
      <w:tr>
        <w:trPr>
          <w:trHeight w:val="20" w:hRule="atLeast"/>
        </w:trPr>
        <w:tc>
          <w:tcPr>
            <w:tcW w:w="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 xml:space="preserve">№ </w:t>
            </w:r>
            <w:r>
              <w:rPr>
                <w:rFonts w:cs="Times New Roman"/>
                <w:b/>
                <w:color w:val="000000"/>
                <w:szCs w:val="24"/>
              </w:rPr>
              <w:t>п/п</w:t>
            </w:r>
          </w:p>
        </w:tc>
        <w:tc>
          <w:tcPr>
            <w:tcW w:w="2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Наименование продукции</w:t>
            </w: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Наименование параметра</w:t>
            </w:r>
          </w:p>
        </w:tc>
        <w:tc>
          <w:tcPr>
            <w:tcW w:w="2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Требование заказчика</w:t>
            </w:r>
          </w:p>
        </w:tc>
        <w:tc>
          <w:tcPr>
            <w:tcW w:w="56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cs="Times New Roman"/>
                <w:color w:val="000000"/>
                <w:szCs w:val="24"/>
                <w:lang w:eastAsia="ar-SA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20" w:hRule="atLeast"/>
        </w:trPr>
        <w:tc>
          <w:tcPr>
            <w:tcW w:w="6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 w:cs="Times New Roman"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 w:cs="Times New Roman"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20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1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3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 w:cs="Times New Roman"/>
                <w:b/>
                <w:color w:val="000000"/>
                <w:szCs w:val="24"/>
              </w:rPr>
            </w:pPr>
            <w:r>
              <w:rPr>
                <w:rFonts w:eastAsia="DotumChe" w:cs="Times New Roman"/>
                <w:b/>
                <w:color w:val="000000"/>
                <w:szCs w:val="24"/>
              </w:rPr>
              <w:t>4</w:t>
            </w:r>
          </w:p>
        </w:tc>
        <w:tc>
          <w:tcPr>
            <w:tcW w:w="27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 w:cs="Times New Roman"/>
                <w:b/>
                <w:color w:val="000000"/>
                <w:szCs w:val="24"/>
              </w:rPr>
            </w:pPr>
            <w:r>
              <w:rPr>
                <w:rFonts w:eastAsia="DotumChe" w:cs="Times New Roman"/>
                <w:b/>
                <w:color w:val="000000"/>
                <w:szCs w:val="24"/>
              </w:rPr>
              <w:t>6</w:t>
            </w:r>
          </w:p>
        </w:tc>
        <w:tc>
          <w:tcPr>
            <w:tcW w:w="28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 w:cs="Times New Roman"/>
                <w:b/>
                <w:color w:val="000000"/>
                <w:szCs w:val="24"/>
              </w:rPr>
            </w:pPr>
            <w:r>
              <w:rPr>
                <w:rFonts w:eastAsia="DotumChe" w:cs="Times New Roman"/>
                <w:b/>
                <w:color w:val="000000"/>
                <w:szCs w:val="24"/>
              </w:rPr>
              <w:t>7</w:t>
            </w:r>
          </w:p>
        </w:tc>
      </w:tr>
      <w:tr>
        <w:trPr>
          <w:trHeight w:val="421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1.</w:t>
            </w:r>
          </w:p>
        </w:tc>
        <w:tc>
          <w:tcPr>
            <w:tcW w:w="136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DotumChe"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1.1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2"/>
              </w:rPr>
              <w:t>Смеси бетонные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Маркировка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БСТ</w:t>
            </w:r>
          </w:p>
        </w:tc>
        <w:tc>
          <w:tcPr>
            <w:tcW w:w="2796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i/>
                <w:iCs/>
                <w:color w:val="000000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809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color w:val="000000"/>
                <w:szCs w:val="24"/>
              </w:rPr>
            </w:pPr>
            <w:r>
              <w:rPr>
                <w:rFonts w:cs="Times New Roman"/>
                <w:b/>
                <w:color w:val="000000"/>
                <w:szCs w:val="24"/>
              </w:rPr>
            </w:r>
          </w:p>
        </w:tc>
      </w:tr>
      <w:tr>
        <w:trPr>
          <w:trHeight w:val="2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Марка бетона</w:t>
            </w:r>
          </w:p>
        </w:tc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 w:val="22"/>
              </w:rPr>
              <w:t>М300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Класс бетона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В22,5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W6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F150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Вид цемента в составе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Мелкозернистый бетон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Стандарт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ГОСТ 26633-2015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ГОСТ 7473-2010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1.2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2"/>
              </w:rPr>
              <w:t>Смеси бетонные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Маркировка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БСТ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Марка бетона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М350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Класс бетона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В25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W6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F150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Вид цемента в составе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Мелкозернистый бетон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Стандарт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ГОСТ 26633-2015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ГОСТ 7473-2010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1.3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Смеси бетонные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Маркировка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БСТ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Марка бетона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М350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Класс бетона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В</w:t>
            </w:r>
            <w:r>
              <w:rPr>
                <w:rFonts w:cs="Times New Roman"/>
                <w:color w:val="000000" w:themeColor="text1"/>
                <w:sz w:val="22"/>
              </w:rPr>
              <w:t>30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W6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F150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Вид цемента в составе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тяжелый </w:t>
            </w:r>
            <w:r>
              <w:rPr/>
              <w:t>бетон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Стандарт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ГОСТ 26633-2015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ГОСТ 7473-2010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1.</w:t>
            </w:r>
            <w:r>
              <w:rPr>
                <w:rFonts w:cs="Times New Roman"/>
                <w:color w:val="000000"/>
                <w:szCs w:val="24"/>
              </w:rPr>
              <w:t>4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2"/>
              </w:rPr>
              <w:t>Бетон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Марка бетона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М400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Класс бетона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В30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W6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F150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Область применения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для гидротехнических сооружений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Вид цемента в составе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сульфатостойкий портландцемент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Стандарт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ГОСТ 26633-2015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ГОСТ 7473-2010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1.5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</w:tcPr>
          <w:p>
            <w:pPr>
              <w:pStyle w:val="Normal"/>
              <w:widowControl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Смеси бетонные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Маркировка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БСТ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Марка бетона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М350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Класс бетона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В</w:t>
            </w:r>
            <w:r>
              <w:rPr>
                <w:rFonts w:cs="Times New Roman"/>
                <w:color w:val="000000" w:themeColor="text1"/>
                <w:sz w:val="22"/>
              </w:rPr>
              <w:t>30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W</w:t>
            </w: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F1</w:t>
            </w:r>
            <w:r>
              <w:rPr>
                <w:color w:val="000000"/>
                <w:sz w:val="22"/>
              </w:rPr>
              <w:t>0</w:t>
            </w:r>
            <w:r>
              <w:rPr>
                <w:color w:val="000000"/>
                <w:sz w:val="22"/>
              </w:rPr>
              <w:t>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Вид цемента в составе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 xml:space="preserve">тяжелый </w:t>
            </w:r>
            <w:r>
              <w:rPr/>
              <w:t>бетон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Стандарт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ГОСТ 26633-2015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</w:rPr>
              <w:t>ГОСТ 7473-2010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/>
              <w:t>1.</w:t>
            </w:r>
            <w:r>
              <w:rPr/>
              <w:t>6</w:t>
            </w:r>
          </w:p>
        </w:tc>
        <w:tc>
          <w:tcPr>
            <w:tcW w:w="267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</w:tcPr>
          <w:p>
            <w:pPr>
              <w:pStyle w:val="Normal"/>
              <w:widowControl w:val="false"/>
              <w:rPr/>
            </w:pPr>
            <w:r>
              <w:rPr>
                <w:color w:val="000000"/>
                <w:sz w:val="22"/>
              </w:rPr>
              <w:t>Смеси бетонные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Маркировка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 w:val="22"/>
              </w:rPr>
              <w:t>БСТ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Марка бетона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 w:val="22"/>
              </w:rPr>
              <w:t>М400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color w:val="000000" w:themeColor="text1"/>
                <w:sz w:val="22"/>
              </w:rPr>
              <w:t>Класс бетона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Times New Roman"/>
                <w:color w:val="000000"/>
                <w:sz w:val="22"/>
              </w:rPr>
              <w:t>B30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W6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F200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Вид цемента в составе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щебень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" w:hRule="atLeast"/>
        </w:trPr>
        <w:tc>
          <w:tcPr>
            <w:tcW w:w="6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</w:r>
          </w:p>
        </w:tc>
        <w:tc>
          <w:tcPr>
            <w:tcW w:w="267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sz w:val="22"/>
              </w:rPr>
              <w:t>Стандарт</w:t>
            </w:r>
          </w:p>
        </w:tc>
        <w:tc>
          <w:tcPr>
            <w:tcW w:w="26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ГОСТ 26633-2015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</w:rPr>
              <w:t>ГОСТ 7473-2010</w:t>
            </w:r>
          </w:p>
        </w:tc>
        <w:tc>
          <w:tcPr>
            <w:tcW w:w="2796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809" w:type="dxa"/>
            <w:gridSpan w:val="3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51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2.</w:t>
            </w:r>
          </w:p>
        </w:tc>
        <w:tc>
          <w:tcPr>
            <w:tcW w:w="136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151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2.1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Место поставки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i/>
                <w:iCs/>
                <w:szCs w:val="24"/>
                <w:lang w:eastAsia="ru-RU"/>
              </w:rPr>
              <w:t>606521, Российская Федерация, Нижегородская область, г. Заволжье, ул. Привокзальная, д. 14, территория Нижегородской ГЭС.</w:t>
            </w:r>
          </w:p>
        </w:tc>
        <w:tc>
          <w:tcPr>
            <w:tcW w:w="273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/>
                <w:iCs/>
                <w:color w:val="000000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7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</w:r>
          </w:p>
        </w:tc>
      </w:tr>
      <w:tr>
        <w:trPr>
          <w:trHeight w:val="151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2.2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Приемка продукции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i/>
                <w:i/>
                <w:iCs/>
                <w:color w:val="000000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Cs w:val="24"/>
              </w:rPr>
              <w:t>Приемка продукции осуществляется только в рабочие дни с 9-00 до 11-00 и с 13-00 до 16-00. Соответствие продукции и представленных документов договору и техническим требованиям.</w:t>
            </w:r>
          </w:p>
        </w:tc>
        <w:tc>
          <w:tcPr>
            <w:tcW w:w="2737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i/>
                <w:i/>
                <w:iCs/>
                <w:color w:val="000000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Cs w:val="24"/>
              </w:rPr>
            </w:r>
          </w:p>
        </w:tc>
        <w:tc>
          <w:tcPr>
            <w:tcW w:w="27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i/>
                <w:i/>
                <w:iCs/>
                <w:color w:val="000000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Cs w:val="24"/>
              </w:rPr>
            </w:r>
          </w:p>
        </w:tc>
      </w:tr>
      <w:tr>
        <w:trPr>
          <w:trHeight w:val="151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2.3</w:t>
            </w:r>
          </w:p>
        </w:tc>
        <w:tc>
          <w:tcPr>
            <w:tcW w:w="8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  <w:tc>
          <w:tcPr>
            <w:tcW w:w="2737" w:type="dxa"/>
            <w:gridSpan w:val="4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</w:r>
          </w:p>
        </w:tc>
        <w:tc>
          <w:tcPr>
            <w:tcW w:w="273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</w:r>
          </w:p>
        </w:tc>
      </w:tr>
      <w:tr>
        <w:trPr>
          <w:trHeight w:val="151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3.</w:t>
            </w:r>
          </w:p>
        </w:tc>
        <w:tc>
          <w:tcPr>
            <w:tcW w:w="136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DotumChe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151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3.1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Сроки гарантии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i/>
                <w:i/>
                <w:iCs/>
                <w:color w:val="000000"/>
                <w:szCs w:val="24"/>
              </w:rPr>
            </w:pPr>
            <w:bookmarkStart w:id="21" w:name="_Hlk129960060"/>
            <w:r>
              <w:rPr>
                <w:rFonts w:cs="Times New Roman"/>
                <w:i/>
                <w:iCs/>
                <w:color w:val="000000"/>
                <w:szCs w:val="24"/>
              </w:rPr>
              <w:t>На Продукцию устанавливается гарантийный срок, равный 12 (двенадцати) месяцам,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  <w:bookmarkEnd w:id="21"/>
          </w:p>
        </w:tc>
        <w:tc>
          <w:tcPr>
            <w:tcW w:w="27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i/>
                <w:i/>
                <w:iCs/>
                <w:color w:val="000000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cs="Times New Roman"/>
                <w:i/>
                <w:i/>
                <w:iCs/>
                <w:color w:val="000000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Cs w:val="24"/>
              </w:rPr>
            </w:r>
          </w:p>
        </w:tc>
      </w:tr>
      <w:tr>
        <w:trPr>
          <w:trHeight w:val="151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rFonts w:cs="Times New Roman"/>
                <w:b/>
                <w:color w:val="000000"/>
                <w:szCs w:val="24"/>
                <w:lang w:val="en-US"/>
              </w:rPr>
            </w:pPr>
            <w:r>
              <w:rPr>
                <w:rFonts w:cs="Times New Roman"/>
                <w:b/>
                <w:color w:val="000000"/>
                <w:szCs w:val="24"/>
                <w:lang w:val="en-US"/>
              </w:rPr>
              <w:t>4.</w:t>
            </w:r>
          </w:p>
        </w:tc>
        <w:tc>
          <w:tcPr>
            <w:tcW w:w="136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b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151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4.1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Times New Roman"/>
                <w:color w:val="000000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Документы, передаваемые вместе с продукцией</w:t>
            </w:r>
          </w:p>
        </w:tc>
        <w:tc>
          <w:tcPr>
            <w:tcW w:w="54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1. Качество бетонных смесей должно подтверждаться документом о качестве ГОСТ 7473-2010 «Смеси бетонные. Технические условия» (с Поправкой). Предоставляется при поставке каждой партии (с каждым автомобилем, доставляющим смеси к месту производства работ), с указанием: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- наименование или товарный знак и адрес предприятия-изготовителя;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- условное обозначение строительного раствора;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- класс материалов, использованных для приготовления смеси, по удельной эффективной активности естественных радионуклидов и цифровое значение Аэфф;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- марку по прочности на сжатие;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- марку по подвижности (Пк );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- вид и количество введенной добавки (% массы вяжущего);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- количество смеси, м3;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- дату приготовления;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- температуру применения, °С;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- обозначение настоящего стандарта.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- время отгрузки;</w:t>
            </w:r>
          </w:p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- время живучести смеси.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2. Поставщик должен предоставить на все материалы, используемые при приготовлении цементно-песчаных растворов, сертификаты (паспорта) с указанием сведений по физико-механическим характеристикам и составу материала не позднее чем за 7 календарных дней до начала приготовления по письменному запросу от Покупателя.</w:t>
            </w:r>
          </w:p>
          <w:p>
            <w:pPr>
              <w:pStyle w:val="Normal"/>
              <w:widowControl w:val="false"/>
              <w:rPr/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  <w:t>3. 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(форма ТОРГ-12) или универсальный передаточный документ (УПД) на продукцию в 2-х экз.</w:t>
            </w:r>
          </w:p>
        </w:tc>
        <w:tc>
          <w:tcPr>
            <w:tcW w:w="27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i/>
                <w:i/>
                <w:iCs/>
                <w:color w:val="000000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Times New Roman" w:cs="Times New Roman"/>
                <w:i/>
                <w:i/>
                <w:szCs w:val="24"/>
                <w:lang w:eastAsia="x-none"/>
              </w:rPr>
            </w:pPr>
            <w:r>
              <w:rPr>
                <w:rFonts w:eastAsia="Times New Roman" w:cs="Times New Roman"/>
                <w:i/>
                <w:szCs w:val="24"/>
                <w:lang w:eastAsia="x-none"/>
              </w:rPr>
            </w:r>
          </w:p>
        </w:tc>
      </w:tr>
      <w:tr>
        <w:trPr>
          <w:trHeight w:val="151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rFonts w:cs="Times New Roman"/>
                <w:b/>
                <w:color w:val="000000"/>
                <w:szCs w:val="24"/>
                <w:lang w:val="en-US"/>
              </w:rPr>
            </w:pPr>
            <w:r>
              <w:rPr>
                <w:rFonts w:cs="Times New Roman"/>
                <w:b/>
                <w:color w:val="000000"/>
                <w:szCs w:val="24"/>
                <w:lang w:val="en-US"/>
              </w:rPr>
              <w:t>5.</w:t>
            </w:r>
          </w:p>
        </w:tc>
        <w:tc>
          <w:tcPr>
            <w:tcW w:w="1362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eastAsia="DotumChe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b/>
                <w:szCs w:val="24"/>
                <w:lang w:eastAsia="ru-RU"/>
              </w:rPr>
              <w:t>Прочие (дополнительные) требования к продукции</w:t>
            </w:r>
          </w:p>
        </w:tc>
      </w:tr>
      <w:tr>
        <w:trPr>
          <w:trHeight w:val="151" w:hRule="atLeast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5.1</w:t>
            </w:r>
          </w:p>
        </w:tc>
        <w:tc>
          <w:tcPr>
            <w:tcW w:w="8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Times New Roman"/>
                <w:i/>
                <w:i/>
                <w:iCs/>
                <w:color w:val="000000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Cs w:val="24"/>
              </w:rPr>
              <w:t>Продукция должна быть новой, ранее не использовавшейся.</w:t>
            </w:r>
          </w:p>
          <w:p>
            <w:pPr>
              <w:pStyle w:val="ListParagraph"/>
              <w:widowControl w:val="false"/>
              <w:ind w:left="0" w:hanging="0"/>
              <w:rPr/>
            </w:pPr>
            <w:r>
              <w:rPr>
                <w:rFonts w:cs="Times New Roman"/>
                <w:bCs/>
                <w:i/>
                <w:iCs/>
                <w:color w:val="000000"/>
                <w:szCs w:val="24"/>
              </w:rPr>
              <w:t>Способ укладки и транспортировки продукции должен предотвратить его повреждение или порчу во время перевозки и погрузке/разгрузке, а также воздействие осадков во время перевозки и при открытом хранении.</w:t>
            </w:r>
          </w:p>
        </w:tc>
        <w:tc>
          <w:tcPr>
            <w:tcW w:w="2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i/>
                <w:i/>
                <w:iCs/>
                <w:color w:val="000000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>
                <w:rFonts w:cs="Times New Roman"/>
                <w:i/>
                <w:i/>
                <w:iCs/>
                <w:color w:val="000000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Cs w:val="24"/>
              </w:rPr>
            </w:r>
          </w:p>
        </w:tc>
      </w:tr>
      <w:tr>
        <w:trPr>
          <w:trHeight w:val="151" w:hRule="atLeast"/>
        </w:trPr>
        <w:tc>
          <w:tcPr>
            <w:tcW w:w="6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hanging="0"/>
              <w:jc w:val="center"/>
              <w:rPr>
                <w:rFonts w:cs="Times New Roman"/>
                <w:color w:val="000000"/>
                <w:szCs w:val="24"/>
                <w:lang w:val="en-US"/>
              </w:rPr>
            </w:pPr>
            <w:r>
              <w:rPr>
                <w:rFonts w:cs="Times New Roman"/>
                <w:color w:val="000000"/>
                <w:szCs w:val="24"/>
                <w:lang w:val="en-US"/>
              </w:rPr>
              <w:t>5.2</w:t>
            </w:r>
          </w:p>
        </w:tc>
        <w:tc>
          <w:tcPr>
            <w:tcW w:w="8154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>
                <w:rFonts w:cs="Times New Roman"/>
                <w:bCs/>
                <w:i/>
                <w:iCs/>
                <w:color w:val="000000"/>
                <w:szCs w:val="24"/>
                <w:lang w:eastAsia="x-none"/>
              </w:rPr>
              <w:t>Продукция должна соответствовать обязательным требованиям, установленными нормативными документами, действующими в РФ. 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</w:tc>
        <w:tc>
          <w:tcPr>
            <w:tcW w:w="272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jc w:val="center"/>
              <w:rPr>
                <w:rFonts w:cs="Times New Roman"/>
                <w:i/>
                <w:i/>
                <w:iCs/>
                <w:color w:val="000000"/>
                <w:szCs w:val="24"/>
              </w:rPr>
            </w:pPr>
            <w:r>
              <w:rPr>
                <w:rFonts w:cs="Times New Roman"/>
                <w:i/>
                <w:iCs/>
                <w:color w:val="000000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7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Heading1"/>
        <w:numPr>
          <w:ilvl w:val="0"/>
          <w:numId w:val="0"/>
        </w:numPr>
        <w:ind w:left="1080" w:hanging="0"/>
        <w:jc w:val="center"/>
        <w:rPr>
          <w:i/>
          <w:i/>
          <w:color w:val="000000"/>
          <w:sz w:val="24"/>
          <w:szCs w:val="20"/>
          <w:lang w:eastAsia="x-none"/>
        </w:rPr>
      </w:pPr>
      <w:r>
        <w:rPr/>
      </w:r>
    </w:p>
    <w:sectPr>
      <w:footerReference w:type="default" r:id="rId3"/>
      <w:footerReference w:type="first" r:id="rId4"/>
      <w:type w:val="nextPage"/>
      <w:pgSz w:orient="landscape" w:w="16838" w:h="11906"/>
      <w:pgMar w:left="1134" w:right="1134" w:gutter="0" w:header="0" w:top="1023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4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9</w:t>
    </w:r>
    <w:r>
      <w:rPr>
        <w:sz w:val="24"/>
        <w:b/>
        <w:szCs w:val="24"/>
        <w:bCs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t xml:space="preserve">Страница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PAGE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9</w:t>
    </w:r>
    <w:r>
      <w:rPr>
        <w:sz w:val="24"/>
        <w:b/>
        <w:szCs w:val="24"/>
        <w:bCs/>
      </w:rPr>
      <w:fldChar w:fldCharType="end"/>
    </w:r>
    <w:r>
      <w:rPr/>
      <w:t xml:space="preserve"> из </w:t>
    </w:r>
    <w:r>
      <w:rPr>
        <w:b/>
        <w:bCs/>
        <w:sz w:val="24"/>
        <w:szCs w:val="24"/>
      </w:rPr>
      <w:fldChar w:fldCharType="begin"/>
    </w:r>
    <w:r>
      <w:rPr>
        <w:sz w:val="24"/>
        <w:b/>
        <w:szCs w:val="24"/>
        <w:bCs/>
      </w:rPr>
      <w:instrText xml:space="preserve"> NUMPAGES </w:instrText>
    </w:r>
    <w:r>
      <w:rPr>
        <w:sz w:val="24"/>
        <w:b/>
        <w:szCs w:val="24"/>
        <w:bCs/>
      </w:rPr>
      <w:fldChar w:fldCharType="separate"/>
    </w:r>
    <w:r>
      <w:rPr>
        <w:sz w:val="24"/>
        <w:b/>
        <w:szCs w:val="24"/>
        <w:bCs/>
      </w:rPr>
      <w:t>9</w:t>
    </w:r>
    <w:r>
      <w:rPr>
        <w:sz w:val="24"/>
        <w:b/>
        <w:szCs w:val="24"/>
        <w:bCs/>
      </w:rPr>
      <w:fldChar w:fldCharType="end"/>
    </w:r>
  </w:p>
  <w:p>
    <w:pPr>
      <w:pStyle w:val="Footer"/>
      <w:rPr>
        <w:sz w:val="24"/>
        <w:szCs w:val="24"/>
      </w:rPr>
    </w:pPr>
    <w:r>
      <w:rPr>
        <w:sz w:val="24"/>
        <w:szCs w:val="24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4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5">
    <w:lvl w:ilvl="0">
      <w:start w:val="3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40" w:hanging="4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180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19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ahoma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tabs>
        <w:tab w:val="clear" w:pos="0"/>
        <w:tab w:val="clear" w:pos="709"/>
      </w:tabs>
      <w:ind w:left="432" w:hanging="432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20"/>
        <w:tab w:val="left" w:pos="0" w:leader="none"/>
        <w:tab w:val="left" w:pos="709" w:leader="none"/>
      </w:tabs>
      <w:ind w:firstLine="709"/>
      <w:outlineLvl w:val="2"/>
    </w:pPr>
    <w:rPr>
      <w:rFonts w:cs="Times New Roman"/>
      <w:b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 w:eastAsia="Times New Roman" w:cs="Times New Roman"/>
      <w:sz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3" w:customStyle="1">
    <w:name w:val="Заголовок 3 Знак"/>
    <w:basedOn w:val="DefaultParagraphFont"/>
    <w:qFormat/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Style" w:customStyle="1">
    <w:name w:val="комментарий"/>
    <w:qFormat/>
    <w:rPr>
      <w:b/>
      <w:i/>
      <w:shd w:fill="FFFF99" w:val="clear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qFormat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qFormat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qFormat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Times New Roman" w:cs="Times New Roman"/>
      <w:lang w:val="x-none" w:eastAsia="x-none"/>
    </w:rPr>
  </w:style>
  <w:style w:type="character" w:styleId="Style1" w:customStyle="1">
    <w:name w:val="Текст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Style3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4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5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6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1" w:customStyle="1">
    <w:name w:val="Основной текст 3 Знак"/>
    <w:basedOn w:val="DefaultParagraphFont"/>
    <w:link w:val="BodyTex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2" w:customStyle="1">
    <w:name w:val="Основной текст с отступом 3 Знак"/>
    <w:basedOn w:val="DefaultParagraphFont"/>
    <w:link w:val="BodyTextInden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yle7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9" w:customStyle="1">
    <w:name w:val="Тема примечания Знак"/>
    <w:basedOn w:val="Style8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rong1" w:customStyle="1">
    <w:name w:val="Strong1"/>
    <w:qFormat/>
    <w:rPr>
      <w:b/>
      <w:bCs/>
    </w:rPr>
  </w:style>
  <w:style w:type="character" w:styleId="Style10" w:customStyle="1">
    <w:name w:val="Название Знак"/>
    <w:link w:val="15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Style11" w:customStyle="1">
    <w:name w:val="Подзаголовок Знак"/>
    <w:basedOn w:val="DefaultParagraphFont"/>
    <w:qFormat/>
    <w:rPr>
      <w:rFonts w:ascii="Cambria" w:hAnsi="Cambria" w:eastAsia="Times New Roman" w:cs="Times New Roman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3" w:customStyle="1">
    <w:name w:val="Цитата 2 Знак"/>
    <w:basedOn w:val="DefaultParagraphFont"/>
    <w:link w:val="Quote"/>
    <w:qFormat/>
    <w:rPr>
      <w:rFonts w:ascii="Calibri" w:hAnsi="Calibri" w:eastAsia="Calibri" w:cs="Times New Roman"/>
      <w:i/>
      <w:iCs/>
      <w:color w:val="000000"/>
      <w:sz w:val="20"/>
      <w:szCs w:val="20"/>
      <w:lang w:val="x-none" w:eastAsia="x-none"/>
    </w:rPr>
  </w:style>
  <w:style w:type="character" w:styleId="Style12" w:customStyle="1">
    <w:name w:val="Выделенная цитата Знак"/>
    <w:basedOn w:val="DefaultParagraphFont"/>
    <w:link w:val="IntenseQuote"/>
    <w:qFormat/>
    <w:rPr>
      <w:rFonts w:ascii="Calibri" w:hAnsi="Calibri" w:eastAsia="Calibri" w:cs="Times New Roman"/>
      <w:b/>
      <w:bCs/>
      <w:i/>
      <w:iCs/>
      <w:color w:val="4F81BD"/>
      <w:sz w:val="20"/>
      <w:szCs w:val="20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13" w:customStyle="1">
    <w:name w:val="Электронная подпись Знак"/>
    <w:basedOn w:val="DefaultParagraphFont"/>
    <w:link w:val="E-mailSignature"/>
    <w:qFormat/>
    <w:rPr>
      <w:rFonts w:ascii="Times New Roman" w:hAnsi="Times New Roman" w:eastAsia="Calibri" w:cs="Times New Roman"/>
      <w:sz w:val="24"/>
      <w:szCs w:val="24"/>
      <w:lang w:val="x-none" w:eastAsia="x-none"/>
    </w:rPr>
  </w:style>
  <w:style w:type="character" w:styleId="11" w:customStyle="1">
    <w:name w:val="Подпункт Знак1"/>
    <w:link w:val="Style26"/>
    <w:qFormat/>
    <w:rPr>
      <w:rFonts w:ascii="Times New Roman" w:hAnsi="Times New Roman" w:eastAsia="Times New Roman" w:cs="Times New Roman"/>
      <w:sz w:val="28"/>
      <w:szCs w:val="20"/>
      <w:lang w:val="x-none" w:eastAsia="x-none"/>
    </w:rPr>
  </w:style>
  <w:style w:type="character" w:styleId="Blk" w:customStyle="1">
    <w:name w:val="blk"/>
    <w:qFormat/>
    <w:rPr/>
  </w:style>
  <w:style w:type="character" w:styleId="Style14" w:customStyle="1">
    <w:name w:val="Абзац списка Знак"/>
    <w:link w:val="ListParagraph"/>
    <w:qFormat/>
    <w:rPr>
      <w:rFonts w:ascii="Times New Roman" w:hAnsi="Times New Roman" w:eastAsia="Calibri" w:cs="Times New Roman"/>
      <w:sz w:val="24"/>
      <w:szCs w:val="24"/>
      <w:lang w:eastAsia="ru-RU"/>
    </w:rPr>
  </w:style>
  <w:style w:type="character" w:styleId="Style15" w:customStyle="1">
    <w:name w:val="Подподпункт Знак"/>
    <w:link w:val="Style33"/>
    <w:qFormat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33" w:customStyle="1">
    <w:name w:val="УРОВЕНЬ_Абзац_тип3 Знак"/>
    <w:link w:val="37"/>
    <w:qFormat/>
    <w:rPr>
      <w:rFonts w:ascii="Times New Roman" w:hAnsi="Times New Roman" w:eastAsia="Calibri" w:cs="Times New Roman"/>
      <w:sz w:val="26"/>
      <w:szCs w:val="28"/>
    </w:rPr>
  </w:style>
  <w:style w:type="character" w:styleId="Style16" w:customStyle="1">
    <w:name w:val="Текст концевой сноски Знак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4" w:customStyle="1">
    <w:name w:val="Пункт2 Знак"/>
    <w:link w:val="26"/>
    <w:qFormat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12" w:customStyle="1">
    <w:name w:val="УРОВЕНЬ_1. Знак"/>
    <w:link w:val="19"/>
    <w:qFormat/>
    <w:rPr>
      <w:rFonts w:ascii="Times New Roman" w:hAnsi="Times New Roman" w:eastAsia="Calibri" w:cs="Times New Roman"/>
      <w:caps/>
      <w:sz w:val="28"/>
      <w:szCs w:val="28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FontStyle16" w:customStyle="1">
    <w:name w:val="Font Style16"/>
    <w:qFormat/>
    <w:rPr>
      <w:rFonts w:ascii="Times New Roman" w:hAnsi="Times New Roman" w:cs="Times New Roman"/>
      <w:sz w:val="22"/>
      <w:szCs w:val="22"/>
    </w:rPr>
  </w:style>
  <w:style w:type="character" w:styleId="Text" w:customStyle="1">
    <w:name w:val="text"/>
    <w:qFormat/>
    <w:rPr/>
  </w:style>
  <w:style w:type="character" w:styleId="Value" w:customStyle="1">
    <w:name w:val="value"/>
    <w:qFormat/>
    <w:rPr/>
  </w:style>
  <w:style w:type="character" w:styleId="C-gruppedpropsprop-value" w:customStyle="1">
    <w:name w:val="c-gruppedprops__prop-value"/>
    <w:basedOn w:val="DefaultParagraphFont"/>
    <w:qFormat/>
    <w:rPr/>
  </w:style>
  <w:style w:type="character" w:styleId="Label" w:customStyle="1">
    <w:name w:val="label"/>
    <w:basedOn w:val="DefaultParagraphFont"/>
    <w:qFormat/>
    <w:rPr/>
  </w:style>
  <w:style w:type="character" w:styleId="Strong2" w:customStyle="1">
    <w:name w:val="Strong2"/>
    <w:qFormat/>
    <w:rPr>
      <w:b/>
      <w:bCs/>
    </w:rPr>
  </w:style>
  <w:style w:type="character" w:styleId="Strong3" w:customStyle="1">
    <w:name w:val="Strong3"/>
    <w:qFormat/>
    <w:rPr>
      <w:b/>
      <w:bCs/>
    </w:rPr>
  </w:style>
  <w:style w:type="character" w:styleId="Strong">
    <w:name w:val="Strong"/>
    <w:qFormat/>
    <w:rPr>
      <w:b/>
      <w:bCs/>
    </w:rPr>
  </w:style>
  <w:style w:type="character" w:styleId="Style18">
    <w:name w:val="Основной шрифт абзаца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>
      <w:rFonts w:eastAsia="Times New Roman" w:cs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Caption111111111" w:customStyle="1">
    <w:name w:val="caption111111111"/>
    <w:basedOn w:val="Normal"/>
    <w:next w:val="Normal"/>
    <w:qFormat/>
    <w:pPr/>
    <w:rPr>
      <w:rFonts w:cs="Times New Roman"/>
      <w:b/>
      <w:bCs/>
      <w:color w:val="4F81BD"/>
      <w:sz w:val="18"/>
      <w:szCs w:val="18"/>
      <w:lang w:eastAsia="ru-RU"/>
    </w:rPr>
  </w:style>
  <w:style w:type="paragraph" w:styleId="Indexheading111111111" w:customStyle="1">
    <w:name w:val="index heading111111111"/>
    <w:basedOn w:val="Title"/>
    <w:qFormat/>
    <w:pPr/>
    <w:rPr/>
  </w:style>
  <w:style w:type="paragraph" w:styleId="Style21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rFonts w:eastAsia="Times New Roman" w:cs="Times New Roman"/>
      <w:b/>
      <w:sz w:val="32"/>
      <w:szCs w:val="32"/>
      <w:lang w:eastAsia="ru-RU"/>
    </w:rPr>
  </w:style>
  <w:style w:type="paragraph" w:styleId="Style22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>
      <w:rFonts w:eastAsia="Times New Roman" w:cs="Times New Roman"/>
      <w:sz w:val="28"/>
      <w:szCs w:val="28"/>
      <w:lang w:eastAsia="ru-RU"/>
    </w:rPr>
  </w:style>
  <w:style w:type="paragraph" w:styleId="Style23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rFonts w:eastAsia="Times New Roman" w:cs="Times New Roman"/>
      <w:sz w:val="22"/>
      <w:szCs w:val="26"/>
      <w:lang w:eastAsia="ru-RU"/>
    </w:rPr>
  </w:style>
  <w:style w:type="paragraph" w:styleId="Style24" w:customStyle="1">
    <w:name w:val="Название раздела инструкции"/>
    <w:basedOn w:val="Normal"/>
    <w:autoRedefine/>
    <w:qFormat/>
    <w:pPr>
      <w:jc w:val="center"/>
    </w:pPr>
    <w:rPr>
      <w:rFonts w:eastAsia="Times New Roman" w:cs="Times New Roman"/>
      <w:b/>
      <w:sz w:val="28"/>
      <w:szCs w:val="28"/>
      <w:lang w:eastAsia="ru-RU"/>
    </w:rPr>
  </w:style>
  <w:style w:type="paragraph" w:styleId="FootnoteText">
    <w:name w:val="Footnote Text"/>
    <w:basedOn w:val="Normal"/>
    <w:link w:val="Style1"/>
    <w:pPr/>
    <w:rPr>
      <w:rFonts w:eastAsia="Times New Roman" w:cs="Times New Roman"/>
      <w:sz w:val="20"/>
      <w:szCs w:val="20"/>
      <w:lang w:eastAsia="ru-RU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rFonts w:eastAsia="Times New Roman" w:cs="Times New Roman"/>
      <w:sz w:val="22"/>
      <w:lang w:eastAsia="ru-RU"/>
    </w:rPr>
  </w:style>
  <w:style w:type="paragraph" w:styleId="25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rFonts w:eastAsia="Times New Roman" w:cs="Times New Roman"/>
      <w:b/>
      <w:sz w:val="22"/>
      <w:lang w:eastAsia="ru-RU"/>
    </w:rPr>
  </w:style>
  <w:style w:type="paragraph" w:styleId="34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rFonts w:eastAsia="Times New Roman" w:cs="Times New Roman"/>
      <w:b/>
      <w:szCs w:val="24"/>
      <w:lang w:eastAsia="ru-RU"/>
    </w:rPr>
  </w:style>
  <w:style w:type="paragraph" w:styleId="15" w:customStyle="1">
    <w:name w:val="Название1"/>
    <w:basedOn w:val="Normal"/>
    <w:link w:val="Style10"/>
    <w:qFormat/>
    <w:pPr>
      <w:jc w:val="center"/>
    </w:pPr>
    <w:rPr>
      <w:rFonts w:eastAsia="Times New Roman" w:cs="Times New Roman"/>
      <w:sz w:val="28"/>
      <w:szCs w:val="20"/>
      <w:lang w:val="x-none" w:eastAsia="x-none"/>
    </w:rPr>
  </w:style>
  <w:style w:type="paragraph" w:styleId="Style25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3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Cs w:val="24"/>
      <w:lang w:eastAsia="ru-RU"/>
    </w:rPr>
  </w:style>
  <w:style w:type="paragraph" w:styleId="BodyTextIndent">
    <w:name w:val="Body Text Indent"/>
    <w:basedOn w:val="Normal"/>
    <w:link w:val="Style4"/>
    <w:pPr>
      <w:ind w:left="360" w:hanging="0"/>
    </w:pPr>
    <w:rPr>
      <w:rFonts w:eastAsia="Times New Roman" w:cs="Times New Roman"/>
      <w:szCs w:val="24"/>
      <w:lang w:eastAsia="ru-RU"/>
    </w:rPr>
  </w:style>
  <w:style w:type="paragraph" w:styleId="Footer">
    <w:name w:val="Footer"/>
    <w:basedOn w:val="Normal"/>
    <w:link w:val="Style5"/>
    <w:pPr>
      <w:tabs>
        <w:tab w:val="clear" w:pos="720"/>
        <w:tab w:val="center" w:pos="4677" w:leader="none"/>
        <w:tab w:val="right" w:pos="9355" w:leader="none"/>
      </w:tabs>
    </w:pPr>
    <w:rPr>
      <w:rFonts w:eastAsia="Times New Roman" w:cs="Times New Roman"/>
      <w:sz w:val="28"/>
      <w:szCs w:val="28"/>
      <w:lang w:eastAsia="ru-RU"/>
    </w:rPr>
  </w:style>
  <w:style w:type="paragraph" w:styleId="BodyTextIndent2">
    <w:name w:val="Body Text Indent 2"/>
    <w:basedOn w:val="Normal"/>
    <w:link w:val="21"/>
    <w:qFormat/>
    <w:pPr>
      <w:spacing w:lineRule="auto" w:line="480" w:before="0" w:after="120"/>
      <w:ind w:left="283" w:hanging="0"/>
    </w:pPr>
    <w:rPr>
      <w:rFonts w:eastAsia="Times New Roman" w:cs="Times New Roman"/>
      <w:sz w:val="28"/>
      <w:szCs w:val="28"/>
      <w:lang w:eastAsia="ru-RU"/>
    </w:rPr>
  </w:style>
  <w:style w:type="paragraph" w:styleId="BodyText3">
    <w:name w:val="Body Text 3"/>
    <w:basedOn w:val="Normal"/>
    <w:link w:val="31"/>
    <w:qFormat/>
    <w:pPr>
      <w:spacing w:before="0" w:after="120"/>
    </w:pPr>
    <w:rPr>
      <w:rFonts w:eastAsia="Times New Roman" w:cs="Times New Roman"/>
      <w:sz w:val="16"/>
      <w:szCs w:val="16"/>
      <w:lang w:eastAsia="ru-RU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rFonts w:eastAsia="Times New Roman" w:cs="Times New Roman"/>
      <w:sz w:val="16"/>
      <w:szCs w:val="16"/>
      <w:lang w:eastAsia="ru-RU"/>
    </w:rPr>
  </w:style>
  <w:style w:type="paragraph" w:styleId="BodyText2">
    <w:name w:val="Body Text 2"/>
    <w:basedOn w:val="Normal"/>
    <w:link w:val="22"/>
    <w:qFormat/>
    <w:pPr>
      <w:spacing w:lineRule="auto" w:line="480" w:before="0" w:after="120"/>
    </w:pPr>
    <w:rPr>
      <w:rFonts w:eastAsia="Times New Roman" w:cs="Times New Roman"/>
      <w:sz w:val="28"/>
      <w:szCs w:val="28"/>
      <w:lang w:eastAsia="ru-RU"/>
    </w:rPr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rFonts w:eastAsia="Times New Roman" w:cs="Times New Roman"/>
      <w:b/>
      <w:bCs/>
      <w:szCs w:val="20"/>
      <w:lang w:eastAsia="ru-RU"/>
    </w:rPr>
  </w:style>
  <w:style w:type="paragraph" w:styleId="Style26" w:customStyle="1">
    <w:name w:val="Подпункт"/>
    <w:basedOn w:val="Normal"/>
    <w:link w:val="11"/>
    <w:qFormat/>
    <w:pPr>
      <w:tabs>
        <w:tab w:val="clear" w:pos="720"/>
        <w:tab w:val="left" w:pos="1134" w:leader="none"/>
      </w:tabs>
      <w:snapToGrid w:val="false"/>
      <w:spacing w:lineRule="auto" w:line="360"/>
      <w:ind w:left="1134" w:hanging="1134"/>
      <w:jc w:val="both"/>
    </w:pPr>
    <w:rPr>
      <w:rFonts w:eastAsia="Times New Roman" w:cs="Times New Roman"/>
      <w:sz w:val="28"/>
      <w:szCs w:val="20"/>
      <w:lang w:val="x-none" w:eastAsia="x-none"/>
    </w:rPr>
  </w:style>
  <w:style w:type="paragraph" w:styleId="26" w:customStyle="1">
    <w:name w:val="Пункт2"/>
    <w:basedOn w:val="Normal"/>
    <w:link w:val="24"/>
    <w:qFormat/>
    <w:pPr>
      <w:keepNext w:val="true"/>
      <w:tabs>
        <w:tab w:val="clear" w:pos="720"/>
        <w:tab w:val="left" w:pos="1134" w:leader="none"/>
      </w:tabs>
      <w:snapToGrid w:val="false"/>
      <w:spacing w:before="240" w:after="120"/>
      <w:ind w:left="1134" w:hanging="1134"/>
      <w:outlineLvl w:val="2"/>
    </w:pPr>
    <w:rPr>
      <w:rFonts w:eastAsia="Times New Roman" w:cs="Times New Roman"/>
      <w:b/>
      <w:sz w:val="28"/>
      <w:szCs w:val="20"/>
      <w:lang w:eastAsia="ru-RU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eastAsia="Times New Roman" w:cs="Calibri Light (Заголовки)"/>
      <w:b/>
      <w:bCs/>
      <w:szCs w:val="24"/>
      <w:lang w:eastAsia="ru-RU"/>
    </w:rPr>
  </w:style>
  <w:style w:type="paragraph" w:styleId="TOC3">
    <w:name w:val="TOC 3"/>
    <w:basedOn w:val="Normal"/>
    <w:next w:val="Normal"/>
    <w:autoRedefine/>
    <w:pPr>
      <w:ind w:left="280" w:hanging="0"/>
    </w:pPr>
    <w:rPr>
      <w:rFonts w:eastAsia="Times New Roman" w:cs="Calibri"/>
      <w:sz w:val="20"/>
      <w:szCs w:val="20"/>
      <w:lang w:eastAsia="ru-RU"/>
    </w:rPr>
  </w:style>
  <w:style w:type="paragraph" w:styleId="Style27" w:customStyle="1">
    <w:name w:val="Раздел регламента"/>
    <w:basedOn w:val="Normal"/>
    <w:qFormat/>
    <w:pPr/>
    <w:rPr>
      <w:rFonts w:eastAsia="Times New Roman" w:cs="Times New Roman"/>
      <w:sz w:val="28"/>
      <w:szCs w:val="28"/>
      <w:lang w:eastAsia="ru-RU"/>
    </w:rPr>
  </w:style>
  <w:style w:type="paragraph" w:styleId="Style28" w:customStyle="1">
    <w:name w:val="Приложение к регламенту"/>
    <w:basedOn w:val="Normal"/>
    <w:qFormat/>
    <w:pPr>
      <w:jc w:val="right"/>
    </w:pPr>
    <w:rPr>
      <w:rFonts w:eastAsia="Times New Roman" w:cs="Times New Roman"/>
      <w:sz w:val="28"/>
      <w:szCs w:val="28"/>
      <w:lang w:eastAsia="ru-RU"/>
    </w:rPr>
  </w:style>
  <w:style w:type="paragraph" w:styleId="TOC2">
    <w:name w:val="TOC 2"/>
    <w:basedOn w:val="Normal"/>
    <w:next w:val="Normal"/>
    <w:autoRedefine/>
    <w:pPr>
      <w:spacing w:before="240" w:after="0"/>
    </w:pPr>
    <w:rPr>
      <w:rFonts w:eastAsia="Times New Roman" w:cs="Calibri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Style7"/>
    <w:qFormat/>
    <w:pPr/>
    <w:rPr>
      <w:rFonts w:ascii="Tahoma" w:hAnsi="Tahoma" w:eastAsia="Times New Roman"/>
      <w:sz w:val="16"/>
      <w:szCs w:val="16"/>
      <w:lang w:eastAsia="ru-RU"/>
    </w:rPr>
  </w:style>
  <w:style w:type="paragraph" w:styleId="Annotationtext">
    <w:name w:val="annotation text"/>
    <w:basedOn w:val="Normal"/>
    <w:link w:val="Style8"/>
    <w:qFormat/>
    <w:pPr/>
    <w:rPr>
      <w:rFonts w:eastAsia="Times New Roman" w:cs="Times New Roman"/>
      <w:sz w:val="20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9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Cs w:val="24"/>
      <w:lang w:eastAsia="ru-RU"/>
    </w:rPr>
  </w:style>
  <w:style w:type="paragraph" w:styleId="TOC9">
    <w:name w:val="TOC 9"/>
    <w:basedOn w:val="Normal"/>
    <w:next w:val="Normal"/>
    <w:autoRedefine/>
    <w:pPr>
      <w:ind w:left="196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5">
    <w:name w:val="TOC 5"/>
    <w:basedOn w:val="Normal"/>
    <w:next w:val="Normal"/>
    <w:autoRedefine/>
    <w:pPr>
      <w:ind w:left="84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pPr>
      <w:ind w:left="560" w:hanging="0"/>
    </w:pPr>
    <w:rPr>
      <w:rFonts w:eastAsia="Times New Roman" w:cs="Calibri"/>
      <w:sz w:val="20"/>
      <w:szCs w:val="20"/>
      <w:lang w:eastAsia="ru-RU"/>
    </w:rPr>
  </w:style>
  <w:style w:type="paragraph" w:styleId="27" w:customStyle="1">
    <w:name w:val="Раздел положения 2"/>
    <w:basedOn w:val="Normal"/>
    <w:qFormat/>
    <w:pPr>
      <w:pageBreakBefore/>
      <w:jc w:val="both"/>
      <w:outlineLvl w:val="0"/>
    </w:pPr>
    <w:rPr>
      <w:rFonts w:eastAsia="Times New Roman" w:cs="Times New Roman"/>
      <w:b/>
      <w:sz w:val="28"/>
      <w:szCs w:val="28"/>
      <w:lang w:eastAsia="ru-RU"/>
    </w:rPr>
  </w:style>
  <w:style w:type="paragraph" w:styleId="Style29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NoSpacing">
    <w:name w:val="No Spacing"/>
    <w:basedOn w:val="Normal"/>
    <w:qFormat/>
    <w:pPr>
      <w:spacing w:lineRule="auto" w:line="360"/>
    </w:pPr>
    <w:rPr>
      <w:rFonts w:cs="Times New Roman"/>
      <w:szCs w:val="24"/>
      <w:lang w:eastAsia="ru-RU"/>
    </w:rPr>
  </w:style>
  <w:style w:type="paragraph" w:styleId="Subtitle">
    <w:name w:val="Subtitle"/>
    <w:basedOn w:val="Normal"/>
    <w:next w:val="Normal"/>
    <w:link w:val="Style11"/>
    <w:qFormat/>
    <w:pPr>
      <w:ind w:left="1066" w:firstLine="709"/>
    </w:pPr>
    <w:rPr>
      <w:rFonts w:ascii="Cambria" w:hAnsi="Cambria" w:eastAsia="Times New Roman" w:cs="Times New Roman"/>
      <w:i/>
      <w:iCs/>
      <w:color w:val="4F81BD"/>
      <w:spacing w:val="15"/>
      <w:szCs w:val="24"/>
      <w:lang w:val="x-none" w:eastAsia="x-none"/>
    </w:rPr>
  </w:style>
  <w:style w:type="paragraph" w:styleId="ListParagraph">
    <w:name w:val="List Paragraph"/>
    <w:basedOn w:val="Normal"/>
    <w:link w:val="Style14"/>
    <w:qFormat/>
    <w:pPr>
      <w:ind w:left="708" w:hanging="0"/>
    </w:pPr>
    <w:rPr/>
  </w:style>
  <w:style w:type="paragraph" w:styleId="Quote">
    <w:name w:val="Quote"/>
    <w:basedOn w:val="Normal"/>
    <w:next w:val="Normal"/>
    <w:link w:val="23"/>
    <w:qFormat/>
    <w:pPr/>
    <w:rPr>
      <w:rFonts w:ascii="Calibri" w:hAnsi="Calibri" w:cs="Times New Roman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12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cs="Times New Roman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9"/>
    <w:pPr/>
    <w:rPr/>
  </w:style>
  <w:style w:type="paragraph" w:styleId="TOCHeading">
    <w:name w:val="TOC Heading"/>
    <w:basedOn w:val="Heading1"/>
    <w:next w:val="Normal"/>
    <w:qFormat/>
    <w:pPr>
      <w:keepLines/>
      <w:tabs>
        <w:tab w:val="clear" w:pos="0"/>
        <w:tab w:val="left" w:pos="709" w:leader="none"/>
      </w:tabs>
      <w:spacing w:before="480" w:after="0"/>
      <w:ind w:left="3196" w:hanging="3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13"/>
    <w:qFormat/>
    <w:pPr/>
    <w:rPr>
      <w:rFonts w:cs="Times New Roman"/>
      <w:szCs w:val="24"/>
      <w:lang w:val="x-none" w:eastAsia="x-none"/>
    </w:rPr>
  </w:style>
  <w:style w:type="paragraph" w:styleId="Style30" w:customStyle="1">
    <w:name w:val="Знак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35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311" w:customStyle="1">
    <w:name w:val="Список 3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28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 w:eastAsia="Times New Roman" w:cs="Times New Roman"/>
      <w:szCs w:val="20"/>
      <w:lang w:eastAsia="ru-RU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eastAsia="Times New Roman" w:cs="Verdana"/>
      <w:sz w:val="22"/>
      <w:lang w:val="en-US"/>
    </w:rPr>
  </w:style>
  <w:style w:type="paragraph" w:styleId="Style31" w:customStyle="1">
    <w:name w:val="Пункт"/>
    <w:basedOn w:val="Normal"/>
    <w:qFormat/>
    <w:pPr>
      <w:widowControl w:val="false"/>
      <w:tabs>
        <w:tab w:val="clear" w:pos="720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Times New Roman" w:cs="Times New Roman"/>
      <w:b/>
      <w:i/>
      <w:sz w:val="28"/>
      <w:szCs w:val="20"/>
      <w:lang w:eastAsia="ru-RU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eastAsia="Times New Roman" w:cs="Times New Roman"/>
      <w:sz w:val="22"/>
    </w:rPr>
  </w:style>
  <w:style w:type="paragraph" w:styleId="Style32" w:customStyle="1">
    <w:name w:val="Таблица"/>
    <w:basedOn w:val="Normal"/>
    <w:qFormat/>
    <w:pPr>
      <w:keepNext w:val="true"/>
      <w:spacing w:before="60" w:after="60"/>
      <w:jc w:val="center"/>
    </w:pPr>
    <w:rPr>
      <w:rFonts w:cs="Times New Roman"/>
      <w:b/>
      <w:szCs w:val="24"/>
      <w:lang w:val="x-none" w:eastAsia="x-none"/>
    </w:rPr>
  </w:style>
  <w:style w:type="paragraph" w:styleId="Style33" w:customStyle="1">
    <w:name w:val="Подподпункт"/>
    <w:basedOn w:val="Style26"/>
    <w:link w:val="Style15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4" w:customStyle="1">
    <w:name w:val="УРОВЕНЬ_(а)"/>
    <w:basedOn w:val="ListParagraph"/>
    <w:qFormat/>
    <w:pPr>
      <w:numPr>
        <w:ilvl w:val="3"/>
        <w:numId w:val="3"/>
      </w:numPr>
      <w:spacing w:lineRule="exact" w:line="360" w:before="120" w:after="0"/>
      <w:ind w:left="1728" w:hanging="648"/>
      <w:jc w:val="both"/>
      <w:outlineLvl w:val="3"/>
    </w:pPr>
    <w:rPr>
      <w:sz w:val="26"/>
      <w:szCs w:val="28"/>
    </w:rPr>
  </w:style>
  <w:style w:type="paragraph" w:styleId="-" w:customStyle="1">
    <w:name w:val="УРОВЕНЬ_-"/>
    <w:basedOn w:val="ListParagraph"/>
    <w:qFormat/>
    <w:pPr>
      <w:numPr>
        <w:ilvl w:val="4"/>
        <w:numId w:val="3"/>
      </w:numPr>
      <w:spacing w:lineRule="exact" w:line="360" w:before="120" w:after="0"/>
      <w:ind w:left="2232" w:hanging="792"/>
      <w:jc w:val="both"/>
      <w:outlineLvl w:val="4"/>
    </w:pPr>
    <w:rPr>
      <w:sz w:val="26"/>
      <w:szCs w:val="28"/>
    </w:rPr>
  </w:style>
  <w:style w:type="paragraph" w:styleId="29" w:customStyle="1">
    <w:name w:val="УРОВЕНЬ_Абзац_тип2"/>
    <w:basedOn w:val="ListParagraph"/>
    <w:qFormat/>
    <w:pPr>
      <w:numPr>
        <w:ilvl w:val="6"/>
        <w:numId w:val="3"/>
      </w:numPr>
      <w:spacing w:lineRule="exact" w:line="360" w:before="120" w:after="0"/>
      <w:ind w:left="3240" w:hanging="1080"/>
      <w:jc w:val="both"/>
    </w:pPr>
    <w:rPr>
      <w:sz w:val="26"/>
      <w:szCs w:val="28"/>
    </w:rPr>
  </w:style>
  <w:style w:type="paragraph" w:styleId="37" w:customStyle="1">
    <w:name w:val="УРОВЕНЬ_Абзац_тип3"/>
    <w:basedOn w:val="ListParagraph"/>
    <w:link w:val="33"/>
    <w:qFormat/>
    <w:pPr>
      <w:numPr>
        <w:ilvl w:val="7"/>
        <w:numId w:val="3"/>
      </w:numPr>
      <w:spacing w:lineRule="exact" w:line="360" w:before="120" w:after="0"/>
      <w:jc w:val="both"/>
    </w:pPr>
    <w:rPr>
      <w:sz w:val="26"/>
      <w:szCs w:val="28"/>
    </w:rPr>
  </w:style>
  <w:style w:type="paragraph" w:styleId="Style35" w:customStyle="1">
    <w:name w:val="УРОВЕНЬ_Подпись"/>
    <w:basedOn w:val="ListParagraph"/>
    <w:qFormat/>
    <w:pPr>
      <w:keepNext w:val="true"/>
      <w:numPr>
        <w:ilvl w:val="5"/>
        <w:numId w:val="3"/>
      </w:numPr>
      <w:spacing w:lineRule="exact" w:line="360" w:before="120" w:after="120"/>
      <w:ind w:left="2736" w:hanging="936"/>
      <w:jc w:val="right"/>
      <w:outlineLvl w:val="3"/>
    </w:pPr>
    <w:rPr>
      <w:sz w:val="26"/>
      <w:szCs w:val="28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  <w:tab w:val="left" w:pos="709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6"/>
    <w:pPr/>
    <w:rPr>
      <w:rFonts w:eastAsia="Times New Roman" w:cs="Times New Roman"/>
      <w:sz w:val="20"/>
      <w:szCs w:val="20"/>
      <w:lang w:eastAsia="ru-RU"/>
    </w:rPr>
  </w:style>
  <w:style w:type="paragraph" w:styleId="210" w:customStyle="1">
    <w:name w:val="Заголовок 2 КВВ"/>
    <w:basedOn w:val="Normal"/>
    <w:qFormat/>
    <w:pPr>
      <w:keepNext w:val="true"/>
      <w:numPr>
        <w:ilvl w:val="0"/>
        <w:numId w:val="4"/>
      </w:numPr>
      <w:spacing w:before="120" w:after="120"/>
      <w:jc w:val="both"/>
      <w:outlineLvl w:val="0"/>
    </w:pPr>
    <w:rPr>
      <w:rFonts w:eastAsia="Times New Roman" w:cs="Times New Roman"/>
      <w:b/>
      <w:kern w:val="2"/>
      <w:szCs w:val="20"/>
      <w:lang w:eastAsia="x-none"/>
    </w:rPr>
  </w:style>
  <w:style w:type="paragraph" w:styleId="Style36" w:customStyle="1">
    <w:name w:val="Таблица текст"/>
    <w:basedOn w:val="Normal"/>
    <w:qFormat/>
    <w:pPr>
      <w:spacing w:before="40" w:after="40"/>
      <w:ind w:left="57" w:right="57" w:hanging="0"/>
    </w:pPr>
    <w:rPr>
      <w:rFonts w:eastAsia="Times New Roman" w:cs="Times New Roman"/>
      <w:szCs w:val="26"/>
      <w:lang w:eastAsia="ru-RU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 w:cs="Times New Roman"/>
      <w:szCs w:val="24"/>
      <w:lang w:eastAsia="ru-RU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 w:hanging="0"/>
      <w:jc w:val="both"/>
      <w:outlineLvl w:val="0"/>
    </w:pPr>
    <w:rPr>
      <w:caps/>
      <w:sz w:val="28"/>
      <w:szCs w:val="28"/>
    </w:rPr>
  </w:style>
  <w:style w:type="paragraph" w:styleId="TOC6">
    <w:name w:val="TOC 6"/>
    <w:basedOn w:val="Normal"/>
    <w:next w:val="Normal"/>
    <w:autoRedefine/>
    <w:pPr>
      <w:ind w:left="112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7">
    <w:name w:val="TOC 7"/>
    <w:basedOn w:val="Normal"/>
    <w:next w:val="Normal"/>
    <w:autoRedefine/>
    <w:pPr>
      <w:ind w:left="140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TOC8">
    <w:name w:val="TOC 8"/>
    <w:basedOn w:val="Normal"/>
    <w:next w:val="Normal"/>
    <w:autoRedefine/>
    <w:pPr>
      <w:ind w:left="1680" w:hanging="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Style37" w:customStyle="1">
    <w:name w:val="Знак Знак Знак Знак"/>
    <w:basedOn w:val="Normal"/>
    <w:qFormat/>
    <w:pPr>
      <w:suppressAutoHyphens w:val="false"/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-1" w:customStyle="1">
    <w:name w:val="Контракт-раздел"/>
    <w:basedOn w:val="Normal"/>
    <w:qFormat/>
    <w:pPr>
      <w:keepNext w:val="true"/>
      <w:keepLines/>
      <w:tabs>
        <w:tab w:val="clear" w:pos="720"/>
        <w:tab w:val="left" w:pos="0" w:leader="none"/>
        <w:tab w:val="left" w:pos="567" w:leader="none"/>
      </w:tabs>
      <w:spacing w:before="240" w:after="120"/>
      <w:jc w:val="center"/>
      <w:outlineLvl w:val="2"/>
    </w:pPr>
    <w:rPr>
      <w:rFonts w:eastAsia="Times New Roman" w:cs="Times New Roman"/>
      <w:b/>
      <w:bCs/>
      <w:caps/>
      <w:szCs w:val="28"/>
      <w:lang w:eastAsia="ru-RU"/>
    </w:rPr>
  </w:style>
  <w:style w:type="paragraph" w:styleId="-2" w:customStyle="1">
    <w:name w:val="Контракт-пункт"/>
    <w:basedOn w:val="Normal"/>
    <w:qFormat/>
    <w:pPr>
      <w:tabs>
        <w:tab w:val="clear" w:pos="720"/>
        <w:tab w:val="left" w:pos="1391" w:leader="none"/>
      </w:tabs>
      <w:ind w:left="1391" w:hanging="851"/>
    </w:pPr>
    <w:rPr>
      <w:rFonts w:eastAsia="Times New Roman" w:cs="Times New Roman"/>
      <w:szCs w:val="28"/>
      <w:lang w:eastAsia="ru-RU"/>
    </w:rPr>
  </w:style>
  <w:style w:type="paragraph" w:styleId="110" w:customStyle="1">
    <w:name w:val="Обычный1"/>
    <w:qFormat/>
    <w:pPr>
      <w:widowControl w:val="false"/>
      <w:suppressAutoHyphens w:val="true"/>
      <w:overflowPunct w:val="fals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Style38" w:customStyle="1">
    <w:name w:val="Пункт договора"/>
    <w:basedOn w:val="Normal"/>
    <w:qFormat/>
    <w:pPr>
      <w:widowControl w:val="false"/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Style39" w:customStyle="1">
    <w:name w:val="Подпункт договора"/>
    <w:basedOn w:val="Normal"/>
    <w:qFormat/>
    <w:pPr>
      <w:tabs>
        <w:tab w:val="clear" w:pos="720"/>
        <w:tab w:val="left" w:pos="360" w:leader="none"/>
      </w:tabs>
      <w:jc w:val="both"/>
    </w:pPr>
    <w:rPr>
      <w:rFonts w:ascii="Arial" w:hAnsi="Arial" w:eastAsia="Times New Roman" w:cs="Times New Roman"/>
      <w:sz w:val="20"/>
      <w:szCs w:val="20"/>
      <w:lang w:eastAsia="ru-RU"/>
    </w:rPr>
  </w:style>
  <w:style w:type="paragraph" w:styleId="BodyText21" w:customStyle="1">
    <w:name w:val="Body Text 21"/>
    <w:basedOn w:val="Normal"/>
    <w:qFormat/>
    <w:pPr>
      <w:ind w:firstLine="709"/>
      <w:jc w:val="both"/>
    </w:pPr>
    <w:rPr>
      <w:rFonts w:eastAsia="Times New Roman" w:cs="Times New Roman"/>
      <w:szCs w:val="20"/>
      <w:lang w:eastAsia="ru-RU"/>
    </w:rPr>
  </w:style>
  <w:style w:type="paragraph" w:styleId="Style40" w:customStyle="1">
    <w:name w:val="Обычный+ без отступа"/>
    <w:basedOn w:val="Normal"/>
    <w:qFormat/>
    <w:pPr>
      <w:spacing w:lineRule="auto" w:line="360" w:before="120" w:after="0"/>
      <w:jc w:val="both"/>
    </w:pPr>
    <w:rPr>
      <w:rFonts w:eastAsia="MS Mincho" w:cs="Times New Roman"/>
      <w:sz w:val="28"/>
      <w:szCs w:val="28"/>
      <w:lang w:eastAsia="ru-RU"/>
    </w:rPr>
  </w:style>
  <w:style w:type="paragraph" w:styleId="111" w:customStyle="1">
    <w:name w:val="Знак Знак Знак Знак1"/>
    <w:basedOn w:val="Normal"/>
    <w:qFormat/>
    <w:pPr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paragraph" w:styleId="211" w:customStyle="1">
    <w:name w:val="Обычный2"/>
    <w:qFormat/>
    <w:pPr>
      <w:widowControl w:val="false"/>
      <w:suppressAutoHyphens w:val="true"/>
      <w:overflowPunct w:val="false"/>
      <w:bidi w:val="0"/>
      <w:spacing w:lineRule="auto" w:line="300" w:before="0" w:after="0"/>
      <w:ind w:left="600" w:hanging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Jss308" w:customStyle="1">
    <w:name w:val="jss308"/>
    <w:basedOn w:val="Normal"/>
    <w:qFormat/>
    <w:pPr>
      <w:suppressAutoHyphens w:val="false"/>
      <w:spacing w:before="280" w:after="280"/>
    </w:pPr>
    <w:rPr>
      <w:rFonts w:eastAsia="Times New Roman" w:cs="Times New Roman"/>
      <w:szCs w:val="24"/>
      <w:lang w:eastAsia="ru-RU"/>
    </w:rPr>
  </w:style>
  <w:style w:type="paragraph" w:styleId="Style4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2" w:customStyle="1">
    <w:name w:val="Заголовок таблицы"/>
    <w:basedOn w:val="Style41"/>
    <w:qFormat/>
    <w:pPr>
      <w:jc w:val="center"/>
    </w:pPr>
    <w:rPr>
      <w:b/>
      <w:bCs/>
    </w:rPr>
  </w:style>
  <w:style w:type="paragraph" w:styleId="Style43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qFormat/>
  </w:style>
  <w:style w:type="numbering" w:styleId="212" w:customStyle="1">
    <w:name w:val="Стиль2"/>
    <w:qFormat/>
  </w:style>
  <w:style w:type="numbering" w:styleId="113" w:customStyle="1">
    <w:name w:val="Нет списка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AlterOffice/3.4.0.9$Linux_X86_64 LibreOffice_project/b8daf9e823b1a5463a2f48435ddc2e8696e7d4fc</Application>
  <AppVersion>15.0000</AppVersion>
  <DocSecurity>4</DocSecurity>
  <Pages>9</Pages>
  <Words>1163</Words>
  <Characters>8112</Characters>
  <CharactersWithSpaces>9026</CharactersWithSpaces>
  <Paragraphs>253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2026-08-04T06:07:00Z</dcterms:created>
  <dc:creator>Вашкевич Ольга Владимировна</dc:creator>
  <dc:description/>
  <dc:language>ru-RU</dc:language>
  <cp:lastModifiedBy>kudryavtsevaen@corp.gidroogk.com</cp:lastModifiedBy>
  <cp:lastPrinted>2024-07-23T10:15:00Z</cp:lastPrinted>
  <dcterms:modified xsi:type="dcterms:W3CDTF">2026-10-19T15:43:27Z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