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3318" w:leader="none"/>
        </w:tabs>
        <w:ind w:left="-567" w:right="0" w:firstLine="567"/>
        <w:jc w:val="right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 xml:space="preserve">Приложение </w:t>
      </w:r>
      <w:r>
        <w:rPr>
          <w:i/>
          <w:sz w:val="20"/>
          <w:szCs w:val="20"/>
        </w:rPr>
        <w:t>3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к письму от </w:t>
      </w:r>
      <w:r>
        <w:rPr>
          <w:i/>
          <w:sz w:val="20"/>
          <w:szCs w:val="20"/>
        </w:rPr>
        <w:t>20.10.2026</w:t>
      </w:r>
      <w:r>
        <w:rPr>
          <w:bCs/>
          <w:i/>
          <w:sz w:val="20"/>
          <w:szCs w:val="20"/>
        </w:rPr>
        <w:t xml:space="preserve">  №</w:t>
      </w:r>
      <w:r>
        <w:rPr>
          <w:bCs/>
          <w:i/>
          <w:sz w:val="20"/>
          <w:szCs w:val="20"/>
        </w:rPr>
        <w:t>07-19/5872</w:t>
      </w:r>
    </w:p>
    <w:p>
      <w:pPr>
        <w:pStyle w:val="Normal"/>
        <w:tabs>
          <w:tab w:val="clear" w:pos="708"/>
          <w:tab w:val="left" w:pos="3318" w:leader="none"/>
        </w:tabs>
        <w:jc w:val="right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tabs>
          <w:tab w:val="clear" w:pos="708"/>
          <w:tab w:val="left" w:pos="3318" w:leader="none"/>
        </w:tabs>
        <w:jc w:val="right"/>
        <w:rPr>
          <w:i/>
          <w:i/>
          <w:sz w:val="20"/>
          <w:szCs w:val="20"/>
        </w:rPr>
      </w:pPr>
      <w:r>
        <w:rPr>
          <w:i/>
          <w:sz w:val="20"/>
          <w:szCs w:val="20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2335530</wp:posOffset>
            </wp:positionH>
            <wp:positionV relativeFrom="paragraph">
              <wp:posOffset>133350</wp:posOffset>
            </wp:positionV>
            <wp:extent cx="1464945" cy="476250"/>
            <wp:effectExtent l="0" t="0" r="0" b="0"/>
            <wp:wrapTight wrapText="bothSides">
              <wp:wrapPolygon edited="0">
                <wp:start x="1273" y="0"/>
                <wp:lineTo x="-123" y="4208"/>
                <wp:lineTo x="-123" y="17954"/>
                <wp:lineTo x="1833" y="20546"/>
                <wp:lineTo x="21308" y="20546"/>
                <wp:lineTo x="21308" y="17081"/>
                <wp:lineTo x="14816" y="13658"/>
                <wp:lineTo x="16796" y="13658"/>
                <wp:lineTo x="18771" y="5913"/>
                <wp:lineTo x="18480" y="0"/>
                <wp:lineTo x="1273" y="0"/>
              </wp:wrapPolygon>
            </wp:wrapTight>
            <wp:docPr id="1" name="Рисунок 1" descr="C:\Users\portyanaya_vg\Desktop\1_Филиал АЭ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portyanaya_vg\Desktop\1_Филиал АЭС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4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pacing w:before="0" w:after="0"/>
        <w:contextualSpacing/>
        <w:rPr>
          <w:rFonts w:ascii="Arial" w:hAnsi="Arial" w:cs="Arial"/>
          <w:color w:val="000000"/>
          <w:sz w:val="10"/>
          <w:szCs w:val="10"/>
        </w:rPr>
      </w:pPr>
      <w:r>
        <w:rPr>
          <w:rFonts w:cs="Arial" w:ascii="Arial" w:hAnsi="Arial"/>
          <w:color w:val="000000"/>
          <w:sz w:val="10"/>
          <w:szCs w:val="10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cs="Arial"/>
          <w:bCs/>
          <w:sz w:val="30"/>
          <w:szCs w:val="30"/>
        </w:rPr>
      </w:pPr>
      <w:r>
        <w:rPr>
          <w:rFonts w:cs="Arial" w:ascii="Arial" w:hAnsi="Arial"/>
          <w:bCs/>
          <w:sz w:val="30"/>
          <w:szCs w:val="30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cs="Arial"/>
          <w:bCs/>
          <w:lang w:val="en-US"/>
        </w:rPr>
      </w:pPr>
      <w:r>
        <w:rPr>
          <w:rFonts w:cs="Arial" w:ascii="Arial" w:hAnsi="Arial"/>
          <w:bCs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cs="Arial"/>
          <w:bCs/>
          <w:lang w:val="en-US"/>
        </w:rPr>
      </w:pPr>
      <w:r>
        <w:rPr>
          <w:rFonts w:cs="Arial" w:ascii="Arial" w:hAnsi="Arial"/>
          <w:bCs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cs="Arial"/>
          <w:bCs/>
          <w:lang w:val="en-US"/>
        </w:rPr>
      </w:pPr>
      <w:r>
        <w:rPr>
          <w:rFonts w:cs="Arial" w:ascii="Arial" w:hAnsi="Arial"/>
          <w:bCs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ind w:left="0" w:hanging="0"/>
        <w:jc w:val="center"/>
        <w:outlineLvl w:val="0"/>
        <w:rPr>
          <w:rFonts w:ascii="Arial" w:hAnsi="Arial" w:cs="Arial"/>
          <w:b/>
          <w:b/>
          <w:bCs/>
          <w:sz w:val="10"/>
          <w:szCs w:val="10"/>
        </w:rPr>
      </w:pPr>
      <w:r>
        <w:rPr>
          <w:rFonts w:cs="Arial" w:ascii="Arial" w:hAnsi="Arial"/>
          <w:b/>
          <w:bCs/>
          <w:sz w:val="10"/>
          <w:szCs w:val="10"/>
        </w:rPr>
      </w:r>
    </w:p>
    <w:tbl>
      <w:tblPr>
        <w:tblW w:w="99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21"/>
      </w:tblGrid>
      <w:tr>
        <w:trPr>
          <w:trHeight w:val="426" w:hRule="atLeast"/>
        </w:trPr>
        <w:tc>
          <w:tcPr>
            <w:tcW w:w="9921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  <w:t>Акционерное общество «Дальневосточная распределительная сетевая компания»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ФИЛИАЛ «АМУРСКИЕ ЭЛЕКТРИЧЕСКИЕ СЕТИ»</w:t>
            </w:r>
          </w:p>
        </w:tc>
      </w:tr>
      <w:tr>
        <w:trPr>
          <w:trHeight w:val="80" w:hRule="atLeast"/>
        </w:trPr>
        <w:tc>
          <w:tcPr>
            <w:tcW w:w="9921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rFonts w:ascii="Arial" w:hAnsi="Arial" w:cs="Arial"/>
                <w:bCs/>
                <w:sz w:val="6"/>
                <w:szCs w:val="6"/>
              </w:rPr>
            </w:pPr>
            <w:r>
              <w:rPr>
                <w:rFonts w:cs="Arial" w:ascii="Arial" w:hAnsi="Arial"/>
                <w:bCs/>
                <w:sz w:val="6"/>
                <w:szCs w:val="6"/>
              </w:rPr>
            </w:r>
          </w:p>
        </w:tc>
      </w:tr>
      <w:tr>
        <w:trPr>
          <w:trHeight w:val="227" w:hRule="atLeast"/>
        </w:trPr>
        <w:tc>
          <w:tcPr>
            <w:tcW w:w="9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8"/>
                <w:szCs w:val="18"/>
              </w:rPr>
              <w:t>ул. Шевченко, 28, г. Благовещенск, Амурская  область, Российская Федерация, 675000</w:t>
            </w:r>
          </w:p>
        </w:tc>
      </w:tr>
      <w:tr>
        <w:trPr>
          <w:trHeight w:val="283" w:hRule="atLeast"/>
        </w:trPr>
        <w:tc>
          <w:tcPr>
            <w:tcW w:w="9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телефон: +7(</w:t>
            </w:r>
            <w:r>
              <w:rPr>
                <w:rFonts w:cs="Arial" w:ascii="Arial" w:hAnsi="Arial"/>
                <w:sz w:val="18"/>
                <w:szCs w:val="18"/>
                <w:lang w:val="en-US"/>
              </w:rPr>
              <w:t>4162</w:t>
            </w:r>
            <w:r>
              <w:rPr>
                <w:rFonts w:cs="Arial" w:ascii="Arial" w:hAnsi="Arial"/>
                <w:sz w:val="18"/>
                <w:szCs w:val="18"/>
              </w:rPr>
              <w:t xml:space="preserve">) </w:t>
            </w:r>
            <w:r>
              <w:rPr>
                <w:rFonts w:cs="Arial" w:ascii="Arial" w:hAnsi="Arial"/>
                <w:sz w:val="18"/>
                <w:szCs w:val="18"/>
                <w:lang w:val="en-US"/>
              </w:rPr>
              <w:t>39</w:t>
            </w:r>
            <w:r>
              <w:rPr>
                <w:rFonts w:cs="Arial" w:ascii="Arial" w:hAnsi="Arial"/>
                <w:sz w:val="18"/>
                <w:szCs w:val="18"/>
              </w:rPr>
              <w:t>-</w:t>
            </w:r>
            <w:r>
              <w:rPr>
                <w:rFonts w:cs="Arial" w:ascii="Arial" w:hAnsi="Arial"/>
                <w:sz w:val="18"/>
                <w:szCs w:val="18"/>
                <w:lang w:val="en-US"/>
              </w:rPr>
              <w:t>93</w:t>
            </w:r>
            <w:r>
              <w:rPr>
                <w:rFonts w:cs="Arial" w:ascii="Arial" w:hAnsi="Arial"/>
                <w:sz w:val="18"/>
                <w:szCs w:val="18"/>
              </w:rPr>
              <w:t>-</w:t>
            </w:r>
            <w:r>
              <w:rPr>
                <w:rFonts w:cs="Arial" w:ascii="Arial" w:hAnsi="Arial"/>
                <w:sz w:val="18"/>
                <w:szCs w:val="18"/>
                <w:lang w:val="en-US"/>
              </w:rPr>
              <w:t>59</w:t>
            </w:r>
          </w:p>
        </w:tc>
      </w:tr>
      <w:tr>
        <w:trPr>
          <w:trHeight w:val="227" w:hRule="atLeast"/>
        </w:trPr>
        <w:tc>
          <w:tcPr>
            <w:tcW w:w="9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">
              <w:r>
                <w:rPr>
                  <w:rFonts w:cs="Arial" w:ascii="Arial" w:hAnsi="Arial"/>
                  <w:sz w:val="18"/>
                  <w:szCs w:val="18"/>
                  <w:lang w:val="en-US"/>
                </w:rPr>
                <w:t>doc</w:t>
              </w:r>
              <w:r>
                <w:rPr>
                  <w:rFonts w:cs="Arial" w:ascii="Arial" w:hAnsi="Arial"/>
                  <w:sz w:val="18"/>
                  <w:szCs w:val="18"/>
                </w:rPr>
                <w:t>@</w:t>
              </w:r>
              <w:r>
                <w:rPr>
                  <w:rFonts w:cs="Arial" w:ascii="Arial" w:hAnsi="Arial"/>
                  <w:sz w:val="18"/>
                  <w:szCs w:val="18"/>
                  <w:lang w:val="en-US"/>
                </w:rPr>
                <w:t>amur</w:t>
              </w:r>
              <w:r>
                <w:rPr>
                  <w:rFonts w:cs="Arial" w:ascii="Arial" w:hAnsi="Arial"/>
                  <w:sz w:val="18"/>
                  <w:szCs w:val="18"/>
                </w:rPr>
                <w:t>.</w:t>
              </w:r>
              <w:r>
                <w:rPr>
                  <w:rFonts w:cs="Arial" w:ascii="Arial" w:hAnsi="Arial"/>
                  <w:sz w:val="18"/>
                  <w:szCs w:val="18"/>
                  <w:lang w:val="en-US"/>
                </w:rPr>
                <w:t>drsk</w:t>
              </w:r>
              <w:r>
                <w:rPr>
                  <w:rFonts w:cs="Arial" w:ascii="Arial" w:hAnsi="Arial"/>
                  <w:sz w:val="18"/>
                  <w:szCs w:val="18"/>
                </w:rPr>
                <w:t>.</w:t>
              </w:r>
              <w:r>
                <w:rPr>
                  <w:rFonts w:cs="Arial" w:ascii="Arial" w:hAnsi="Arial"/>
                  <w:sz w:val="18"/>
                  <w:szCs w:val="18"/>
                  <w:lang w:val="en-US"/>
                </w:rPr>
                <w:t>ru</w:t>
              </w:r>
            </w:hyperlink>
            <w:r>
              <w:rPr>
                <w:rFonts w:cs="Arial" w:ascii="Arial" w:hAnsi="Arial"/>
                <w:sz w:val="18"/>
                <w:szCs w:val="18"/>
              </w:rPr>
              <w:t xml:space="preserve">; </w:t>
            </w:r>
            <w:hyperlink r:id="rId4">
              <w:r>
                <w:rPr>
                  <w:rFonts w:cs="Arial" w:ascii="Arial" w:hAnsi="Arial"/>
                  <w:sz w:val="18"/>
                  <w:szCs w:val="18"/>
                  <w:lang w:val="en-US"/>
                </w:rPr>
                <w:t>www</w:t>
              </w:r>
              <w:r>
                <w:rPr>
                  <w:rFonts w:cs="Arial" w:ascii="Arial" w:hAnsi="Arial"/>
                  <w:sz w:val="18"/>
                  <w:szCs w:val="18"/>
                </w:rPr>
                <w:t>.</w:t>
              </w:r>
              <w:r>
                <w:rPr>
                  <w:rFonts w:cs="Arial" w:ascii="Arial" w:hAnsi="Arial"/>
                  <w:sz w:val="18"/>
                  <w:szCs w:val="18"/>
                  <w:lang w:val="en-US"/>
                </w:rPr>
                <w:t>drsk</w:t>
              </w:r>
              <w:r>
                <w:rPr>
                  <w:rFonts w:cs="Arial" w:ascii="Arial" w:hAnsi="Arial"/>
                  <w:sz w:val="18"/>
                  <w:szCs w:val="18"/>
                </w:rPr>
                <w:t>.</w:t>
              </w:r>
              <w:r>
                <w:rPr>
                  <w:rFonts w:cs="Arial" w:ascii="Arial" w:hAnsi="Arial"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>
        <w:trPr>
          <w:trHeight w:val="87" w:hRule="atLeast"/>
        </w:trPr>
        <w:tc>
          <w:tcPr>
            <w:tcW w:w="9921" w:type="dxa"/>
            <w:tcBorders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8"/>
          <w:tab w:val="left" w:pos="3712" w:leader="none"/>
        </w:tabs>
        <w:jc w:val="right"/>
        <w:rPr>
          <w:b/>
          <w:b/>
          <w:bCs/>
        </w:rPr>
      </w:pPr>
      <w:r>
        <w:rPr>
          <w:rFonts w:ascii="Liberation Serif" w:hAnsi="Liberation Serif"/>
          <w:b/>
          <w:bCs/>
          <w:sz w:val="24"/>
          <w:szCs w:val="24"/>
        </w:rPr>
      </w:r>
    </w:p>
    <w:p>
      <w:pPr>
        <w:pStyle w:val="Normal"/>
        <w:shd w:val="clear" w:color="auto" w:fill="FFFFFF"/>
        <w:ind w:firstLine="567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ТЕХНИЧЕСКОЕ ЗАДАНИЕ</w:t>
      </w:r>
    </w:p>
    <w:p>
      <w:pPr>
        <w:pStyle w:val="Normal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i/>
          <w:sz w:val="24"/>
          <w:szCs w:val="24"/>
        </w:rPr>
        <w:t xml:space="preserve">ОКПД2 02.40.10 Выполнение работ по подготовке разрешительных документов на использование лесных участков на территории обслуживания филиала «Амурские электрические сети» </w:t>
      </w:r>
    </w:p>
    <w:p>
      <w:pPr>
        <w:pStyle w:val="Normal"/>
        <w:jc w:val="center"/>
        <w:rPr>
          <w:rFonts w:ascii="Liberation Serif" w:hAnsi="Liberation Serif"/>
          <w:b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ind w:firstLine="709"/>
        <w:jc w:val="both"/>
        <w:rPr>
          <w:b/>
          <w:b/>
        </w:rPr>
      </w:pPr>
      <w:r>
        <w:rPr>
          <w:rFonts w:ascii="Liberation Serif" w:hAnsi="Liberation Serif"/>
          <w:b/>
          <w:sz w:val="24"/>
          <w:szCs w:val="24"/>
        </w:rPr>
        <w:t>1. Заказчик: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Акционерное общество «Дальневосточная распределительная сетевая компания» филиал «Амурские электрические сети».</w:t>
      </w:r>
    </w:p>
    <w:p>
      <w:pPr>
        <w:pStyle w:val="Normal"/>
        <w:ind w:firstLine="709"/>
        <w:jc w:val="both"/>
        <w:rPr>
          <w:rFonts w:ascii="Liberation Serif" w:hAnsi="Liberation Serif"/>
          <w:b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ind w:firstLine="709"/>
        <w:jc w:val="both"/>
        <w:rPr>
          <w:b/>
          <w:b/>
        </w:rPr>
      </w:pPr>
      <w:r>
        <w:rPr>
          <w:rFonts w:ascii="Liberation Serif" w:hAnsi="Liberation Serif"/>
          <w:b/>
          <w:sz w:val="24"/>
          <w:szCs w:val="24"/>
        </w:rPr>
        <w:t>2. Основание для выполнения работ: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2.1. Лесной кодекс Российской Федерации.</w:t>
      </w:r>
    </w:p>
    <w:p>
      <w:pPr>
        <w:pStyle w:val="Normal"/>
        <w:tabs>
          <w:tab w:val="clear" w:pos="708"/>
          <w:tab w:val="left" w:pos="3318" w:leader="none"/>
        </w:tabs>
        <w:ind w:firstLine="708"/>
        <w:jc w:val="both"/>
        <w:rPr/>
      </w:pPr>
      <w:r>
        <w:rPr>
          <w:rFonts w:ascii="Liberation Serif" w:hAnsi="Liberation Serif"/>
          <w:sz w:val="24"/>
          <w:szCs w:val="24"/>
        </w:rPr>
        <w:t xml:space="preserve">2.2. Инвестиционная программа АО «Дальневосточная распределительная сетевая компания» на 2027.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9"/>
        <w:jc w:val="both"/>
        <w:rPr>
          <w:b/>
          <w:b/>
        </w:rPr>
      </w:pPr>
      <w:r>
        <w:rPr>
          <w:rFonts w:ascii="Liberation Serif" w:hAnsi="Liberation Serif"/>
          <w:b/>
          <w:sz w:val="24"/>
          <w:szCs w:val="24"/>
        </w:rPr>
        <w:t>3. Местонахождение объекта: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Объекты расположены на территории Амурской области.</w:t>
      </w:r>
    </w:p>
    <w:p>
      <w:pPr>
        <w:pStyle w:val="Normal"/>
        <w:ind w:firstLine="709"/>
        <w:jc w:val="both"/>
        <w:rPr>
          <w:rFonts w:ascii="Liberation Serif" w:hAnsi="Liberation Serif"/>
          <w:b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ind w:firstLine="709"/>
        <w:jc w:val="both"/>
        <w:rPr>
          <w:b/>
          <w:b/>
        </w:rPr>
      </w:pPr>
      <w:r>
        <w:rPr>
          <w:rFonts w:ascii="Liberation Serif" w:hAnsi="Liberation Serif"/>
          <w:b/>
          <w:sz w:val="24"/>
          <w:szCs w:val="24"/>
        </w:rPr>
        <w:t>4. Требования к работам: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Документация, полученная в рамках выполнения работ Подрядчиком должна быть действующей и соответствовать установленным требованиям законодательства.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При организации работы руководствоваться требованиями: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</w:t>
        <w:tab/>
        <w:t>Лесного кодекса Российской Федерации от 04.12.2006 № 200-ФЗ.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2.</w:t>
        <w:tab/>
        <w:t>Федерального закона «О животном мире» от 24.04.1995 № 52-ФЗ.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</w:t>
        <w:tab/>
        <w:t>Федерального закона «Об охране окружающей среды» от 10.01.2002 № 7-ФЗ.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4.</w:t>
        <w:tab/>
        <w:t>Федерального закона «О геодезии, картографии и пространственных данных и о внесённых изменений в отдельные законодательные акты Российской Федерации» от 30.12.2015 № 431-ФЗ.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5.</w:t>
        <w:tab/>
        <w:t xml:space="preserve"> Федерального закона от 19.07.2018 № 212-ФЗ «О внесении изменений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лесоразведения»;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6.</w:t>
        <w:tab/>
        <w:t>Постановления Правительства РФ от 18.05.2022 № 897 "Об утверждении Правил осуществления лесовосстановления или лесоразведения в случае, предусмотренном частью 4 статьи 63.1 Лесного кодекса Российской Федерации, о признании утратившим силу постановления Правительства Российской Федерации от 7 мая 2019 г. № 566 и внесении изменения в перечень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(в действующей редакции).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7.</w:t>
        <w:tab/>
        <w:t>Постановление Правительства РФ от 21.09.2020 № 1509 "Об особенностях использования, охраны, защиты, воспроизводства лесов, расположенных на землях сельскохозяйственного назначения" (вместе с "Положением об особенностях использования, охраны, защиты, воспроизводства лесов, расположенных на землях сельскохозяйственного назначения").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8.</w:t>
        <w:tab/>
        <w:t>Правил пожарной безопасности в лесах, утверждённые постановлением Правительства Российской Федерации от 07.10.2020 № 1614.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9.</w:t>
        <w:tab/>
        <w:t>Правил санитарной безопасности в лесах, утверждённые постановлением Правительства Российской Федерации от 09.12.2020 № 2047.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10.</w:t>
        <w:tab/>
        <w:t>Перечня объектов лесной инфраструктуры для защитных лесов, эксплуатационных лесов и резервных лесов (распоряжение Правирельства РФ от 17.07.2012 № 1283-р).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11.</w:t>
        <w:tab/>
        <w:t>Приказа Министерства природных ресурсов и экологии РФ от 28 марта 2014 года № 161 «Об утверждении видов средств предупреждения и тушения лесных пожаров, нормативов обеспеченности данными средствами лиц, использующих леса, норм наличия средств предупреждения и тушения лесных пожаров при использовании лесов».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12.</w:t>
        <w:tab/>
        <w:t>Приказа Министерства природных ресурсов и экологии Российской Федерации от 18.08.2014 № 367 «Об утверждении перечня лесорастительных зон и лесных районов Российской Федерации».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13.</w:t>
        <w:tab/>
        <w:t>Приказа Минприроды России от 17.01.2022 №23 «Об утверждении видов лесосечных работ, порядка и последовательности их проведения, формы технологической карты лесосечных работ, формы акта заключительного осмотра лесосеки и порядка заключительного осмотра лесосеки».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14.</w:t>
        <w:tab/>
        <w:t xml:space="preserve"> Приказа Минприроды России от 14.10.2022 № 687 "Об утверждении состава сведений, включаемых в таксационное описание лесосеки, порядка составления таксационного описания лесосеки, требований к его формату в электронной форме, порядка определения несоответствия таксационного описания информации о фактическом состоянии лесосеки, формы таксационного описания лесосеки".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15.</w:t>
        <w:tab/>
        <w:t>Приказа Минприроды России от 29.09.2022 № 641 "Об утверждении порядка проведения предварительного осмотра лесосеки, порядка составления акта предварительного осмотра лесосеки, внесения изменений в акт предварительного осмотра лесосеки и формы такого акта, а также порядка составления и формы уведомления о невозможности проведения лесосечных работ".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16.</w:t>
        <w:tab/>
        <w:t>Приказа Министерства природных ресурсов и экологии Российской Федерации от 29.12.2021 №1024 «Об утверждении Правил лесовосстановления, формы, состава, порядка согласования проекта лесовосстановления, оснований для отказа в его согласовании, а также требований к формату в электронной форме проекта лесовосстановления».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17.</w:t>
        <w:tab/>
        <w:t>Правила ухода за лесами, утверждённые приказом Минприроды России от 30.07.2020 № 534.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18.</w:t>
        <w:tab/>
        <w:t>Приказа Минприроды России от 17.10.2022 № 688 «Об утверждении Порядка отвода и таксации лесосек и о внесении изменений в Правила заготовки древесины и особенности заготовки древесины в лесничествах, указанных в статье 23 Лесного кодекса Российской Федерации, утвержденные приказом Минприроды России от 1 декабря 2020 г. № 993".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19.</w:t>
        <w:tab/>
        <w:t>Правил использования лесов для строительства, реконструкции, эксплуатации линейных объектов», утверждены приказом Минприроды России от 10.07.2020 № 434.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20.</w:t>
        <w:tab/>
        <w:t>Перечня некапитальных строений, сооружений, не связанных с созданием лесной инфраструктуры, для защитных лесов, эксплуатационных лесов, резервных лесов, утвержденный распоряжением Правительства Российской Федерации от 23.04.2022 № 999-р.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21.</w:t>
        <w:tab/>
        <w:t>Перечня объектов капитального строительства, не связанных с созданием лесной инфраструктуры, для защитных лесов, эксплуатационных лесов, резервных лесов, утвержденный распоряжением Правительства Российской Федерации от 30.04.2022 № 1084-р.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22.</w:t>
        <w:tab/>
        <w:t>Приказа Рослесхоза от 27.04.2012 № 174 «Об утверждении нормативов противопожарного обустройства лесов».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23.</w:t>
        <w:tab/>
        <w:t>Приказа Рослесхоза от 09.04.2015 № 105 «Об установлении возрастов рубок».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24.</w:t>
        <w:tab/>
        <w:t>Лесоустроительной инструкции, утверждённой приказом Минприроды России от 05.08.2022 № 510.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25.</w:t>
        <w:tab/>
        <w:t>Приказа Министерства природных ресурсов и экологии Российской Федерации от 16.11.2021 № 864 «Об утверждении Состава проекта освоения лесов, порядка его разработки и внесения в него изменений, требований к формату проекта освоения лесов в форме электронного документа».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26.</w:t>
        <w:tab/>
        <w:t>Порядка исчисления расчетной лесосеки, утвержденный приказом Федерального агентства лесного хозяйства от 27.05.2011 № 191.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27.</w:t>
        <w:tab/>
        <w:t>Положения о порядке отнесения территории лесного фонда Российской Федерации и не входящих в лесной фонд Российской Федерации лесов к зонам и районам охраны, утверждённые Федеральной службой лесного хозяйства России от 19 сентября 1997 года.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28.</w:t>
        <w:tab/>
        <w:t xml:space="preserve">Красной книги Амурской области.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29.</w:t>
        <w:tab/>
        <w:t xml:space="preserve">Утвержденных лесохозяйственных регламентов, действующих в зоне проведения работ. 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30.</w:t>
        <w:tab/>
        <w:t>Приказа Минприроды России от 29.04.2021 № 303 «Об утверждении формы лесной декларации, порядка ее заполнения и подачи, требований к формату лесной декларации в электронной форме».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31. Приказа Минприроды России от 11.11.2013 № 496 «Об утверждении Перечня, форм и порядка подготовки документов, на основании которых осуществляется внесение документированной информации в государственный лесной реестр и ее изменение».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32. Постановления Правительства РФ от 14.12.2023 № 2153 «Об утверждении Правил распоряжения находящейся в собственности Российской Федерации древесиной, которая получена в ходе строительства, реконструкции, эксплуатации линейных объектов».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33. Постановления Правительства РФ от 23.07.2009 № 604 «О реализации древесины, которая получена при использовании лесов, расположенных на землях лесного фонда, в соответствии со статьями 43 - 46 Лесного кодекса Российской Федерации».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И иными требования действующего законодательства регулирующих выполнение работ, предусмотренных настоящими Техническим заданием, а также требованиям нормативно – правовых актов, вступивших в силу в течении срока выполнения работ.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5. Основные характеристики объектов строительства: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5.1. Количество, месторасположение, срок выполнения работ определяются техническим заданием к дополнительному соглашению, заключаемому к основному (рамочному) договору в пределах его действия.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</w:tabs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6. Основной объем работ: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6.1. Отвод, таксация лесосек, составление таксационного описания лесосеки.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6.1.1.</w:t>
      </w:r>
      <w:r>
        <w:rPr>
          <w:rFonts w:ascii="Liberation Serif" w:hAnsi="Liberation Serif"/>
          <w:b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Провести отвод и таксацию лесосек в соответствии с порядком утвержденном приказом Минприроды России от 17.10.2022 № 688 «Об утверждении Порядка отвода и таксации лесосек и о внесении изменений в Правила заготовки древесины и особенности заготовки древесины в лесничествах, указанных в статье 23 Лесного кодекса Российской Федерации, утвержденные приказом Минприроды России от 1 декабря 2020 г. № 993».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6.1.2. На основании полученных данных по результатам отвода и таксации лесосеки составить таксационное описание лесосеки в соответствии с требованиями приказа Минприроды России от 14.10.2022 № 687 «Об утверждении состава сведений, включаемых в таксационное описание лесосеки, порядка составления таксационного описания лесосеки, требований к его формату в электронной форме, порядка определения несоответствия таксационного описания информации о фактическом состоянии лесосеки, формы таксационного описания лесосеки».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6.1.3. Таксационное описание лесосеки, составленное в форме электронного документа направить в орган публичной власти осуществляющий полномочия, определенные в соответствии со статьями 81-84 Лесного кодекса РФ.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6.1.4. Если по результатам рассмотрения таксационного описания лесосеки органом публичной власти принято решение о проведении предварительного осмотра лесосеки, Участнику (Подрядчику) необходимо принять участие в выездном осмотре лесосеки с представителями данного органа.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6.1.5. В случае если по результатам предварительного осмотра лесосеки органом публичной власти составлено уведомление о невозможности проведения лесосечных работ, Участнику (Подрядчику) необходимо провести работу по исправлению всех замечаний, изложенных в данном уведомлении. По результатам проделанной работы по исправлению замечаний подготовить и повторно направить на рассмотрение таксационное описание лесосеки в орган публичной власти.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6.1.6. Работа считается выполненной со дня получения от органа публичной власти,  письменного уведомления о приеме таксационного описания лесосеки.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6.2. Разработка проектов освоения лесов.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6.2.1. В случае выполнения работ, предусмотренных пунктами 6.1.1. – 6.1.6. использовать данные таксационного описания лесосеки при разработке проекта освоения лесов.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6.2.2. Подготовить информацию о лесном участке в объеме достаточном для подготовки и получения положительного заключения государственной экспертизы проекта освоения лесов.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Информация о лесном участке должна содержать в том числе: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количественные и качественные характеристики проектируемого лесного участка;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-номер лесосеки, объекта;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площадь (общая), га;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площадь (эксплуатационная), га;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каталог с номерами характерных точек (столбов) на углах лесосеки (объекта), расстояния между ними (длина линий, м), магнитные азимуты (румбы) линий (направление линий);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каталог координат характерных точек (столбов) на углах лесосеки (объекта) в системе координат WGS-84 (допустимая средняя квадратическая погрешность определения координат (местоположения) характерных точек составляет 5 метров);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привязка лесосеки к квартальным столбам, просекам или другим постоянным ориентирам.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на тематических лесных картах при отображении проектируемого объекта нумеровать все поворотные точки объекта, в том числе точку привязки лесосеки к квартальным столбам, просекам или другим постоянным ориентирам.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6.2.3. Получить выписку из государственного лесного реестра.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6.2.4. Разработать проект освоения лесов.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6.2.5. Получить положительное заключение государственной экспертизы проекта освоения лесов. 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6.2.6. Предусмотреть пункты сосредоточения противопожарного инвентаря, предварительно согласовав их месторасположение с Заказчиком.</w:t>
      </w:r>
    </w:p>
    <w:p>
      <w:pPr>
        <w:pStyle w:val="Normal"/>
        <w:ind w:firstLine="709"/>
        <w:jc w:val="both"/>
        <w:rPr>
          <w:b/>
          <w:b/>
          <w:bCs/>
        </w:rPr>
      </w:pPr>
      <w:r>
        <w:rPr>
          <w:rFonts w:ascii="Liberation Serif" w:hAnsi="Liberation Serif"/>
          <w:b/>
          <w:bCs/>
          <w:sz w:val="24"/>
          <w:szCs w:val="24"/>
        </w:rPr>
        <w:t>6.3. Разработка дополнения к проекту освоения лесов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6.3.1. Разработать дополнение к проекту освоения лесов с новыми данными по изменяемым мероприятиям и объемам, при этом если изменяется таблица, то она приводится полностью с учетом новых данных.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6.3.2. Внесение изменений в проект освоения лесов осуществляется в порядке, предусмотренном приказом Минприроды России от 16.11.2021 № 864 «Об утверждении Состава проекта освоения лесов, порядка его разработки и внесения в него изменений, требований к формату проекта освоения лесов в форме электронного документа» для разработки проекта освоения лесов.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6.3.3. Все предложения по дополнению проекта освоения лесов должны соответствовать текущим данным государственного лесного реестра, требованиям действующего законодательства и полежат согласованию с Заказчиком до момента направления в  орган публичной власти.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6.3.4. Получить положительное заключение государственной экспертизы проекта освоения лесов (дополнения к проекту освоения лесов) с учетом внесения изменений (дополнений).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b/>
          <w:sz w:val="24"/>
          <w:szCs w:val="24"/>
        </w:rPr>
        <w:t>6.4. Подготовка лесной декларации.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6.4.1. Составить лесную декларацию в соответствии с требованиями действующего законодательства.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 xml:space="preserve">6.4.2. Предоставить в Министерство лесного хозяйства и пожарной безопасности Амурской области лесную декларацию в форме электронного документа с использование официальных цифровых платформ. 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6.4.3. Получить извещение о приеме лесной декларации в Министерстве лесного хозяйства и пожарной безопасности Амурской области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b/>
          <w:bCs/>
          <w:sz w:val="24"/>
          <w:szCs w:val="24"/>
        </w:rPr>
        <w:t>6.5. П</w:t>
      </w:r>
      <w:r>
        <w:rPr>
          <w:rFonts w:ascii="Liberation Serif" w:hAnsi="Liberation Serif"/>
          <w:b/>
          <w:sz w:val="24"/>
          <w:szCs w:val="24"/>
        </w:rPr>
        <w:t>одготовка отчетов связанных с использованием лесов</w:t>
      </w:r>
      <w:r>
        <w:rPr>
          <w:rFonts w:ascii="Liberation Serif" w:hAnsi="Liberation Serif"/>
          <w:sz w:val="24"/>
          <w:szCs w:val="24"/>
        </w:rPr>
        <w:t>, предусмотренные частью 1 статьи 49, частью 1 статьи 60, частью 1 статьи 60.11, частью 1 статьи 66, частью 1 статьи 60.16. Лесного кодекса.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6.5.1. Подготовить отчеты связанных с использованием лесов в соответствии с требованиями действующего законодательства.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6.5.2. Предоставить в Министерство лесного хозяйства и пожарной безопасности Амурской области отчеты связанных с использованием лесов в форме электронного документа с использование официальных цифровых платформ.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6.5.3. Получить извещение о приеме отчетов связанных с использованием лесов в Министерстве лесного хозяйства и пожарной безопасности Амурской области.</w:t>
      </w:r>
    </w:p>
    <w:p>
      <w:pPr>
        <w:pStyle w:val="Normal"/>
        <w:ind w:firstLine="709"/>
        <w:jc w:val="both"/>
        <w:rPr>
          <w:rFonts w:ascii="Liberation Serif" w:hAnsi="Liberation Serif"/>
          <w:b w:val="false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b/>
          <w:bCs/>
          <w:sz w:val="24"/>
          <w:szCs w:val="24"/>
        </w:rPr>
        <w:t>6.6. Подготовка информации об объемах и породном составе вырубаемой древесины.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6.6.1. Подготовить информацию об объемах и породном составе вырубаемой древесины, достаточную для проведения процедуры по реализации древесины, полученной при использовании лесов, расположенных на землях лесного фонда, в соответствии с требованиями Постановления Правительства РФ от 23.07.2009 № 604 «О реализации древесины, которая получена при использовании лесов, расположенных на землях лесного фонда, в соответствии со статьями 43 - 46 Лесного кодекса Российской Федерации» (вместе с "Правилами реализации древесины, которая получена при использовании лесов, расположенных на землях лесного фонда, в соответствии со статьями 43 - 46 Лесного кодекса Российской Федерации").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6.6.2. Подготовленную информацию об объёмах и породном составе вырубаемой древесины согласовать с территориальным учреждением управления в области использования, охраны, защиты и воспроизводства лесов (ГАУ «Лесхозы»/ГКУ «Лесничества»).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6.6.3. Предоставить согласованную в соответствии с пунктом 6.6.2. информацию об объемах и породном составе вырубаемой древесины Заказчику для подготовки и направления уведомления о завершении рубки лесных насаждений в уполномоченные органы государственной власти.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9"/>
        <w:jc w:val="both"/>
        <w:rPr>
          <w:rFonts w:ascii="Liberation Serif" w:hAnsi="Liberation Serif"/>
          <w:b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6.7. Подготовка справки о наличии/отсутствии представителей растительного мира, занесенных в Красную книгу РФ и/или Амурской области, их распространение и численность» и расчет стоимости компенсационных мероприятий по сохранению редких и исчезающих видов растений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7. Особые условия: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7.1. Заказчик предоставляет Участнику (Подрядчику) в момент заключения дополнительного соглашения при наличии следующие исходные данные: </w:t>
      </w:r>
      <w:r>
        <w:rPr>
          <w:rFonts w:eastAsia="Calibri" w:ascii="Liberation Serif" w:hAnsi="Liberation Serif"/>
          <w:sz w:val="24"/>
          <w:szCs w:val="24"/>
          <w:lang w:eastAsia="x-none"/>
        </w:rPr>
        <w:t>Акт обследования трассы строительства, выполненный в рамках осуществления договора технологического присоединения,</w:t>
      </w:r>
      <w:r>
        <w:rPr>
          <w:rFonts w:ascii="Liberation Serif" w:hAnsi="Liberation Serif"/>
          <w:sz w:val="24"/>
          <w:szCs w:val="24"/>
        </w:rPr>
        <w:t xml:space="preserve"> правоустанавливающие документы на земельные участки (договор аренды земельного участка, решение об установлении публичного сервитута, разрешение на размещение объекта), документацию по планировке территории, уведомления (выписки) содержащие сведения о внесении реестровых записей в ЕГРН об установленном публичном сервитуте, заключенном договоре аренды.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7.2. Заказчик предоставляет Участнику (Подрядчику) нотариально удостоверенную доверенность с правом подписи для исполнения обязательств по договору, после получения соответствующего письменного запроса от Участника (Подрядчика). 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26" w:leader="none"/>
        </w:tabs>
        <w:ind w:left="0" w:firstLine="180"/>
        <w:jc w:val="both"/>
        <w:outlineLvl w:val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  <w:t xml:space="preserve">    8</w:t>
      </w:r>
      <w:r>
        <w:rPr>
          <w:rFonts w:ascii="Liberation Serif" w:hAnsi="Liberation Serif"/>
          <w:b/>
          <w:sz w:val="24"/>
          <w:szCs w:val="24"/>
        </w:rPr>
        <w:t>. Определение стоимости и сметная документация: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8.1. Планируемый объем выполняемых работ составит не более 2 000 000,00 рублей без учета НДС на весь срок действия договора. Конкретные объёмы выполняемых работ определяются дополнительными соглашениями к заключенному договору, оформляемыми Заказчиком по мере возникновения потребности в выполнении подрядных работ.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Стоимость подрядных работ в оформляемых дополнительных соглашениях определяется расчётом, выполненным на основании стоимости работ, заявленных подрядчиком на этапе закупочной процедуры.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8.2. Участником (Подрядчиком) в коммерческом предложении стоимость работ рассчитывается отдельно по каждому виду работ, указанному в пункте 6 настоящего Технического задания. 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8.3. Единицей измерения для работ, предусмотренных пунктом 6.1.  настоящего Технического задания является 1 га.  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8.4. Единицей измерения для работ, предусмотренных пунктами 6.2, 6.3, 6.4, 6.5, 6.6  настоящего Технического задания является стоимость одной единицы документации (одной лесной декларации, одного отчета, одного проекта, одного дополнения к проекту освоения лесов, одной информации об объемах и породном составе вырубаемой древесины).</w:t>
      </w:r>
    </w:p>
    <w:p>
      <w:pPr>
        <w:pStyle w:val="Normal"/>
        <w:ind w:firstLine="709"/>
        <w:jc w:val="both"/>
        <w:rPr/>
      </w:pPr>
      <w:r>
        <w:rPr>
          <w:rFonts w:ascii="Liberation Serif" w:hAnsi="Liberation Serif"/>
          <w:sz w:val="24"/>
          <w:szCs w:val="24"/>
        </w:rPr>
        <w:t>8.5. Общая стоимость работ по договору является предельной ценой и не подлежит корректировке до конца срока окончания работ, кроме случаев, когда Заказчик вносит изменения в Техническое задание.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9. Сроки выполнения работ: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9.1. Начало работ – с момента заключения договора;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9.2. Окончание работ – 31.12.2027 года.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10. Приемка выполненных работ и их оплата: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left" w:pos="1133" w:leader="none"/>
        </w:tabs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10.1. По окончании работ Заказчику предоставляется</w:t>
      </w:r>
      <w:r>
        <w:rPr>
          <w:rFonts w:ascii="Liberation Serif" w:hAnsi="Liberation Serif"/>
          <w:spacing w:val="-7"/>
          <w:sz w:val="24"/>
          <w:szCs w:val="24"/>
        </w:rPr>
        <w:t xml:space="preserve"> документация в сроки, в объеме, предусмотренном </w:t>
      </w:r>
      <w:r>
        <w:rPr>
          <w:rFonts w:ascii="Liberation Serif" w:hAnsi="Liberation Serif"/>
          <w:sz w:val="24"/>
          <w:szCs w:val="24"/>
        </w:rPr>
        <w:t>Техническими заданиями к дополнительным соглашениям по каждому объекту технологического присоединения (неско</w:t>
      </w:r>
      <w:bookmarkStart w:id="0" w:name="_GoBack"/>
      <w:bookmarkEnd w:id="0"/>
      <w:r>
        <w:rPr>
          <w:rFonts w:ascii="Liberation Serif" w:hAnsi="Liberation Serif"/>
          <w:sz w:val="24"/>
          <w:szCs w:val="24"/>
        </w:rPr>
        <w:t>льким присоединениям), объекту строительства, а также акт - приема передачи, счет – фактуру и счет на оплату.</w:t>
      </w:r>
    </w:p>
    <w:p>
      <w:pPr>
        <w:pStyle w:val="Normal"/>
        <w:shd w:val="clear" w:color="auto" w:fill="FFFFFF"/>
        <w:tabs>
          <w:tab w:val="clear" w:pos="708"/>
          <w:tab w:val="left" w:pos="426" w:leader="none"/>
        </w:tabs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10.2. Документация, полученная в результате проведенных работ Участником (Подрядчиком), передается Заказчику в бумажном и электронном виде, в количестве, определенном Техническими заданиями к дополнительным соглашениям, заключаемым к договору по каждому объекту технологического присоединения (нескольким присоединениям), объекту строительства. </w:t>
      </w:r>
    </w:p>
    <w:p>
      <w:pPr>
        <w:pStyle w:val="Normal"/>
        <w:shd w:val="clear" w:color="auto" w:fill="FFFFFF"/>
        <w:suppressAutoHyphens w:val="true"/>
        <w:ind w:right="-16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10.3. По результатам приемки документов Заказчик осуществляет оплату в сроки, предусмотренные договором.</w:t>
      </w:r>
    </w:p>
    <w:p>
      <w:pPr>
        <w:pStyle w:val="ConsPlusNormal"/>
        <w:shd w:val="clear" w:color="auto" w:fill="FFFFFF"/>
        <w:tabs>
          <w:tab w:val="clear" w:pos="708"/>
          <w:tab w:val="left" w:pos="567" w:leader="none"/>
        </w:tabs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cs="Times New Roman" w:ascii="Liberation Serif" w:hAnsi="Liberation Serif"/>
          <w:sz w:val="24"/>
          <w:szCs w:val="24"/>
        </w:rPr>
        <w:t xml:space="preserve">10.4. Авансовые платежи по выполнению работ не предусмотрены. </w:t>
      </w:r>
    </w:p>
    <w:p>
      <w:pPr>
        <w:pStyle w:val="Normal"/>
        <w:tabs>
          <w:tab w:val="clear" w:pos="708"/>
          <w:tab w:val="left" w:pos="3318" w:leader="none"/>
        </w:tabs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11. Гарантии подрядчика:</w:t>
      </w:r>
    </w:p>
    <w:p>
      <w:pPr>
        <w:pStyle w:val="Normal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11.1. Гарантия Участника (Подрядчика) на своевременное и качественное выполнение работ, а также на устранение дефектов, возникших по его вине, составляет не менее 36 месяцев со дня подписания акта сдачи-приёмки.</w:t>
      </w:r>
    </w:p>
    <w:p>
      <w:pPr>
        <w:pStyle w:val="Normal"/>
        <w:ind w:firstLine="709"/>
        <w:jc w:val="both"/>
        <w:rPr/>
      </w:pPr>
      <w:r>
        <w:rPr/>
      </w:r>
    </w:p>
    <w:p>
      <w:pPr>
        <w:pStyle w:val="Normal"/>
        <w:ind w:firstLine="709"/>
        <w:jc w:val="both"/>
        <w:rPr>
          <w:b/>
          <w:b/>
          <w:bCs/>
          <w:i/>
          <w:i/>
          <w:iCs/>
        </w:rPr>
      </w:pPr>
      <w:r>
        <w:rPr/>
      </w:r>
    </w:p>
    <w:sectPr>
      <w:type w:val="nextPage"/>
      <w:pgSz w:w="11906" w:h="16838"/>
      <w:pgMar w:left="1418" w:right="567" w:header="0" w:top="567" w:footer="0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  <w:font w:name="Tahom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71d0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pPr>
      <w:keepNext w:val="true"/>
      <w:keepLines/>
      <w:pageBreakBefore/>
      <w:suppressAutoHyphens w:val="true"/>
      <w:spacing w:before="480" w:after="240"/>
      <w:outlineLvl w:val="0"/>
    </w:pPr>
    <w:rPr>
      <w:rFonts w:ascii="Arial" w:hAnsi="Arial"/>
      <w:b/>
      <w:sz w:val="40"/>
      <w:szCs w:val="20"/>
    </w:rPr>
  </w:style>
  <w:style w:type="paragraph" w:styleId="2">
    <w:name w:val="Heading 2"/>
    <w:basedOn w:val="Normal"/>
    <w:next w:val="Normal"/>
    <w:qFormat/>
    <w:pPr>
      <w:keepNext w:val="true"/>
      <w:suppressAutoHyphens w:val="true"/>
      <w:spacing w:before="360" w:after="120"/>
      <w:outlineLvl w:val="1"/>
    </w:pPr>
    <w:rPr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комментарий"/>
    <w:qFormat/>
    <w:rPr>
      <w:i/>
      <w:iCs/>
      <w:shd w:fill="FFFF99" w:val="clear"/>
    </w:rPr>
  </w:style>
  <w:style w:type="character" w:styleId="Annotationreference">
    <w:name w:val="annotation reference"/>
    <w:semiHidden/>
    <w:qFormat/>
    <w:rsid w:val="00580721"/>
    <w:rPr>
      <w:sz w:val="16"/>
      <w:szCs w:val="16"/>
    </w:rPr>
  </w:style>
  <w:style w:type="character" w:styleId="Style13">
    <w:name w:val="Интернет-ссылка"/>
    <w:basedOn w:val="DefaultParagraphFont"/>
    <w:uiPriority w:val="99"/>
    <w:unhideWhenUsed/>
    <w:rsid w:val="0088234f"/>
    <w:rPr>
      <w:color w:val="0000FF"/>
      <w:u w:val="single"/>
    </w:rPr>
  </w:style>
  <w:style w:type="character" w:styleId="Style14" w:customStyle="1">
    <w:name w:val="Текст сноски Знак"/>
    <w:basedOn w:val="DefaultParagraphFont"/>
    <w:uiPriority w:val="99"/>
    <w:qFormat/>
    <w:rsid w:val="004334e3"/>
    <w:rPr>
      <w:rFonts w:eastAsia="Calibri"/>
      <w:lang w:val="x-none"/>
    </w:rPr>
  </w:style>
  <w:style w:type="character" w:styleId="Style15">
    <w:name w:val="Символ сноски"/>
    <w:qFormat/>
    <w:rPr>
      <w:rFonts w:ascii="Times New Roman" w:hAnsi="Times New Roman" w:cs="Times New Roman"/>
      <w:vertAlign w:val="superscript"/>
    </w:rPr>
  </w:style>
  <w:style w:type="character" w:styleId="Style16">
    <w:name w:val="Привязка сноски"/>
    <w:rPr>
      <w:rFonts w:ascii="Times New Roman" w:hAnsi="Times New Roman" w:cs="Times New Roman"/>
      <w:vertAlign w:val="superscript"/>
    </w:rPr>
  </w:style>
  <w:style w:type="character" w:styleId="FootnoteCharacters">
    <w:name w:val="Footnote Characters"/>
    <w:uiPriority w:val="99"/>
    <w:unhideWhenUsed/>
    <w:qFormat/>
    <w:rsid w:val="004334e3"/>
    <w:rPr>
      <w:rFonts w:ascii="Times New Roman" w:hAnsi="Times New Roman" w:cs="Times New Roman"/>
      <w:vertAlign w:val="superscript"/>
    </w:rPr>
  </w:style>
  <w:style w:type="character" w:styleId="Style17" w:customStyle="1">
    <w:name w:val="Верхний колонтитул Знак"/>
    <w:basedOn w:val="DefaultParagraphFont"/>
    <w:qFormat/>
    <w:rsid w:val="00a67165"/>
    <w:rPr>
      <w:sz w:val="24"/>
      <w:szCs w:val="24"/>
    </w:rPr>
  </w:style>
  <w:style w:type="character" w:styleId="Style18" w:customStyle="1">
    <w:name w:val="Нижний колонтитул Знак"/>
    <w:basedOn w:val="DefaultParagraphFont"/>
    <w:qFormat/>
    <w:rsid w:val="00a67165"/>
    <w:rPr>
      <w:sz w:val="24"/>
      <w:szCs w:val="24"/>
    </w:rPr>
  </w:style>
  <w:style w:type="character" w:styleId="Style19" w:customStyle="1">
    <w:name w:val="Основной текст с отступом Знак"/>
    <w:basedOn w:val="DefaultParagraphFont"/>
    <w:qFormat/>
    <w:rsid w:val="00234a77"/>
    <w:rPr>
      <w:sz w:val="24"/>
      <w:szCs w:val="24"/>
    </w:rPr>
  </w:style>
  <w:style w:type="character" w:styleId="Style20">
    <w:name w:val="Выделение"/>
    <w:basedOn w:val="DefaultParagraphFont"/>
    <w:qFormat/>
    <w:rsid w:val="00d4112c"/>
    <w:rPr>
      <w:i/>
      <w:iCs/>
    </w:rPr>
  </w:style>
  <w:style w:type="character" w:styleId="3" w:customStyle="1">
    <w:name w:val="Основной текст 3 Знак"/>
    <w:basedOn w:val="DefaultParagraphFont"/>
    <w:link w:val="BodyText3"/>
    <w:qFormat/>
    <w:rsid w:val="006c5916"/>
    <w:rPr>
      <w:sz w:val="16"/>
      <w:szCs w:val="16"/>
    </w:rPr>
  </w:style>
  <w:style w:type="character" w:styleId="Style21" w:customStyle="1">
    <w:name w:val="Абзац списка Знак"/>
    <w:link w:val="ListParagraph"/>
    <w:uiPriority w:val="34"/>
    <w:qFormat/>
    <w:locked/>
    <w:rsid w:val="001e0e8d"/>
    <w:rPr>
      <w:sz w:val="24"/>
      <w:szCs w:val="24"/>
    </w:rPr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23">
    <w:name w:val="Body Text"/>
    <w:basedOn w:val="Normal"/>
    <w:rsid w:val="0096618a"/>
    <w:pPr>
      <w:spacing w:before="0" w:after="120"/>
    </w:pPr>
    <w:rPr/>
  </w:style>
  <w:style w:type="paragraph" w:styleId="Style24">
    <w:name w:val="List"/>
    <w:basedOn w:val="Style23"/>
    <w:pPr/>
    <w:rPr>
      <w:rFonts w:cs="Lohit Devanagari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BodyText2">
    <w:name w:val="Body Text 2"/>
    <w:basedOn w:val="Normal"/>
    <w:qFormat/>
    <w:pPr/>
    <w:rPr>
      <w:sz w:val="28"/>
      <w:szCs w:val="28"/>
    </w:rPr>
  </w:style>
  <w:style w:type="paragraph" w:styleId="BodyTextIndent2">
    <w:name w:val="Body Text Indent 2"/>
    <w:basedOn w:val="Normal"/>
    <w:qFormat/>
    <w:pPr>
      <w:spacing w:lineRule="auto" w:line="192"/>
      <w:ind w:left="720" w:hanging="0"/>
      <w:jc w:val="both"/>
    </w:pPr>
    <w:rPr>
      <w:sz w:val="28"/>
      <w:szCs w:val="28"/>
    </w:rPr>
  </w:style>
  <w:style w:type="paragraph" w:styleId="11" w:customStyle="1">
    <w:name w:val="Обычный1"/>
    <w:qFormat/>
    <w:pPr>
      <w:widowControl w:val="false"/>
      <w:suppressAutoHyphens w:val="true"/>
      <w:bidi w:val="0"/>
      <w:spacing w:before="120" w:after="120"/>
      <w:ind w:firstLine="567"/>
      <w:jc w:val="both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qFormat/>
    <w:pPr>
      <w:widowControl w:val="false"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ru-RU" w:bidi="ar-SA"/>
    </w:rPr>
  </w:style>
  <w:style w:type="paragraph" w:styleId="ConsNonformat" w:customStyle="1">
    <w:name w:val="ConsNonformat"/>
    <w:qFormat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Courier New" w:hAnsi="Courier New" w:eastAsia="Times New Roman" w:cs="Courier New"/>
      <w:color w:val="00000A"/>
      <w:kern w:val="0"/>
      <w:sz w:val="20"/>
      <w:szCs w:val="20"/>
      <w:lang w:val="ru-RU" w:eastAsia="ru-RU" w:bidi="ar-SA"/>
    </w:rPr>
  </w:style>
  <w:style w:type="paragraph" w:styleId="BodyTextIndent3">
    <w:name w:val="Body Text Indent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Style27" w:customStyle="1">
    <w:name w:val="Пункт"/>
    <w:basedOn w:val="Normal"/>
    <w:qFormat/>
    <w:pPr>
      <w:spacing w:lineRule="auto" w:line="360"/>
      <w:jc w:val="both"/>
    </w:pPr>
    <w:rPr>
      <w:sz w:val="28"/>
      <w:szCs w:val="20"/>
    </w:rPr>
  </w:style>
  <w:style w:type="paragraph" w:styleId="Style28" w:customStyle="1">
    <w:name w:val="Подподпункт"/>
    <w:basedOn w:val="Normal"/>
    <w:qFormat/>
    <w:pPr>
      <w:spacing w:lineRule="auto" w:line="360"/>
      <w:jc w:val="both"/>
    </w:pPr>
    <w:rPr>
      <w:sz w:val="28"/>
      <w:szCs w:val="20"/>
    </w:rPr>
  </w:style>
  <w:style w:type="paragraph" w:styleId="Style29">
    <w:name w:val="Title"/>
    <w:basedOn w:val="Normal"/>
    <w:qFormat/>
    <w:pPr>
      <w:jc w:val="center"/>
    </w:pPr>
    <w:rPr>
      <w:b/>
      <w:sz w:val="40"/>
      <w:szCs w:val="20"/>
    </w:rPr>
  </w:style>
  <w:style w:type="paragraph" w:styleId="12" w:customStyle="1">
    <w:name w:val="Знак Знак Знак1"/>
    <w:basedOn w:val="Normal"/>
    <w:qFormat/>
    <w:rsid w:val="0024041a"/>
    <w:pPr>
      <w:tabs>
        <w:tab w:val="clear" w:pos="708"/>
        <w:tab w:val="left" w:pos="360" w:leader="none"/>
      </w:tabs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30" w:customStyle="1">
    <w:name w:val="Знак Знак Знак Знак Знак Знак Знак Знак Знак Знак"/>
    <w:basedOn w:val="Normal"/>
    <w:qFormat/>
    <w:rsid w:val="00d3094f"/>
    <w:pPr>
      <w:tabs>
        <w:tab w:val="clear" w:pos="708"/>
        <w:tab w:val="left" w:pos="360" w:leader="none"/>
      </w:tabs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Annotationtext">
    <w:name w:val="annotation text"/>
    <w:basedOn w:val="Normal"/>
    <w:semiHidden/>
    <w:qFormat/>
    <w:rsid w:val="00580721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580721"/>
    <w:pPr/>
    <w:rPr>
      <w:b/>
      <w:bCs/>
    </w:rPr>
  </w:style>
  <w:style w:type="paragraph" w:styleId="BalloonText">
    <w:name w:val="Balloon Text"/>
    <w:basedOn w:val="Normal"/>
    <w:semiHidden/>
    <w:qFormat/>
    <w:rsid w:val="0058072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321779"/>
    <w:pPr>
      <w:ind w:left="708" w:hanging="0"/>
    </w:pPr>
    <w:rPr/>
  </w:style>
  <w:style w:type="paragraph" w:styleId="NormalWeb">
    <w:name w:val="Normal (Web)"/>
    <w:basedOn w:val="Normal"/>
    <w:qFormat/>
    <w:rsid w:val="00d852ec"/>
    <w:pPr>
      <w:spacing w:beforeAutospacing="1" w:afterAutospacing="1"/>
    </w:pPr>
    <w:rPr/>
  </w:style>
  <w:style w:type="paragraph" w:styleId="Revision">
    <w:name w:val="Revision"/>
    <w:uiPriority w:val="99"/>
    <w:semiHidden/>
    <w:qFormat/>
    <w:rsid w:val="006c563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ru-RU" w:bidi="ar-SA"/>
    </w:rPr>
  </w:style>
  <w:style w:type="paragraph" w:styleId="Style31">
    <w:name w:val="Footnote Text"/>
    <w:basedOn w:val="Normal"/>
    <w:uiPriority w:val="99"/>
    <w:unhideWhenUsed/>
    <w:rsid w:val="004334e3"/>
    <w:pPr>
      <w:jc w:val="both"/>
    </w:pPr>
    <w:rPr>
      <w:rFonts w:eastAsia="Calibri"/>
      <w:sz w:val="20"/>
      <w:szCs w:val="20"/>
      <w:lang w:val="x-none"/>
    </w:rPr>
  </w:style>
  <w:style w:type="paragraph" w:styleId="Style32" w:customStyle="1">
    <w:name w:val="Текст"/>
    <w:basedOn w:val="Normal"/>
    <w:qFormat/>
    <w:rsid w:val="004334e3"/>
    <w:pPr>
      <w:spacing w:before="0" w:after="240"/>
    </w:pPr>
    <w:rPr>
      <w:szCs w:val="20"/>
      <w:lang w:val="en-US" w:eastAsia="en-US"/>
    </w:rPr>
  </w:style>
  <w:style w:type="paragraph" w:styleId="Text" w:customStyle="1">
    <w:name w:val="text"/>
    <w:basedOn w:val="Normal"/>
    <w:qFormat/>
    <w:rsid w:val="004334e3"/>
    <w:pPr>
      <w:spacing w:before="0" w:after="240"/>
    </w:pPr>
    <w:rPr/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rsid w:val="00a6716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5">
    <w:name w:val="Footer"/>
    <w:basedOn w:val="Normal"/>
    <w:rsid w:val="00a6716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6">
    <w:name w:val="Body Text Indent"/>
    <w:basedOn w:val="Normal"/>
    <w:rsid w:val="00234a77"/>
    <w:pPr>
      <w:spacing w:before="0" w:after="120"/>
      <w:ind w:left="283" w:hanging="0"/>
    </w:pPr>
    <w:rPr/>
  </w:style>
  <w:style w:type="paragraph" w:styleId="ConsPlusNormal" w:customStyle="1">
    <w:name w:val="ConsPlusNormal"/>
    <w:qFormat/>
    <w:rsid w:val="001721ba"/>
    <w:pPr>
      <w:widowControl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d60bd3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00000A"/>
      <w:kern w:val="0"/>
      <w:sz w:val="20"/>
      <w:szCs w:val="20"/>
      <w:lang w:val="ru-RU" w:eastAsia="ru-RU" w:bidi="ar-SA"/>
    </w:rPr>
  </w:style>
  <w:style w:type="paragraph" w:styleId="BodyText3">
    <w:name w:val="Body Text 3"/>
    <w:basedOn w:val="Normal"/>
    <w:link w:val="3"/>
    <w:unhideWhenUsed/>
    <w:qFormat/>
    <w:rsid w:val="006c5916"/>
    <w:pPr>
      <w:spacing w:before="0" w:after="120"/>
    </w:pPr>
    <w:rPr>
      <w:sz w:val="16"/>
      <w:szCs w:val="16"/>
    </w:rPr>
  </w:style>
  <w:style w:type="paragraph" w:styleId="Style37" w:customStyle="1">
    <w:name w:val="Таблица шапка"/>
    <w:basedOn w:val="Normal"/>
    <w:uiPriority w:val="99"/>
    <w:qFormat/>
    <w:rsid w:val="00976e65"/>
    <w:pPr>
      <w:keepNext w:val="true"/>
      <w:spacing w:before="40" w:after="40"/>
      <w:ind w:left="57" w:right="57" w:hanging="0"/>
    </w:pPr>
    <w:rPr>
      <w:sz w:val="22"/>
      <w:szCs w:val="20"/>
    </w:rPr>
  </w:style>
  <w:style w:type="paragraph" w:styleId="Style38" w:customStyle="1">
    <w:name w:val="Таблица текст"/>
    <w:basedOn w:val="Normal"/>
    <w:uiPriority w:val="99"/>
    <w:qFormat/>
    <w:rsid w:val="00976e65"/>
    <w:pPr>
      <w:spacing w:before="40" w:after="40"/>
      <w:ind w:left="57" w:right="57" w:hanging="0"/>
    </w:pPr>
    <w:rPr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3"/>
    <w:rsid w:val="0036303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doc@amur.drsk.ru" TargetMode="External"/><Relationship Id="rId4" Type="http://schemas.openxmlformats.org/officeDocument/2006/relationships/hyperlink" Target="http://www.drsk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A7E21-5988-492E-8B93-EE2D16968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Application>LibreOffice/7.1.8.1$Linux_X86_64 LibreOffice_project/10$Build-1</Application>
  <AppVersion>15.0000</AppVersion>
  <Pages>6</Pages>
  <Words>2385</Words>
  <Characters>17211</Characters>
  <CharactersWithSpaces>19516</CharactersWithSpaces>
  <Paragraphs>117</Paragraphs>
  <Company>work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2022-10-17T01:41:00Z</dcterms:created>
  <dc:creator>orir1</dc:creator>
  <dc:description/>
  <dc:language>ru-RU</dc:language>
  <cp:lastModifiedBy/>
  <cp:lastPrinted>2025-09-22T13:56:02Z</cp:lastPrinted>
  <dcterms:modified xsi:type="dcterms:W3CDTF">2026-10-20T14:23:34Z</dcterms:modified>
  <cp:revision>40</cp:revision>
  <dc:subject/>
  <dc:title>ДОГОВОР № ______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