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</w:t>
      </w:r>
      <w:r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к письму от 20.10.2026  №07-19/5872</w:t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416967041"/>
      <w:bookmarkStart w:id="7" w:name="_Toc1375545841"/>
      <w:bookmarkStart w:id="8" w:name="_Toc1398562871"/>
      <w:bookmarkStart w:id="9" w:name="_Toc1416967041"/>
      <w:bookmarkStart w:id="10" w:name="_Toc1375545841"/>
      <w:bookmarkStart w:id="11" w:name="_Toc139856287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  <w:shd w:fill="auto" w:val="clear"/>
        </w:rPr>
      </w:pPr>
      <w:r>
        <w:rPr>
          <w:rFonts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  <w:shd w:fill="auto" w:val="clear"/>
        </w:rPr>
      </w:pPr>
      <w:r>
        <w:rPr>
          <w:rFonts w:eastAsia="Calibri" w:ascii="Liberation Serif" w:hAnsi="Liberation Serif"/>
          <w:b/>
          <w:sz w:val="24"/>
          <w:szCs w:val="24"/>
          <w:shd w:fill="auto" w:val="clear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b/>
          <w:sz w:val="24"/>
          <w:szCs w:val="24"/>
          <w:shd w:fill="auto" w:val="clear"/>
        </w:rPr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  <w:shd w:fill="auto" w:val="clear"/>
        </w:rPr>
        <w:t xml:space="preserve">ОКПД2 02.40.10 Выполнение работ по подготовке разрешительных документов на использование лесных участков на территории обслуживания филиала «Амурские электрические сети»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b/>
          <w:sz w:val="24"/>
          <w:szCs w:val="24"/>
          <w:shd w:fill="auto" w:val="clear"/>
        </w:rPr>
      </w:r>
    </w:p>
    <w:p>
      <w:pPr>
        <w:pStyle w:val="Normal"/>
        <w:jc w:val="center"/>
        <w:rPr>
          <w:rFonts w:ascii="Liberation Serif" w:hAnsi="Liberation Serif"/>
          <w:shd w:fill="auto" w:val="clear"/>
        </w:rPr>
      </w:pPr>
      <w:r>
        <w:rPr>
          <w:rFonts w:ascii="Liberation Serif" w:hAnsi="Liberation Serif"/>
          <w:b/>
          <w:i/>
          <w:sz w:val="24"/>
          <w:szCs w:val="24"/>
          <w:shd w:fill="auto" w:val="clear"/>
        </w:rPr>
        <w:t>Лот № 81701-КС ПИР СМР-2027-ДРСК-АЭС</w:t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СОДЕРЖАНИЕ</w:t>
      </w:r>
    </w:p>
    <w:tbl>
      <w:tblPr>
        <w:tblStyle w:val="af"/>
        <w:tblW w:w="9911" w:type="dxa"/>
        <w:jc w:val="left"/>
        <w:tblInd w:w="47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9"/>
        <w:gridCol w:w="8093"/>
        <w:gridCol w:w="1129"/>
      </w:tblGrid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Общие сведения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Наименование закупаемых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Цель выполнения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Иные требования и сведения общего характера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работам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объемам и срокам выполнения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перечню и объему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Таблица 1. Перечень и объем выполняемых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2.1.2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срокам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Таблица 2. Требования к срокам выполнения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качеству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Таблица 3. Требования к качеству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 по ценообразованию на этапе закупки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</w:tr>
      <w:tr>
        <w:trPr/>
        <w:tc>
          <w:tcPr>
            <w:tcW w:w="68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809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Приложения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</w:tr>
    </w:tbl>
    <w:p>
      <w:pPr>
        <w:pStyle w:val="Normal"/>
        <w:jc w:val="center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4"/>
        <w:numPr>
          <w:ilvl w:val="1"/>
          <w:numId w:val="4"/>
        </w:numPr>
        <w:rPr>
          <w:rFonts w:ascii="Liberation Serif" w:hAnsi="Liberation Serif"/>
          <w:sz w:val="24"/>
          <w:szCs w:val="24"/>
        </w:rPr>
      </w:pPr>
      <w:bookmarkStart w:id="12" w:name="_Toc54643696"/>
      <w:bookmarkStart w:id="13" w:name="_Toc46743506"/>
      <w:r>
        <w:rPr>
          <w:rFonts w:ascii="Liberation Serif" w:hAnsi="Liberation Serif"/>
          <w:sz w:val="24"/>
          <w:szCs w:val="24"/>
        </w:rPr>
        <w:t xml:space="preserve">Наименование закупаемой </w:t>
      </w:r>
      <w:bookmarkEnd w:id="12"/>
      <w:bookmarkEnd w:id="13"/>
      <w:r>
        <w:rPr>
          <w:rFonts w:ascii="Liberation Serif" w:hAnsi="Liberation Serif"/>
          <w:sz w:val="24"/>
          <w:szCs w:val="24"/>
          <w:lang w:val="ru-RU"/>
        </w:rPr>
        <w:t>работ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u w:val="none"/>
          <w:lang w:eastAsia="x-none"/>
        </w:rPr>
        <w:t>ОКПД2 02.40.10 Выполнение работ по подготовке разрешительных документов на использование лесных участков на территории обслуживания филиала «Амурские электрические сети»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4"/>
        <w:numPr>
          <w:ilvl w:val="1"/>
          <w:numId w:val="4"/>
        </w:numPr>
        <w:spacing w:before="240" w:after="60"/>
        <w:ind w:left="431" w:hanging="431"/>
        <w:rPr>
          <w:rStyle w:val="Style16"/>
          <w:b/>
          <w:b/>
          <w:lang w:val="ru-RU"/>
        </w:rPr>
      </w:pPr>
      <w:bookmarkStart w:id="14" w:name="_Toc54643697"/>
      <w:bookmarkStart w:id="15" w:name="_Toc46743507"/>
      <w:r>
        <w:rPr>
          <w:rFonts w:ascii="Liberation Serif" w:hAnsi="Liberation Serif"/>
          <w:sz w:val="24"/>
          <w:szCs w:val="24"/>
        </w:rPr>
        <w:t xml:space="preserve">Цель </w:t>
      </w:r>
      <w:bookmarkEnd w:id="15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  <w:bookmarkEnd w:id="14"/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Выполнение работ по подготовке разрешительных документов на использование лесных участков, на территории обслуживания филиала "Амурские электрические сети"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Normal"/>
        <w:rPr>
          <w:b/>
          <w:b/>
          <w:sz w:val="24"/>
          <w:szCs w:val="24"/>
          <w:lang w:eastAsia="x-none"/>
        </w:rPr>
      </w:pPr>
      <w:r>
        <w:rPr>
          <w:rFonts w:ascii="Liberation Serif" w:hAnsi="Liberation Serif"/>
          <w:b/>
          <w:sz w:val="24"/>
          <w:szCs w:val="24"/>
          <w:lang w:eastAsia="x-none"/>
        </w:rPr>
        <w:t>1.3.  Иные требования и сведения общего характера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1.3.1. Вид деятельности в отношении которой выполняются работы - Выполнение работ по подготовке разрешительных документов на использование лесных участков,  на территории обслуживания филиала "Амурские электрические сети".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Вид объектов, состав, объем, этапы, сроки выполнения работ, месторасположение, определяются Техническими заданиями по каждому объекту технологического присоединения (нескольким присоединениям), объекту строительства (реконструкции) объединенным по территориальному признаку, и оформляются дополнительными соглашениями к договору подряда.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1.3.2. Заказчик для исполнения договора будет передавать подрядчику следующие исходные документы (при наличии):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1.3.2.1. Акт обследования трассы строительства, выполненный в рамках осуществления договора технологического присоединения;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1.3.2.2. Документацию по планировке территории;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1.3.2.3. Выписки (информацию) из утвержденной инвестиционный программы Общества;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1.3.2.4. Правоустанавливающие документы на земельные участки;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1.3.2.5. Доверенность с правом подписи для исполнения обязательств по договору.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1.3.2.6. Уведомления (выписки) содержащие сведения о внесении реестровых записей в ЕГРН об установленном публичном сервитуте, заключенном договоре аренды.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1.3.3. Конкретный объем документов указанный в пункте 1.3.2. будет определятся Заказчиком на стадии заключения дополнительного соглашения к договору подряда.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1.3.4. Информация об контактных данных ответственных исполнителях со стороны Заказчика будет передана победителю торговых процедур после заключения договора подряда.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1.3.5.  Планируемый объем выполняемых работ составит не более 700 000,00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1.3.6. Стоимость подрядных работ в оформляемых дополнительных соглашениях определяется расчётом, выполненным на основании стоимости работ, заявленных подрядчиком на этапе закупочной процедуры.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1.3.7. Участником (Подрядчиком) в коммерческом предложении стоимость работ рассчитывается отдельно по каждому виду работ, указанному в пункте 2.1. настоящего Технического требования.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1.3.8. Единицей измерения для работ, предусмотренных пунктом 1 таблицы 1 настоящего Технического требования является 1 га. 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1.3.9. Единицей измерения для работ, предусмотренных пунктами 2, 3, 4, 5, 6 таблицы 1 настоящего Технического требования является стоимость одной единицы документации (одной лесной декларации, одного отчета, одного проекта, одного дополнения к проекту освоения лесов,</w:t>
      </w:r>
      <w:r>
        <w:rPr>
          <w:rFonts w:eastAsia="Times New Roman" w:cs="Times New Roman" w:ascii="Liberation Serif" w:hAnsi="Liberation Serif"/>
          <w:b w:val="false"/>
          <w:i w:val="false"/>
          <w:iCs w:val="false"/>
          <w:color w:val="00000A"/>
          <w:sz w:val="24"/>
          <w:szCs w:val="24"/>
          <w:lang w:val="ru-RU" w:eastAsia="ru-RU" w:bidi="ar-SA"/>
        </w:rPr>
        <w:t xml:space="preserve"> одной информации об объемах и породном составе вырубаемой древесины</w:t>
      </w:r>
      <w:r>
        <w:rPr>
          <w:rFonts w:eastAsia="Calibri" w:ascii="Liberation Serif" w:hAnsi="Liberation Serif"/>
          <w:sz w:val="24"/>
          <w:szCs w:val="24"/>
          <w:lang w:eastAsia="x-none"/>
        </w:rPr>
        <w:t>).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1.3.10. Общая стоимость работ по договору является предельной ценой и не подлежит корректировке до конца срока окончания работ, кроме случаев, когда Заказчик вносит изменения в Техническое требование.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Требования к документации по ценообразованию на этапе закупки представлены в пункте 3 настоящих ТТ.</w:t>
      </w:r>
    </w:p>
    <w:p>
      <w:pPr>
        <w:pStyle w:val="4"/>
        <w:numPr>
          <w:ilvl w:val="1"/>
          <w:numId w:val="5"/>
        </w:numPr>
        <w:jc w:val="both"/>
        <w:rPr>
          <w:rStyle w:val="Style16"/>
        </w:rPr>
      </w:pPr>
      <w:bookmarkStart w:id="16" w:name="_Toc46743509"/>
      <w:bookmarkStart w:id="17" w:name="_Hlk49857604"/>
      <w:bookmarkStart w:id="18" w:name="_Toc54643700"/>
      <w:r>
        <w:rPr>
          <w:rFonts w:ascii="Liberation Serif" w:hAnsi="Liberation Serif"/>
          <w:sz w:val="24"/>
          <w:szCs w:val="24"/>
        </w:rPr>
        <w:t xml:space="preserve">Информация в отношении исполнения договора, </w:t>
      </w:r>
      <w:bookmarkStart w:id="19" w:name="_Hlk46492347"/>
      <w:r>
        <w:rPr>
          <w:rFonts w:ascii="Liberation Serif" w:hAnsi="Liberation Serif"/>
          <w:sz w:val="24"/>
          <w:szCs w:val="24"/>
        </w:rPr>
        <w:t xml:space="preserve">которая должна быть учтена при подготовке заявки </w:t>
      </w:r>
      <w:bookmarkEnd w:id="19"/>
      <w:r>
        <w:rPr>
          <w:rFonts w:ascii="Liberation Serif" w:hAnsi="Liberation Serif"/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rFonts w:ascii="Liberation Serif" w:hAnsi="Liberation Serif"/>
          <w:sz w:val="24"/>
          <w:szCs w:val="24"/>
          <w:lang w:val="ru-RU"/>
        </w:rPr>
        <w:t>заказчиком</w:t>
      </w:r>
      <w:r>
        <w:rPr>
          <w:rFonts w:ascii="Liberation Serif" w:hAnsi="Liberation Serif"/>
          <w:sz w:val="24"/>
          <w:szCs w:val="24"/>
        </w:rPr>
        <w:t xml:space="preserve"> на этапе исполнения договора)</w:t>
      </w:r>
      <w:bookmarkStart w:id="20" w:name="_Hlk48209761"/>
      <w:bookmarkEnd w:id="16"/>
      <w:bookmarkEnd w:id="17"/>
      <w:bookmarkEnd w:id="18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1.4.1. Заказчик предоставляет Подрядчику работ нотариально удостоверенную доверенность с правом подписи для исполнения обязательств по договору, после получения соответствующего письменного запроса от Подрядчика. 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1"/>
        <w:keepLines/>
        <w:numPr>
          <w:ilvl w:val="0"/>
          <w:numId w:val="4"/>
        </w:numPr>
        <w:ind w:left="357" w:hanging="357"/>
        <w:jc w:val="center"/>
        <w:rPr>
          <w:iCs/>
          <w:caps/>
          <w:lang w:val="ru-RU"/>
        </w:rPr>
      </w:pPr>
      <w:bookmarkStart w:id="21" w:name="_Toc54643702"/>
      <w:bookmarkStart w:id="22" w:name="_Toc51339693"/>
      <w:bookmarkStart w:id="23" w:name="_Toc50125126"/>
      <w:bookmarkEnd w:id="20"/>
      <w:bookmarkEnd w:id="23"/>
      <w:r>
        <w:rPr>
          <w:rFonts w:ascii="Liberation Serif" w:hAnsi="Liberation Serif"/>
          <w:iCs/>
          <w:sz w:val="24"/>
          <w:szCs w:val="24"/>
          <w:lang w:val="ru-RU"/>
        </w:rPr>
        <w:t>Требования</w:t>
      </w:r>
      <w:r>
        <w:rPr>
          <w:rFonts w:ascii="Liberation Serif" w:hAnsi="Liberation Serif"/>
          <w:iCs/>
          <w:sz w:val="24"/>
          <w:szCs w:val="24"/>
        </w:rPr>
        <w:t xml:space="preserve"> к </w:t>
      </w:r>
      <w:bookmarkEnd w:id="21"/>
      <w:bookmarkEnd w:id="22"/>
      <w:r>
        <w:rPr>
          <w:rFonts w:ascii="Liberation Serif" w:hAnsi="Liberation Serif"/>
          <w:iCs/>
          <w:sz w:val="24"/>
          <w:szCs w:val="24"/>
          <w:lang w:val="ru-RU"/>
        </w:rPr>
        <w:t>работам</w:t>
      </w:r>
    </w:p>
    <w:p>
      <w:pPr>
        <w:pStyle w:val="4"/>
        <w:numPr>
          <w:ilvl w:val="1"/>
          <w:numId w:val="4"/>
        </w:numPr>
        <w:rPr>
          <w:rFonts w:ascii="Liberation Serif" w:hAnsi="Liberation Serif"/>
          <w:sz w:val="24"/>
          <w:szCs w:val="24"/>
        </w:rPr>
      </w:pPr>
      <w:bookmarkStart w:id="24" w:name="_Toc54643703"/>
      <w:r>
        <w:rPr>
          <w:rFonts w:ascii="Liberation Serif" w:hAnsi="Liberation Serif"/>
          <w:sz w:val="24"/>
          <w:szCs w:val="24"/>
        </w:rPr>
        <w:t xml:space="preserve">Требования к объемам и срокам </w:t>
      </w:r>
      <w:bookmarkEnd w:id="24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p>
      <w:pPr>
        <w:pStyle w:val="3"/>
        <w:numPr>
          <w:ilvl w:val="2"/>
          <w:numId w:val="4"/>
        </w:numPr>
        <w:rPr>
          <w:rFonts w:ascii="Liberation Serif" w:hAnsi="Liberation Serif"/>
          <w:sz w:val="24"/>
          <w:szCs w:val="24"/>
        </w:rPr>
      </w:pPr>
      <w:bookmarkStart w:id="25" w:name="_Toc54643704"/>
      <w:r>
        <w:rPr>
          <w:rFonts w:ascii="Liberation Serif" w:hAnsi="Liberation Serif"/>
          <w:sz w:val="24"/>
          <w:szCs w:val="24"/>
          <w:lang w:val="ru-RU"/>
        </w:rPr>
        <w:t xml:space="preserve">Требования к перечню и объему </w:t>
      </w:r>
      <w:bookmarkEnd w:id="25"/>
      <w:r>
        <w:rPr>
          <w:rFonts w:ascii="Liberation Serif" w:hAnsi="Liberation Serif"/>
          <w:sz w:val="24"/>
          <w:szCs w:val="24"/>
          <w:lang w:val="ru-RU"/>
        </w:rPr>
        <w:t>работ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bookmarkStart w:id="26" w:name="_Toc54643705"/>
      <w:bookmarkStart w:id="27" w:name="_Toc51339695"/>
      <w:r>
        <w:rPr>
          <w:rFonts w:ascii="Liberation Serif" w:hAnsi="Liberation Serif"/>
          <w:sz w:val="24"/>
          <w:szCs w:val="24"/>
        </w:rPr>
        <w:t>Таблица 1</w:t>
      </w:r>
      <w:r>
        <w:rPr>
          <w:rFonts w:ascii="Liberation Serif" w:hAnsi="Liberation Serif"/>
          <w:sz w:val="24"/>
          <w:szCs w:val="24"/>
          <w:lang w:val="ru-RU"/>
        </w:rPr>
        <w:t>.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7"/>
      <w:r>
        <w:rPr>
          <w:rFonts w:ascii="Liberation Serif" w:hAnsi="Liberation Serif"/>
          <w:sz w:val="24"/>
          <w:szCs w:val="24"/>
          <w:lang w:val="ru-RU"/>
        </w:rPr>
        <w:t xml:space="preserve">и объем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выполняемых работ</w:t>
      </w:r>
    </w:p>
    <w:tbl>
      <w:tblPr>
        <w:tblW w:w="9810" w:type="dxa"/>
        <w:jc w:val="left"/>
        <w:tblInd w:w="151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Отвод, таксация лесосек, составление таксационного описания лесосеки</w:t>
            </w:r>
          </w:p>
        </w:tc>
        <w:tc>
          <w:tcPr>
            <w:tcW w:w="19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у.е. (заявитель, объект)</w:t>
            </w:r>
          </w:p>
        </w:tc>
        <w:tc>
          <w:tcPr>
            <w:tcW w:w="21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проектов освоения лесов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дополнения к проекту освоения лесов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лесной декларации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отчетов связанных с использованием лесов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6.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lang w:val="ru-RU" w:eastAsia="ru-RU" w:bidi="ar-SA"/>
              </w:rPr>
              <w:t>Подготовка информации об объемах и породном составе вырубаемой древесины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/>
              <w:t>7.</w:t>
            </w:r>
          </w:p>
        </w:tc>
        <w:tc>
          <w:tcPr>
            <w:tcW w:w="4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Подготовка акта несоответствия данных государственного лесного реестра натурному обследованию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/>
              <w:t>8.</w:t>
            </w:r>
          </w:p>
        </w:tc>
        <w:tc>
          <w:tcPr>
            <w:tcW w:w="4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Подготовка справки о наличии/отсутствии представителей растительного мира, занесенных в Красную книгу РФ и/или Амурской области и их численность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347"/>
          <w:tab w:val="left" w:pos="426" w:leader="none"/>
        </w:tabs>
        <w:spacing w:before="120" w:after="120"/>
        <w:ind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3"/>
        <w:numPr>
          <w:ilvl w:val="2"/>
          <w:numId w:val="4"/>
        </w:numPr>
        <w:rPr>
          <w:lang w:val="ru-RU"/>
        </w:rPr>
      </w:pPr>
      <w:bookmarkStart w:id="28" w:name="_Toc54643706"/>
      <w:bookmarkStart w:id="29" w:name="_Toc51339696"/>
      <w:r>
        <w:rPr>
          <w:rFonts w:ascii="Liberation Serif" w:hAnsi="Liberation Serif"/>
          <w:sz w:val="24"/>
          <w:szCs w:val="24"/>
          <w:lang w:val="ru-RU"/>
        </w:rPr>
        <w:t xml:space="preserve">Требования </w:t>
      </w:r>
      <w:bookmarkEnd w:id="29"/>
      <w:r>
        <w:rPr>
          <w:rFonts w:ascii="Liberation Serif" w:hAnsi="Liberation Serif"/>
          <w:sz w:val="24"/>
          <w:szCs w:val="24"/>
          <w:lang w:val="ru-RU"/>
        </w:rPr>
        <w:t xml:space="preserve">к срокам </w:t>
      </w:r>
      <w:bookmarkEnd w:id="28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p>
      <w:pPr>
        <w:pStyle w:val="Normal"/>
        <w:rPr>
          <w:sz w:val="24"/>
          <w:szCs w:val="24"/>
          <w:lang w:eastAsia="x-none"/>
        </w:rPr>
      </w:pPr>
      <w:r>
        <w:rPr>
          <w:rFonts w:ascii="Liberation Serif" w:hAnsi="Liberation Serif"/>
          <w:sz w:val="24"/>
          <w:szCs w:val="24"/>
          <w:lang w:eastAsia="x-none"/>
        </w:rPr>
        <w:t>2.1.2.1 Общий срок выполнения работ: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eastAsia="x-none"/>
        </w:rPr>
        <w:t>с момента заключения договора подряда.</w:t>
      </w:r>
    </w:p>
    <w:p>
      <w:pPr>
        <w:pStyle w:val="Normal"/>
        <w:rPr/>
      </w:pPr>
      <w:r>
        <w:rPr>
          <w:rFonts w:ascii="Liberation Serif" w:hAnsi="Liberation Serif"/>
          <w:sz w:val="24"/>
          <w:szCs w:val="24"/>
          <w:lang w:eastAsia="x-none"/>
        </w:rPr>
        <w:t>2.1.2.2. Окончания работ:  31.12.2027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bookmarkStart w:id="30" w:name="_Toc54643707"/>
      <w:bookmarkStart w:id="31" w:name="_Toc51339697"/>
      <w:bookmarkStart w:id="32" w:name="_Toc50125127"/>
      <w:bookmarkStart w:id="33" w:name="_Toc501251261"/>
      <w:bookmarkEnd w:id="33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. </w:t>
      </w:r>
      <w:bookmarkStart w:id="34" w:name="_Hlk50465284"/>
      <w:r>
        <w:rPr>
          <w:rFonts w:ascii="Liberation Serif" w:hAnsi="Liberation Serif"/>
          <w:sz w:val="24"/>
          <w:szCs w:val="24"/>
        </w:rPr>
        <w:t xml:space="preserve">Требования </w:t>
      </w:r>
      <w:r>
        <w:rPr>
          <w:rFonts w:ascii="Liberation Serif" w:hAnsi="Liberation Serif"/>
          <w:sz w:val="24"/>
          <w:szCs w:val="24"/>
          <w:lang w:val="ru-RU"/>
        </w:rPr>
        <w:t>к</w:t>
      </w:r>
      <w:r>
        <w:rPr>
          <w:rFonts w:ascii="Liberation Serif" w:hAnsi="Liberation Serif"/>
          <w:sz w:val="24"/>
          <w:szCs w:val="24"/>
        </w:rPr>
        <w:t xml:space="preserve"> срокам </w:t>
      </w:r>
      <w:bookmarkEnd w:id="30"/>
      <w:bookmarkEnd w:id="31"/>
      <w:bookmarkEnd w:id="32"/>
      <w:bookmarkEnd w:id="34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tbl>
      <w:tblPr>
        <w:tblW w:w="9776" w:type="dxa"/>
        <w:jc w:val="left"/>
        <w:tblInd w:w="43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80"/>
        <w:gridCol w:w="3115"/>
      </w:tblGrid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выполнения работ/ этапа работ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45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45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Отвод, таксация лесосек, составление таксационного описания лесосеки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проектов освоения лесов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дополнения к проекту освоения лесов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лесной декларации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отчетов связанных с использованием лесов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bookmarkStart w:id="35" w:name="_Toc46743510"/>
            <w:bookmarkEnd w:id="35"/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lang w:val="ru-RU" w:eastAsia="ru-RU" w:bidi="ar-SA"/>
              </w:rPr>
              <w:t>Подготовка информации об объемах и породном составе вырубаемой древесины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Подготовка акта несоответствия данных государственного лесного реестра натурному обследованию</w:t>
            </w:r>
          </w:p>
        </w:tc>
        <w:tc>
          <w:tcPr>
            <w:tcW w:w="6095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Подготовка справки о наличии/отсутствии представителей растительного мира, занесенных в Красную книгу РФ и/или Амурской области и их численность</w:t>
            </w:r>
          </w:p>
        </w:tc>
        <w:tc>
          <w:tcPr>
            <w:tcW w:w="6095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1"/>
          <w:numId w:val="4"/>
        </w:numPr>
        <w:rPr>
          <w:rFonts w:eastAsia="Calibri"/>
          <w:b/>
          <w:b/>
          <w:sz w:val="24"/>
          <w:szCs w:val="24"/>
          <w:lang w:eastAsia="x-none"/>
        </w:rPr>
      </w:pPr>
      <w:bookmarkStart w:id="36" w:name="_Toc54643709"/>
      <w:bookmarkStart w:id="37" w:name="_Toc51339698"/>
      <w:bookmarkStart w:id="38" w:name="_Toc54643708"/>
      <w:bookmarkStart w:id="39" w:name="_Toc46743511"/>
      <w:r>
        <mc:AlternateContent>
          <mc:Choice Requires="wps">
            <w:drawing>
              <wp:anchor behindDoc="0" distT="0" distB="1270" distL="0" distR="0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0955" cy="17462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" cy="173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style="position:absolute;margin-left:0pt;margin-top:0.05pt;width:1.55pt;height:13.6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3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Liberation Serif" w:hAnsi="Liberation Serif"/>
          <w:sz w:val="24"/>
          <w:szCs w:val="24"/>
        </w:rPr>
        <w:t xml:space="preserve">Требования к </w:t>
      </w:r>
      <w:bookmarkEnd w:id="39"/>
      <w:r>
        <w:rPr>
          <w:rFonts w:ascii="Liberation Serif" w:hAnsi="Liberation Serif"/>
          <w:sz w:val="24"/>
          <w:szCs w:val="24"/>
          <w:lang w:val="ru-RU"/>
        </w:rPr>
        <w:t xml:space="preserve">качеству </w:t>
      </w:r>
      <w:bookmarkEnd w:id="38"/>
      <w:r>
        <w:rPr>
          <w:rFonts w:ascii="Liberation Serif" w:hAnsi="Liberation Serif"/>
          <w:sz w:val="24"/>
          <w:szCs w:val="24"/>
          <w:lang w:val="ru-RU"/>
        </w:rPr>
        <w:t>работ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bookmarkEnd w:id="37"/>
      <w:r>
        <w:rPr>
          <w:rFonts w:ascii="Liberation Serif" w:hAnsi="Liberation Serif"/>
          <w:sz w:val="24"/>
          <w:szCs w:val="24"/>
          <w:lang w:val="ru-RU"/>
        </w:rPr>
        <w:t xml:space="preserve">качеству </w:t>
      </w:r>
      <w:bookmarkEnd w:id="36"/>
      <w:r>
        <w:rPr>
          <w:rFonts w:ascii="Liberation Serif" w:hAnsi="Liberation Serif"/>
          <w:sz w:val="24"/>
          <w:szCs w:val="24"/>
          <w:lang w:val="ru-RU"/>
        </w:rPr>
        <w:t>работ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 xml:space="preserve">Наименование услуг/этапа работ (позиция № 1-№7 Таблицы 1): </w:t>
      </w:r>
      <w:r>
        <w:rPr>
          <w:rFonts w:ascii="Liberation Serif" w:hAnsi="Liberation Serif"/>
          <w:bCs/>
          <w:i/>
          <w:sz w:val="24"/>
          <w:szCs w:val="24"/>
        </w:rPr>
        <w:t xml:space="preserve">1. </w:t>
      </w:r>
      <w:r>
        <w:rPr>
          <w:rFonts w:ascii="Liberation Serif" w:hAnsi="Liberation Serif"/>
          <w:i/>
          <w:sz w:val="24"/>
          <w:szCs w:val="24"/>
        </w:rPr>
        <w:t>Отвод, таксация лесосек, составление таксационного описания лесосеки; 2. Разработка проектов освоения лесов; 3. Разработка дополнения к проекту освоения лесов; 4. Подготовка лесной декларации; 5. Подготовка отчетов связанных с использованием лесов; 6. Подготовка информации об объемах и породном составе вырубаемой древесины. 7. Подготовка акта несоответствия данных государственного лесного реестра натурному обследованию. 8. Подготовка справки о наличии/отсутствии представителей растительного мира, занесенных в Красную книгу РФ и/или Амурской области, их распространение и численность» и расчет стоимости компенсационных мероприятий по сохранению редких и исчезающих видов растений</w:t>
      </w:r>
    </w:p>
    <w:tbl>
      <w:tblPr>
        <w:tblStyle w:val="af"/>
        <w:tblW w:w="15274" w:type="dxa"/>
        <w:jc w:val="left"/>
        <w:tblInd w:w="42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2555"/>
        <w:gridCol w:w="66"/>
        <w:gridCol w:w="9343"/>
        <w:gridCol w:w="2373"/>
      </w:tblGrid>
      <w:tr>
        <w:trPr>
          <w:trHeight w:val="1085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5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940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Подтверждение участником соответствия в виде согласия с требованием</w:t>
            </w:r>
          </w:p>
        </w:tc>
      </w:tr>
      <w:tr>
        <w:trPr>
          <w:trHeight w:val="255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40" w:name="_Toc53499667"/>
            <w:bookmarkEnd w:id="40"/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5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940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  <w:lang w:eastAsia="x-none"/>
              </w:rPr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5539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left="25" w:hanging="0"/>
              <w:contextualSpacing/>
              <w:jc w:val="left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2555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Требование к организации работ</w:t>
            </w:r>
          </w:p>
        </w:tc>
        <w:tc>
          <w:tcPr>
            <w:tcW w:w="940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>1. Отвод, таксация лесосек, составление таксационного описания лесосеки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1.1.1. Провести отвод и таксацию лесосек в соответствии с порядком утвержденном приказом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993».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1.1.2. На основании полученных данных по результатам отвода и таксации лесосеки составить таксационное описание лесосеки в соответствии с требованиями приказа Минприроды России от 14.10.2022 № 687 «Об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лесосеки».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1.1.3. Таксационное описание лесосеки, составленное в форме электронного документа направить в орган публичной власти, осуществляющий полномочия, определенные в соответствии со статьями 81-84 Лесного кодекса РФ.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1.1.4. Если по результатам рассмотрения таксационного описания лесосеки органом  публичной власти, принято решение о проведении предварительного осмотра лесосеки, Участнику (Подрядчику) необходимо принять участие в выездном осмотре лесосеки с представителями данного органа.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1.1.5. В случае если по результатам предварительного осмотра лесосеки органом публичной власти, составлено уведомление о невозможности проведения лесосечных работ, Участнику (Подрядчику) необходимо провести работу по исправлению всех замечаний, изложенных в данном уведомлении. По результатам проделанной работы по исправлению замечаний подготовить и повторно направить на рассмотрение таксационное описание лесосеки в орган публичной власти.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1.1.6. Работа считается выполненной со дня получения от органа публичной власти,  письменного уведомления о приеме таксационного описания лесосеки.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>2. Разработка проектов освоения лесов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2.2.1. В случае выполнения работ, предусмотренных пунктами 1.1.1. – 1.1.6. использовать данные таксационного описания лесосеки при разработке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2.2.2. Подготовить информацию о лесном участке в объеме достаточном для подготовки и получения положительного заключения государственной экспертизы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Информация о лесном участке должна содержать в том числе: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количественные и качественные характеристики проектируемого лесного участка;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-номер лесосеки, объекта;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площадь (общая), га;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площадь (эксплуатационная), га;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каталог с номерами характерных точек (столбов) на углах лесосеки (объекта), расстояния между ними (длина линий, м), магнитные азимуты (румбы) линий (направление линий);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каталог координат характерных точек (столбов) на углах лесосеки (объекта) в системе координат WGS-84 (допустимая средняя квадратическая погрешность определения координат (местоположения) характерных точек составляет 5 метров);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привязка лесосеки к квартальным столбам, просекам или другим постоянным ориентирам.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на тематических лесных картах при отображении проектируемого объекта нумеровать все поворотные точки объекта, в том числе точку привязки лесосеки к квартальным столбам, просекам или другим постоянным ориентирам.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2.2.3. Получить выписку из государственного лесного реестра.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2.2.4. Разработать проект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2.2.5. Получить положительное заключение государственной экспертизы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 xml:space="preserve">2.2.6. </w:t>
            </w:r>
            <w:bookmarkStart w:id="41" w:name="__DdeLink__12371_1342123338"/>
            <w:bookmarkEnd w:id="41"/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Предусмотреть пункты сосредоточения противопожарного инвентаря, предварительно согласовав их месторасположение с Заказчиком.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3. Разработка дополнения к проекту освоения лесов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3.3.1. Разработать дополнение к проекту освоения лесов с новыми данными по изменяемым мероприятиям и объемам, при этом если изменяется таблица, то она приводится полностью с учетом новых данных.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3.3.2. Внесение изменений в проект освоения лесов осуществляется в порядке, предусмотренном приказом Минприроды России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 для разработки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3.3.3. Все предложения по дополнению проекта освоения лесов должны соответствовать текущим данным государственного лесного реестра, требованиям действующего законодательства и полежат согласованию с Заказчиком до момента направления в  орган публичной власти.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3.3.4. Получить положительное заключение государственной экспертизы проекта освоения лесов (дополнения к проекту освоения лесов) с учетом внесения изменений (дополнений).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>4. Подготовка лесной декларации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4.4.1. Составить лесную декларацию в соответствии с требованиями действующего законодательства.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4.4.2. Предоставить в Министерство лесного хозяйства и пожарной безопасности Амурской области лесную декларацию в форме электронного документа с использование официальных цифровых платформ.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4.4.3. Получить извещение о приеме лесной декларации в Министерстве лесного хозяйства и пожарной безопасности Амурской области.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 xml:space="preserve">5. Подготовка отчетов связанных с использованием лесов,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>предусмотренные частью 1 статьи 49, частью 1 статьи 60, частью 1 статьи 60.11, частью 1 статьи 66, частью 1 статьи 60.16. Лесного кодекса.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 xml:space="preserve">5.5.1. </w:t>
            </w: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Подготовить отчеты связанных с использованием лесов в соответствии с требованиями действующего законодательства.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5.5.2. Предоставить в Министерство лесного хозяйства и пожарной безопасности Амурской области отчеты связанных с использованием лесов в форме электронного документа с использование официальных цифровых платформ.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bookmarkStart w:id="42" w:name="__DdeLink__13452_1342123338"/>
            <w:bookmarkEnd w:id="42"/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5.5.3. Получить извещение о приеме отчетов связанных с использованием лесов в Министерстве лесного хозяйства и пожарной безопасности Амурской области.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 w:val="false"/>
                <w:color w:val="00000A"/>
                <w:kern w:val="0"/>
                <w:sz w:val="24"/>
                <w:szCs w:val="24"/>
                <w:lang w:val="ru-RU" w:eastAsia="ru-RU" w:bidi="ar-SA"/>
              </w:rPr>
              <w:t>6. Подготовка и</w:t>
            </w:r>
            <w:r>
              <w:rPr>
                <w:rFonts w:eastAsia="Times New Roman" w:cs="Times New Roman" w:ascii="Liberation Serif" w:hAnsi="Liberation Serif"/>
                <w:b/>
                <w:bCs/>
                <w:i/>
                <w:iCs w:val="false"/>
                <w:caps w:val="false"/>
                <w:smallCaps w:val="false"/>
                <w:color w:val="00000A"/>
                <w:spacing w:val="0"/>
                <w:kern w:val="0"/>
                <w:sz w:val="24"/>
                <w:szCs w:val="24"/>
                <w:lang w:val="ru-RU" w:eastAsia="ru-RU" w:bidi="ar-SA"/>
              </w:rPr>
              <w:t>нформации об объемах и породном составе вырубаемой древесины.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 w:val="false"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6.6.1.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Подготовить информацию об объемах и породном составе вырубаемой древесины, достаточную для проведения процедуры по реализации древесины, полученной при использовании лесов, расположенных на землях лесного фонда, в соответствии с требованиями </w:t>
            </w:r>
            <w:bookmarkStart w:id="43" w:name="__DdeLink__11451_1342123338"/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Постановления Правительства РФ от 23.07.2009 № 604</w:t>
            </w:r>
            <w:bookmarkEnd w:id="43"/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 (вместе с "Правилами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Федерации").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6.6.2. Подготовленную информацию об объёмах и породном составе вырубаемой древесины согласовать с территориальным учреждением управления в области использования, охраны, защиты и воспроизводства лесов (ГАУ «Лесхозы»/ГКУ «Лесничества»).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6.6.3. Предоставить согласованную в соответствии с пунктом 6.6.2. информацию об объемах и породном составе вырубаемой древесины Заказчику для подготовки и направления уведомления о завершении рубки лесных насаждений в органы публичной власти.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7. Подготовка справки о наличии/отсутствии представителей растительного мира, занесенных в Красную книгу РФ и/или Амурской области, их распространение и численность» и расчет стоимости компенсационных мероприятий по сохранению редких и исчезающих видов растений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  <w:lang w:eastAsia="x-none"/>
              </w:rPr>
            </w:r>
          </w:p>
        </w:tc>
        <w:tc>
          <w:tcPr>
            <w:tcW w:w="11964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2.1.1.</w:t>
            </w:r>
          </w:p>
        </w:tc>
        <w:tc>
          <w:tcPr>
            <w:tcW w:w="262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Требование к документации</w:t>
            </w:r>
          </w:p>
        </w:tc>
        <w:tc>
          <w:tcPr>
            <w:tcW w:w="934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Документация должна быть оформлена в соответствии с требованиями действующего законодательства в составе и объемах предусмотренных в  дополнительных соглашениях к договору подряда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1964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3.1.1.</w:t>
            </w:r>
          </w:p>
        </w:tc>
        <w:tc>
          <w:tcPr>
            <w:tcW w:w="2555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Общие технические требования к оборудованию подрядчика</w:t>
            </w:r>
          </w:p>
        </w:tc>
        <w:tc>
          <w:tcPr>
            <w:tcW w:w="940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требованиями, предусмотренными законодательством Российской Федерации по выполнению работ предусмотренных настоящими Техническими требованиями.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1964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44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выполняемым работам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Документация, полученная в рамках выполнения работ Подрядчиком должна быть действующей и соответствовать установленным требованиям законодательства.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При организации работы руководствоваться требованиями: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</w:t>
              <w:tab/>
              <w:t>Лесного кодекса Российской Федерации от 04.12.2006 № 200-ФЗ.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</w:t>
              <w:tab/>
              <w:t>Федерального закона «О животном мире» от 24.04.1995 № 52-ФЗ.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3.</w:t>
              <w:tab/>
              <w:t>Федерального закона «Об охране окружающей среды» от 10.01.2002 № 7-ФЗ.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</w:t>
              <w:tab/>
              <w:t>Федерального закона «О геодезии, картографии и пространственных данных и о внесённых изменений в отдельные законодательные акты Российской Федерации» от 30.12.2015 № 431-ФЗ.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5.</w:t>
              <w:tab/>
              <w:t xml:space="preserve"> Федерального закона от 19.07.2018 № 212-ФЗ «О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лесоразведения»;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6.</w:t>
              <w:tab/>
              <w:t>Постановления Правительства РФ от 18.05.2022 № 897 "Об утверждении Правил осуществления лесовосстановления или лесоразведения в случае, предусмотренном частью 4 статьи 63.1 Лесного кодекса Российской Федерации, о признании утратившим силу постановления Правительства Российской Федерации от 7 мая 2019 г. № 566 и внесении изменения в перечень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(в действующей редакции).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7.</w:t>
              <w:tab/>
              <w:t>Постановление Правительства РФ от 21.09.2020 № 1509 "Об особенностях использования, охраны, защиты, воспроизводства лесов, расположенных на землях сельскохозяйственного назначения" (вместе с "Положением об особенностях использования, охраны, защиты, воспроизводства лесов, расположенных на землях сельскохозяйственного назначения").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8.</w:t>
              <w:tab/>
              <w:t>Правил пожарной безопасности в лесах, утверждённые постановлением Правительства Российской Федерации от 07.10.2020 № 1614.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9.</w:t>
              <w:tab/>
              <w:t>Правил санитарной безопасности в лесах, утверждённые постановлением Правительства Российской Федерации от 09.12.2020 № 2047.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10.</w:t>
              <w:tab/>
              <w:t>Перечня объектов лесной инфраструктуры для защитных лесов, эксплуатационных лесов и резервных лесов (распоряжение Правирельства РФ от 17.07.2012 № 1283-р).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11.</w:t>
              <w:tab/>
              <w:t>Приказа Министерства природных ресурсов и экологии РФ от 28 марта 2014 года № 161 «Об утверждении видов средств предупреждения и тушения лесных пожаров, нормативов обеспеченности данными средствами лиц, использующих леса, норм наличия средств предупреждения и тушения лесных пожаров при использовании лесов».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12.</w:t>
              <w:tab/>
              <w:t>Приказа Министерства природных ресурсов и экологии Российской Федерации от 18.08.2014 № 367 «Об утверждении перечня лесорастительных зон и лесных районов Российской Федерации».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13.</w:t>
              <w:tab/>
              <w:t>Приказа Минприроды России от 17.01.2022 №23 «Об утверждении видов лесосечных работ, порядка и последовательности их проведения, формы технологической карты лесосечных работ, формы акта заключительного осмотра лесосеки и порядка заключительного осмотра лесосеки».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14.</w:t>
              <w:tab/>
              <w:t xml:space="preserve"> Приказа Минприроды России от 14.10.2022 № 687 "Об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лесосеки".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15.</w:t>
              <w:tab/>
              <w:t>Приказа Минприроды России от 29.09.2022 № 641 "Об утверждении порядка проведения предварительного осмотра лесосеки, порядка составления акта предварительного осмотра лесосеки, внесения изменений в акт предварительного осмотра лесосеки и формы такого акта, а также порядка составления и формы уведомления о невозможности проведения лесосечных работ".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16.</w:t>
              <w:tab/>
              <w:t>Приказа Министерства природных ресурсов и экологии Российской Федерации от 29.12.2021 №1024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17.</w:t>
              <w:tab/>
              <w:t>Правила ухода за лесами, утверждённые приказом Минприроды России от 30.07.2020 № 534.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18.</w:t>
              <w:tab/>
              <w:t>Приказа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993".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19.</w:t>
              <w:tab/>
              <w:t>Правил использования лесов для строительства, реконструкции, эксплуатации линейных объектов», утверждены приказом Минприроды России от 10.07.2020 № 434.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20.</w:t>
              <w:tab/>
              <w:t>Перечня некапитальных строений, сооружений,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23.04.2022 № 999-р.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21.</w:t>
              <w:tab/>
              <w:t>Перечня объектов капитального строительства,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30.04.2022 № 1084-р.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22.</w:t>
              <w:tab/>
              <w:t>Приказа Рослесхоза от 27.04.2012 № 174 «Об утверждении нормативов противопожарного обустройства лесов».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23.</w:t>
              <w:tab/>
              <w:t>Приказа Рослесхоза от 09.04.2015 № 105 «Об установлении возрастов рубок».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24.</w:t>
              <w:tab/>
              <w:t>Лесоустроительной инструкции, утверждённой приказом Минприроды России от 05.08.2022 № 510.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25.</w:t>
              <w:tab/>
              <w:t>Приказа Министерства природных ресурсов и экологии Российской Федерации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26.</w:t>
              <w:tab/>
              <w:t>Порядка исчисления расчетной лесосеки, утвержденный приказом Федерального агентства лесного хозяйства от 27.05.2011 № 191.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27.</w:t>
              <w:tab/>
              <w:t>Положения о порядке отнесения территории лесного фонда Российской Федерации и не входящих в лесной фонд Российской Федерации лесов к зонам и районам охраны, утверждённые Федеральной службой лесного хозяйства России от 19 сентября 1997 года.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28.</w:t>
              <w:tab/>
              <w:t>Красной книги Амурской области. Благовещенск, 2019.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29.</w:t>
              <w:tab/>
              <w:t>Утвержденных лесохозяйственных регламентов, действующих в зоне проведения работ.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30.</w:t>
              <w:tab/>
              <w:t>Приказа Минприроды России от 29.04.2021 № 303 «Об утверждении формы лесной декларации, порядка ее заполнения и подачи, требований к формату лесной декларации в электронной форме».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 xml:space="preserve">31. </w:t>
            </w:r>
            <w:bookmarkStart w:id="44" w:name="__DdeLink__4166_2684772474"/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Приказа Минприроды России от 11.11.2013 № 496</w:t>
            </w:r>
            <w:bookmarkEnd w:id="44"/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 xml:space="preserve"> «Об утверждении Перечня, форм и порядка подготовки документов, на основании которых осуществляется внесение документированной информации в государственный лесной реестр и ее изменение».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32. Постановления Правительства РФ от 14.12.2023 № 2153 «Об утверждении Правил распоряжения находящейся в собственности Российской Федерации древесиной, которая получена в ходе строительства, реконструкции, эксплуатации линейных объектов».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33. Постановления Правительства РФ от 23.07.2009 № 604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И иными требования действующего законодательства регулирующих выполнение работ, предусмотренных настоящими Техническими требованиями, а также требованиям нормативно – правовых актов, вступивших в силу в течении срока выполнения работ.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5.1.1.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5.1.1.1.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Результат работ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Конкретный объем документов (результатов работ) будет установлен в дополнительных соглашениях, которые подписываются на основании уточненного Технического Задания, подготовленного Заказчиком.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Результаты работ предоставляются Заказчику в бумажном или электроном виде по каждому объекту строительства.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245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приемке результата выполнения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6.1.1.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Приемка результата работ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Приемка результата работ осуществляется в соответствии с требованиями раздела 4 проекта договора.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148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left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ответственности сторон закреплены в разделе  6 проекта договора.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7.1.2.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spacing w:before="40" w:after="0"/>
              <w:jc w:val="left"/>
              <w:rPr>
                <w:b/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Гарантии подрядной организации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Гарантия Подрядчика на выполнение работ закреплена разделом  7 проекта договора.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992" w:right="567" w:header="680" w:top="851" w:footer="0" w:bottom="851" w:gutter="0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1"/>
        <w:keepLines/>
        <w:numPr>
          <w:ilvl w:val="0"/>
          <w:numId w:val="4"/>
        </w:numPr>
        <w:ind w:left="357" w:hanging="357"/>
        <w:jc w:val="center"/>
        <w:rPr>
          <w:sz w:val="24"/>
          <w:szCs w:val="24"/>
          <w:lang w:val="ru-RU"/>
        </w:rPr>
      </w:pPr>
      <w:bookmarkStart w:id="45" w:name="_Toc54643710"/>
      <w:bookmarkStart w:id="46" w:name="_Toc53395937"/>
      <w:bookmarkStart w:id="47" w:name="_Toc53393312"/>
      <w:bookmarkStart w:id="48" w:name="_Toc51339699"/>
      <w:bookmarkStart w:id="49" w:name="_Toc46743519"/>
      <w:bookmarkEnd w:id="48"/>
      <w:bookmarkEnd w:id="49"/>
      <w:r>
        <w:rPr>
          <w:rFonts w:ascii="Liberation Serif" w:hAnsi="Liberation Serif"/>
          <w:sz w:val="24"/>
          <w:szCs w:val="24"/>
          <w:lang w:val="ru-RU"/>
        </w:rPr>
        <w:t>Требования к документации по ценообразованию</w:t>
      </w:r>
      <w:bookmarkEnd w:id="45"/>
      <w:bookmarkEnd w:id="46"/>
      <w:bookmarkEnd w:id="47"/>
      <w:r>
        <w:rPr>
          <w:rFonts w:ascii="Liberation Serif" w:hAnsi="Liberation Serif"/>
          <w:sz w:val="24"/>
          <w:szCs w:val="24"/>
          <w:lang w:val="ru-RU"/>
        </w:rPr>
        <w:t xml:space="preserve"> на этапе закупки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3.1.1. Планируемый объем выполняемых работ составит не более 700 000,00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3.1.2. Стоимость подрядных работ в оформляемых дополнительных соглашениях определяется расчётом, выполненным на основании стоимости работ, заявленных подрядчиком на этапе закупочной процедуры.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3.1.3. Участником (Подрядчиком) в коммерческом предложении стоимость работ рассчитывается отдельно по каждому виду работ, указанному в пункте 2.1. настоящего Технического требования.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3.1.4. Единицей измерения для работ, предусмотренных пунктом 1 таблицы 1 настоящего Технического требования является 1 га. 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3.1.5. Единицей измерения для работ, предусмотренных пунктами 2, 3, 4, 5, 6 таблицы 1 настоящего Технического требования является стоимость одного единицы документации (одной лесной декларации, одного отчета, одного проекта, одного дополнения к проекту освоения лесов, </w:t>
      </w:r>
      <w:r>
        <w:rPr>
          <w:rFonts w:eastAsia="Times New Roman" w:cs="Times New Roman" w:ascii="Liberation Serif" w:hAnsi="Liberation Serif"/>
          <w:b w:val="false"/>
          <w:i w:val="false"/>
          <w:iCs w:val="false"/>
          <w:color w:val="00000A"/>
          <w:sz w:val="24"/>
          <w:szCs w:val="24"/>
          <w:lang w:val="ru-RU" w:eastAsia="ru-RU" w:bidi="ar-SA"/>
        </w:rPr>
        <w:t>одной информации об объемах и породном составе вырубаемой древесины</w:t>
      </w:r>
      <w:r>
        <w:rPr>
          <w:rFonts w:eastAsia="Calibri" w:ascii="Liberation Serif" w:hAnsi="Liberation Serif"/>
          <w:sz w:val="24"/>
          <w:szCs w:val="24"/>
          <w:lang w:eastAsia="x-none"/>
        </w:rPr>
        <w:t>).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3.1.6. </w:t>
      </w:r>
      <w:bookmarkStart w:id="50" w:name="_GoBack"/>
      <w:bookmarkEnd w:id="50"/>
      <w:r>
        <w:rPr>
          <w:rFonts w:eastAsia="Calibri" w:ascii="Liberation Serif" w:hAnsi="Liberation Serif"/>
          <w:sz w:val="24"/>
          <w:szCs w:val="24"/>
          <w:lang w:eastAsia="x-none"/>
        </w:rPr>
        <w:t>Общая стоимость работ по договору является предельной ценой и не подлежит корректировке до конца срока окончания работ, кроме случаев, когда Заказчик вносит изменения в Техническое требование.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3.1.7.</w:t>
        <w:tab/>
        <w:t>Стоимость за единицу продукции (работы) должна включать в себя налоги, сборы, пошлины и другие обязательные платежи, расходы на содержание, эксплуатацию, перебазировку автотранспорта, спецтехники и механизмов, заправка горюче-смазочными материалами, и прочие расходы, связанные с выполнением работ, предусмотренные Проектом договора.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3.1.8. Дополнительные документы по ценообразованию (сметная документация) в состав заявки Участника не включается.</w:t>
      </w:r>
    </w:p>
    <w:p>
      <w:pPr>
        <w:pStyle w:val="Normal"/>
        <w:rPr>
          <w:rFonts w:ascii="Liberation Serif" w:hAnsi="Liberation Serif"/>
          <w:iCs/>
          <w:caps/>
          <w:sz w:val="24"/>
          <w:szCs w:val="24"/>
        </w:rPr>
      </w:pPr>
      <w:r>
        <w:rPr>
          <w:rFonts w:ascii="Liberation Serif" w:hAnsi="Liberation Serif"/>
          <w:iCs/>
          <w:caps/>
          <w:sz w:val="24"/>
          <w:szCs w:val="24"/>
        </w:rPr>
      </w:r>
      <w:bookmarkStart w:id="51" w:name="_Toc513396991"/>
      <w:bookmarkStart w:id="52" w:name="_Toc467435191"/>
      <w:bookmarkStart w:id="53" w:name="_Toc513396991"/>
      <w:bookmarkStart w:id="54" w:name="_Toc467435191"/>
      <w:bookmarkEnd w:id="53"/>
      <w:bookmarkEnd w:id="54"/>
    </w:p>
    <w:p>
      <w:pPr>
        <w:pStyle w:val="1"/>
        <w:keepLines/>
        <w:numPr>
          <w:ilvl w:val="0"/>
          <w:numId w:val="0"/>
        </w:numPr>
        <w:spacing w:before="120" w:after="60"/>
        <w:ind w:left="357" w:hanging="0"/>
        <w:rPr/>
      </w:pPr>
      <w:r>
        <w:rPr/>
      </w:r>
    </w:p>
    <w:sectPr>
      <w:headerReference w:type="default" r:id="rId5"/>
      <w:headerReference w:type="first" r:id="rId6"/>
      <w:type w:val="nextPage"/>
      <w:pgSz w:w="11906" w:h="16838"/>
      <w:pgMar w:left="1134" w:right="851" w:header="680" w:top="1134" w:footer="0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Liberation Serif" w:hAnsi="Liberation Serif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1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  <w:rFonts w:ascii="Liberation Serif" w:hAnsi="Liberation Serif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1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34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3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i/>
      <w:shd w:fill="FFFF99" w:val="clear"/>
    </w:rPr>
  </w:style>
  <w:style w:type="character" w:styleId="Style17" w:customStyle="1">
    <w:name w:val="Подподпункт Знак"/>
    <w:link w:val="Style17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3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qFormat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3"/>
    <w:qFormat/>
    <w:rsid w:val="00de52bc"/>
    <w:rPr>
      <w:b/>
      <w:sz w:val="28"/>
    </w:rPr>
  </w:style>
  <w:style w:type="character" w:styleId="13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4">
    <w:name w:val="Body Text"/>
    <w:basedOn w:val="Normal"/>
    <w:rsid w:val="0076353a"/>
    <w:pPr>
      <w:spacing w:before="0" w:after="120"/>
    </w:pPr>
    <w:rPr/>
  </w:style>
  <w:style w:type="paragraph" w:styleId="Style25">
    <w:name w:val="List"/>
    <w:basedOn w:val="Style24"/>
    <w:pPr/>
    <w:rPr>
      <w:rFonts w:cs="Lohit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2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9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0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Style31">
    <w:name w:val="Footnote Text"/>
    <w:basedOn w:val="Normal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1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1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1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Style33">
    <w:name w:val="Header"/>
    <w:basedOn w:val="Normal"/>
    <w:uiPriority w:val="99"/>
    <w:rsid w:val="0076353a"/>
    <w:pPr>
      <w:tabs>
        <w:tab w:val="clear" w:pos="34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4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5">
    <w:name w:val="Footer"/>
    <w:basedOn w:val="Normal"/>
    <w:rsid w:val="0076353a"/>
    <w:pPr>
      <w:tabs>
        <w:tab w:val="clear" w:pos="34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"/>
    <w:qFormat/>
    <w:rsid w:val="0076353a"/>
    <w:pPr>
      <w:tabs>
        <w:tab w:val="clear" w:pos="347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1"/>
    <w:qFormat/>
    <w:rsid w:val="0076353a"/>
    <w:pPr>
      <w:keepNext w:val="true"/>
      <w:tabs>
        <w:tab w:val="clear" w:pos="347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347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0">
    <w:name w:val="Subtitle"/>
    <w:basedOn w:val="Normal"/>
    <w:next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1">
    <w:name w:val="Index Heading"/>
    <w:basedOn w:val="Style23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3" w:customStyle="1">
    <w:name w:val="Пункт"/>
    <w:basedOn w:val="Normal"/>
    <w:qFormat/>
    <w:rsid w:val="00d22f6d"/>
    <w:pPr>
      <w:widowControl w:val="false"/>
      <w:tabs>
        <w:tab w:val="clear" w:pos="347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6" w:customStyle="1">
    <w:name w:val="Подподпункт"/>
    <w:basedOn w:val="Style36"/>
    <w:link w:val="Style2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7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8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9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tabs>
        <w:tab w:val="clear" w:pos="347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Symbol">
    <w:name w:val="Endnote Symbol"/>
    <w:basedOn w:val="Normal"/>
    <w:link w:val="Style4"/>
    <w:qFormat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50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1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1">
    <w:name w:val="Содержимое врезки"/>
    <w:basedOn w:val="Normal"/>
    <w:qFormat/>
    <w:pPr/>
    <w:rPr/>
  </w:style>
  <w:style w:type="paragraph" w:styleId="Style52">
    <w:name w:val="Содержимое таблицы"/>
    <w:basedOn w:val="Normal"/>
    <w:qFormat/>
    <w:pPr/>
    <w:rPr/>
  </w:style>
  <w:style w:type="paragraph" w:styleId="Style53">
    <w:name w:val="Заголовок таблицы"/>
    <w:basedOn w:val="Style52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9CFBC-5B37-486A-96E9-8C33D03E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Application>LibreOffice/7.1.8.1$Linux_X86_64 LibreOffice_project/10$Build-1</Application>
  <AppVersion>15.0000</AppVersion>
  <Pages>14</Pages>
  <Words>3343</Words>
  <Characters>23747</Characters>
  <CharactersWithSpaces>26820</CharactersWithSpaces>
  <Paragraphs>294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2023-11-16T00:12:00Z</dcterms:created>
  <dc:creator>Быстров Олег Геннадьевич</dc:creator>
  <dc:description/>
  <dc:language>ru-RU</dc:language>
  <cp:lastModifiedBy/>
  <cp:lastPrinted>2025-09-04T09:57:41Z</cp:lastPrinted>
  <dcterms:modified xsi:type="dcterms:W3CDTF">2026-10-20T14:24:04Z</dcterms:modified>
  <cp:revision>33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