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7.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4.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1.xml" ContentType="application/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ind w:left="0" w:right="0" w:firstLine="709"/>
        <w:jc w:val="both"/>
        <w:rPr>
          <w:spacing w:val="10"/>
          <w:sz w:val="24"/>
          <w:szCs w:val="24"/>
        </w:rPr>
      </w:pPr>
      <w:r>
        <w:rPr>
          <w:b/>
          <w:spacing w:val="10"/>
          <w:sz w:val="24"/>
          <w:szCs w:val="24"/>
        </w:rPr>
        <w:t xml:space="preserve">Акционерное общество «Транспортная компания – РусГидро» </w:t>
      </w:r>
      <w:r>
        <w:rPr>
          <w:spacing w:val="10"/>
          <w:sz w:val="24"/>
          <w:szCs w:val="24"/>
        </w:rPr>
        <w:t>(АО «ТК «РусГидро»»)</w:t>
      </w:r>
      <w:r>
        <w:rPr>
          <w:spacing w:val="2"/>
          <w:sz w:val="24"/>
          <w:szCs w:val="24"/>
        </w:rPr>
        <w:t xml:space="preserve">, (далее – </w:t>
      </w:r>
      <w:r>
        <w:rPr>
          <w:spacing w:val="10"/>
          <w:sz w:val="24"/>
          <w:szCs w:val="24"/>
        </w:rPr>
        <w:t xml:space="preserve">«Покупатель»), в лице директора Дальневосточного филиала </w:t>
      </w:r>
      <w:r>
        <w:rPr>
          <w:rFonts w:eastAsia="Times New Roman" w:cs="Times New Roman"/>
          <w:color w:val="auto"/>
          <w:spacing w:val="10"/>
          <w:kern w:val="0"/>
          <w:sz w:val="24"/>
          <w:szCs w:val="24"/>
          <w:lang w:val="ru-RU" w:eastAsia="ru-RU" w:bidi="ar-SA"/>
        </w:rPr>
        <w:t xml:space="preserve">АО «ТК РусГидро» Золотарева Василия Юрьевича, </w:t>
      </w:r>
      <w:r>
        <w:rPr>
          <w:spacing w:val="4"/>
          <w:sz w:val="24"/>
          <w:szCs w:val="24"/>
        </w:rPr>
        <w:t>на основании доверенности № 816 от 01.12.2025,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w:t>
      </w:r>
      <w:r>
        <w:rPr>
          <w:rFonts w:eastAsia="Calibri"/>
          <w:b w:val="false"/>
          <w:bCs w:val="false"/>
          <w:color w:val="000000"/>
          <w:kern w:val="0"/>
          <w:sz w:val="24"/>
          <w:szCs w:val="24"/>
          <w:highlight w:val="lightGray"/>
          <w:shd w:fill="auto" w:val="clear"/>
          <w:lang w:eastAsia="en-US"/>
        </w:rPr>
        <w:t>30</w:t>
      </w:r>
      <w:r>
        <w:rPr>
          <w:rFonts w:eastAsia="Calibri"/>
          <w:b w:val="false"/>
          <w:bCs w:val="false"/>
          <w:color w:val="000000"/>
          <w:kern w:val="0"/>
          <w:sz w:val="24"/>
          <w:szCs w:val="24"/>
          <w:highlight w:val="lightGray"/>
          <w:shd w:fill="auto" w:val="clear"/>
          <w:lang w:eastAsia="en-US"/>
        </w:rPr>
        <w:t>90</w:t>
      </w:r>
      <w:r>
        <w:rPr>
          <w:rFonts w:eastAsia="Calibri"/>
          <w:b w:val="false"/>
          <w:bCs w:val="false"/>
          <w:color w:val="000000"/>
          <w:kern w:val="0"/>
          <w:sz w:val="24"/>
          <w:szCs w:val="24"/>
          <w:highlight w:val="lightGray"/>
          <w:shd w:fill="auto" w:val="clear"/>
          <w:lang w:eastAsia="en-US"/>
        </w:rPr>
        <w:t>-ПРО ДЭК-2027-ТК_Дальневост_фил</w:t>
      </w:r>
      <w:r>
        <w:rPr>
          <w:rFonts w:eastAsia="Calibri"/>
          <w:i/>
          <w:kern w:val="0"/>
          <w:sz w:val="26"/>
          <w:szCs w:val="26"/>
          <w:highlight w:val="lightGray"/>
          <w:shd w:fill="auto" w:val="clear"/>
          <w:lang w:eastAsia="en-US"/>
        </w:rPr>
        <w:t xml:space="preserve"> </w:t>
      </w:r>
      <w:r>
        <w:rPr>
          <w:rFonts w:eastAsia="Calibri"/>
          <w:i/>
          <w:kern w:val="0"/>
          <w:sz w:val="24"/>
          <w:szCs w:val="24"/>
          <w:highlight w:val="lightGray"/>
          <w:shd w:fill="auto" w:val="clear"/>
          <w:lang w:eastAsia="en-US"/>
        </w:rPr>
        <w:t xml:space="preserve">и на основании протокола от «___» _________ г. №_______,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left="0" w:firstLine="709"/>
        <w:jc w:val="both"/>
        <w:textAlignment w:val="baseline"/>
        <w:rPr>
          <w:sz w:val="24"/>
          <w:szCs w:val="24"/>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left="0" w:firstLine="709"/>
        <w:jc w:val="both"/>
        <w:textAlignment w:val="baseline"/>
        <w:rPr>
          <w:sz w:val="24"/>
          <w:szCs w:val="24"/>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true"/>
        <w:spacing w:before="0" w:after="0"/>
        <w:ind w:firstLine="708"/>
        <w:jc w:val="both"/>
        <w:textAlignment w:val="baseline"/>
        <w:rPr>
          <w:sz w:val="24"/>
          <w:szCs w:val="24"/>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true"/>
        <w:spacing w:before="0" w:after="0"/>
        <w:ind w:firstLine="709"/>
        <w:jc w:val="both"/>
        <w:textAlignment w:val="baseline"/>
        <w:rPr>
          <w:sz w:val="24"/>
          <w:szCs w:val="24"/>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left="0" w:firstLine="709"/>
        <w:jc w:val="both"/>
        <w:rPr>
          <w:i w:val="false"/>
          <w:i w:val="false"/>
          <w:iCs w:val="false"/>
        </w:rPr>
      </w:pPr>
      <w:r>
        <w:rPr>
          <w:bCs/>
          <w:i w:val="false"/>
          <w:iCs w:val="false"/>
          <w:sz w:val="24"/>
          <w:szCs w:val="24"/>
        </w:rPr>
        <w:t>Поставщик обязуется в порядке и сроки, установленные Договором, передать в собственность По</w:t>
      </w:r>
      <w:r>
        <w:rPr>
          <w:bCs/>
          <w:i w:val="false"/>
          <w:iCs w:val="false"/>
          <w:sz w:val="24"/>
          <w:szCs w:val="24"/>
          <w:shd w:fill="auto" w:val="clear"/>
        </w:rPr>
        <w:t>купателю</w:t>
      </w:r>
      <w:r>
        <w:rPr>
          <w:rFonts w:eastAsia="Calibri"/>
          <w:bCs/>
          <w:i w:val="false"/>
          <w:iCs w:val="false"/>
          <w:sz w:val="24"/>
          <w:szCs w:val="24"/>
          <w:shd w:fill="auto" w:val="clear"/>
          <w:lang w:eastAsia="en-US"/>
        </w:rPr>
        <w:t xml:space="preserve"> </w:t>
      </w:r>
      <w:r>
        <w:rPr>
          <w:rFonts w:eastAsia="Calibri"/>
          <w:bCs/>
          <w:i w:val="false"/>
          <w:iCs w:val="false"/>
          <w:kern w:val="0"/>
          <w:sz w:val="24"/>
          <w:szCs w:val="24"/>
          <w:shd w:fill="auto" w:val="clear"/>
          <w:lang w:eastAsia="en-US"/>
        </w:rPr>
        <w:t xml:space="preserve">строительные и геосинтетические материалы для строительных работ в Магаданской области для нужд Дальневосточного филиала АО "ТК РусГидро" </w:t>
      </w:r>
      <w:r>
        <w:rPr>
          <w:bCs/>
          <w:i w:val="false"/>
          <w:iCs w:val="false"/>
          <w:sz w:val="24"/>
          <w:szCs w:val="24"/>
          <w:shd w:fill="auto" w:val="clear"/>
        </w:rPr>
        <w:t>(далее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i w:val="false"/>
          <w:iCs w:val="false"/>
          <w:sz w:val="24"/>
          <w:szCs w:val="24"/>
        </w:rPr>
        <w:t>Наименование, ассортимент и количество Товара (партий Товара), а также сроки и место его поставки указываются в заявке Покупателя</w:t>
      </w:r>
      <w:r>
        <w:rPr>
          <w:sz w:val="24"/>
          <w:szCs w:val="24"/>
        </w:rPr>
        <w:t xml:space="preserve">,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Поставка Товара по Договору осуществляется для нужд </w:t>
      </w:r>
      <w:r>
        <w:rPr>
          <w:b w:val="false"/>
          <w:bCs w:val="false"/>
          <w:sz w:val="24"/>
          <w:szCs w:val="24"/>
          <w:shd w:fill="auto" w:val="clear"/>
        </w:rPr>
        <w:t>Дальневосточного филиала АО «ТК РусГидро».</w:t>
      </w:r>
    </w:p>
    <w:p>
      <w:pPr>
        <w:pStyle w:val="Normal"/>
        <w:numPr>
          <w:ilvl w:val="1"/>
          <w:numId w:val="2"/>
        </w:numPr>
        <w:shd w:val="clear" w:fill="FFFFFF"/>
        <w:tabs>
          <w:tab w:val="clear" w:pos="709"/>
          <w:tab w:val="left" w:pos="0" w:leader="none"/>
          <w:tab w:val="left" w:pos="540" w:leader="none"/>
          <w:tab w:val="left" w:pos="1134" w:leader="none"/>
        </w:tabs>
        <w:ind w:left="0" w:right="0" w:firstLine="709"/>
        <w:jc w:val="both"/>
        <w:rPr>
          <w:sz w:val="24"/>
          <w:szCs w:val="24"/>
        </w:rPr>
      </w:pPr>
      <w:r>
        <w:rPr>
          <w:b w:val="false"/>
          <w:bCs w:val="false"/>
          <w:sz w:val="24"/>
          <w:szCs w:val="24"/>
        </w:rPr>
        <w:t>Общий срок поставки Товара:</w:t>
      </w:r>
    </w:p>
    <w:p>
      <w:pPr>
        <w:pStyle w:val="Normal"/>
        <w:numPr>
          <w:ilvl w:val="0"/>
          <w:numId w:val="0"/>
        </w:numPr>
        <w:shd w:val="clear" w:fill="FFFFFF"/>
        <w:tabs>
          <w:tab w:val="clear" w:pos="709"/>
          <w:tab w:val="left" w:pos="0" w:leader="none"/>
          <w:tab w:val="left" w:pos="540" w:leader="none"/>
          <w:tab w:val="left" w:pos="1134" w:leader="none"/>
        </w:tabs>
        <w:ind w:left="0" w:right="0" w:hanging="0"/>
        <w:jc w:val="both"/>
        <w:rPr>
          <w:sz w:val="24"/>
          <w:szCs w:val="24"/>
        </w:rPr>
      </w:pPr>
      <w:r>
        <w:rPr>
          <w:b w:val="false"/>
          <w:bCs w:val="false"/>
          <w:sz w:val="24"/>
          <w:szCs w:val="24"/>
          <w:shd w:fill="auto" w:val="clear"/>
        </w:rPr>
        <w:t xml:space="preserve">            </w:t>
      </w:r>
      <w:r>
        <w:rPr>
          <w:b w:val="false"/>
          <w:bCs w:val="false"/>
          <w:sz w:val="24"/>
          <w:szCs w:val="24"/>
          <w:shd w:fill="auto" w:val="clear"/>
        </w:rPr>
        <w:t xml:space="preserve">1.4.1. </w:t>
      </w:r>
      <w:r>
        <w:rPr>
          <w:b w:val="false"/>
          <w:bCs w:val="false"/>
          <w:sz w:val="24"/>
          <w:szCs w:val="24"/>
        </w:rPr>
        <w:t>Нача</w:t>
      </w:r>
      <w:r>
        <w:rPr>
          <w:b w:val="false"/>
          <w:bCs w:val="false"/>
          <w:sz w:val="24"/>
          <w:szCs w:val="24"/>
          <w:shd w:fill="auto" w:val="clear"/>
        </w:rPr>
        <w:t xml:space="preserve">ло – </w:t>
      </w:r>
      <w:r>
        <w:rPr>
          <w:b w:val="false"/>
          <w:bCs w:val="false"/>
          <w:i w:val="false"/>
          <w:caps w:val="false"/>
          <w:smallCaps w:val="false"/>
          <w:color w:val="2C2D2E"/>
          <w:spacing w:val="0"/>
          <w:sz w:val="24"/>
          <w:szCs w:val="24"/>
          <w:shd w:fill="auto" w:val="clear"/>
        </w:rPr>
        <w:t>с даты заключения договора</w:t>
      </w:r>
      <w:r>
        <w:rPr>
          <w:b w:val="false"/>
          <w:bCs w:val="false"/>
          <w:sz w:val="24"/>
          <w:szCs w:val="24"/>
          <w:shd w:fill="auto" w:val="clear"/>
        </w:rPr>
        <w:t>;</w:t>
      </w:r>
    </w:p>
    <w:p>
      <w:pPr>
        <w:pStyle w:val="Normal"/>
        <w:numPr>
          <w:ilvl w:val="0"/>
          <w:numId w:val="0"/>
        </w:numPr>
        <w:shd w:val="clear" w:color="auto" w:fill="FFFFFF"/>
        <w:tabs>
          <w:tab w:val="clear" w:pos="709"/>
          <w:tab w:val="left" w:pos="0" w:leader="none"/>
          <w:tab w:val="left" w:pos="1134" w:leader="none"/>
        </w:tabs>
        <w:ind w:left="0" w:hanging="0"/>
        <w:jc w:val="both"/>
        <w:rPr>
          <w:sz w:val="24"/>
          <w:szCs w:val="24"/>
        </w:rPr>
      </w:pPr>
      <w:r>
        <w:rPr>
          <w:b w:val="false"/>
          <w:bCs w:val="false"/>
          <w:sz w:val="24"/>
          <w:szCs w:val="24"/>
          <w:shd w:fill="auto" w:val="clear"/>
        </w:rPr>
        <w:t xml:space="preserve">            </w:t>
      </w:r>
      <w:r>
        <w:rPr>
          <w:b w:val="false"/>
          <w:bCs w:val="false"/>
          <w:sz w:val="24"/>
          <w:szCs w:val="24"/>
          <w:shd w:fill="auto" w:val="clear"/>
        </w:rPr>
        <w:t>1.4.2. Окончание «31» декабря 2027 г.</w:t>
      </w:r>
    </w:p>
    <w:p>
      <w:pPr>
        <w:pStyle w:val="Normal"/>
        <w:numPr>
          <w:ilvl w:val="0"/>
          <w:numId w:val="0"/>
        </w:numPr>
        <w:shd w:val="clear" w:color="auto" w:fill="FFFFFF"/>
        <w:tabs>
          <w:tab w:val="clear" w:pos="709"/>
          <w:tab w:val="left" w:pos="0" w:leader="none"/>
          <w:tab w:val="left" w:pos="1134" w:leader="none"/>
        </w:tabs>
        <w:ind w:left="0" w:hanging="0"/>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left="0" w:firstLine="709"/>
        <w:jc w:val="both"/>
        <w:rPr>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left="0" w:firstLine="709"/>
        <w:jc w:val="both"/>
        <w:rPr>
          <w:sz w:val="24"/>
          <w:szCs w:val="24"/>
        </w:rPr>
      </w:pPr>
      <w:r>
        <w:rPr>
          <w:bCs/>
          <w:sz w:val="24"/>
          <w:szCs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7 (семи) рабочих дней</w:t>
      </w:r>
      <w:r>
        <w:rPr>
          <w:rStyle w:val="FootnoteReference"/>
          <w:sz w:val="24"/>
          <w:szCs w:val="24"/>
          <w:highlight w:val="lightGray"/>
        </w:rPr>
        <w:footnoteReference w:id="5"/>
      </w:r>
      <w:r>
        <w:rPr>
          <w:sz w:val="24"/>
          <w:szCs w:val="24"/>
          <w:vertAlign w:val="superscript"/>
        </w:rPr>
        <w:t xml:space="preserve"> </w:t>
      </w:r>
      <w:r>
        <w:rPr>
          <w:bCs/>
          <w:sz w:val="24"/>
          <w:szCs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6"/>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left="0" w:firstLine="709"/>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left="0" w:hanging="0"/>
        <w:jc w:val="center"/>
        <w:rPr>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sz w:val="24"/>
          <w:szCs w:val="24"/>
        </w:rPr>
        <w:t xml:space="preserve"> 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left="0" w:firstLine="709"/>
        <w:jc w:val="both"/>
        <w:rPr>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left="0" w:firstLine="709"/>
        <w:jc w:val="both"/>
        <w:rPr>
          <w:sz w:val="24"/>
          <w:szCs w:val="24"/>
        </w:rPr>
      </w:pPr>
      <w:r>
        <w:rPr>
          <w:sz w:val="24"/>
          <w:szCs w:val="24"/>
          <w:highlight w:val="lightGray"/>
        </w:rPr>
        <w:t>упаковочный лист в __(____) экз.;</w:t>
      </w:r>
    </w:p>
    <w:p>
      <w:pPr>
        <w:pStyle w:val="Normal"/>
        <w:numPr>
          <w:ilvl w:val="0"/>
          <w:numId w:val="3"/>
        </w:numPr>
        <w:tabs>
          <w:tab w:val="clear" w:pos="709"/>
          <w:tab w:val="left" w:pos="1418" w:leader="none"/>
        </w:tabs>
        <w:ind w:left="0" w:firstLine="709"/>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left="0" w:firstLine="709"/>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7"/>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9"/>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8"/>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9"/>
      </w:r>
      <w:r>
        <w:rPr>
          <w:bCs/>
          <w:sz w:val="24"/>
          <w:szCs w:val="24"/>
        </w:rPr>
        <w:t>.</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0"/>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3"/>
        </w:numPr>
        <w:shd w:val="clear" w:color="auto" w:fill="FFFFFF"/>
        <w:tabs>
          <w:tab w:val="clear" w:pos="709"/>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snapToGrid w:val="false"/>
        <w:ind w:left="0" w:firstLine="709"/>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1"/>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2"/>
      </w:r>
      <w:r>
        <w:rPr>
          <w:sz w:val="24"/>
          <w:szCs w:val="24"/>
          <w:highlight w:val="lightGray"/>
        </w:rPr>
        <w:t>.</w:t>
      </w:r>
    </w:p>
    <w:p>
      <w:pPr>
        <w:pStyle w:val="ListParagraph"/>
        <w:widowControl/>
        <w:shd w:val="clear" w:color="auto" w:fill="FFFFFF"/>
        <w:tabs>
          <w:tab w:val="clear" w:pos="709"/>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0" w:firstLine="709"/>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70"/>
        <w:gridCol w:w="142"/>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shd w:color="auto" w:fill="BFBFBF" w:val="clear"/>
          </w:tcPr>
          <w:p>
            <w:pPr>
              <w:pStyle w:val="Normal"/>
              <w:widowControl w:val="false"/>
              <w:suppressLineNumbers/>
              <w:tabs>
                <w:tab w:val="clear" w:pos="709"/>
                <w:tab w:val="left" w:pos="4287" w:leader="none"/>
              </w:tabs>
              <w:spacing w:before="0" w:after="0"/>
              <w:ind w:left="0" w:right="104" w:hanging="0"/>
              <w:contextualSpacing/>
              <w:rPr>
                <w:rFonts w:ascii="Times New Roman" w:hAnsi="Times New Roman"/>
                <w:sz w:val="24"/>
                <w:szCs w:val="24"/>
              </w:rPr>
            </w:pPr>
            <w:r>
              <w:rPr>
                <w:b/>
                <w:sz w:val="24"/>
                <w:szCs w:val="24"/>
              </w:rPr>
              <w:t>Акционерное общество «Транспортная компания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Юридический адрес: 655619, Республика Хакасия, г. Саяногорск, рп. Черемушки, стр. 101.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Сторона 1: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b/>
                <w:sz w:val="24"/>
                <w:szCs w:val="24"/>
              </w:rPr>
              <w:t>АО «ТК РусГидро»</w:t>
            </w:r>
          </w:p>
          <w:p>
            <w:pPr>
              <w:pStyle w:val="Normal"/>
              <w:widowControl w:val="false"/>
              <w:suppressLineNumbers/>
              <w:tabs>
                <w:tab w:val="clear" w:pos="709"/>
                <w:tab w:val="left" w:pos="0" w:leader="none"/>
              </w:tabs>
              <w:spacing w:before="0" w:after="0"/>
              <w:ind w:left="34" w:right="-147" w:hanging="34"/>
              <w:contextualSpacing/>
              <w:rPr>
                <w:rFonts w:ascii="Times New Roman" w:hAnsi="Times New Roman"/>
                <w:sz w:val="24"/>
                <w:szCs w:val="24"/>
              </w:rPr>
            </w:pPr>
            <w:r>
              <w:rPr>
                <w:sz w:val="24"/>
                <w:szCs w:val="24"/>
              </w:rPr>
              <w:t>Почтовый адрес: 680021, Хабаровский край, г. Хабаровск, ул. Ленинградская, д. 46, 9 этаж.</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ИНН: 1902018248/КПП: 272443001;</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ОГРН: 1031900676356;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Р/счет: 40702810903000031136,</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Банк: Дальневосточный филиал</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ПАО «Сбербанк России» г. Хабаровск,</w:t>
            </w:r>
          </w:p>
          <w:p>
            <w:pPr>
              <w:pStyle w:val="Normal"/>
              <w:widowControl w:val="false"/>
              <w:suppressLineNumbers/>
              <w:tabs>
                <w:tab w:val="clear" w:pos="709"/>
                <w:tab w:val="left" w:pos="4287" w:leader="none"/>
              </w:tabs>
              <w:spacing w:before="0" w:after="0"/>
              <w:ind w:left="34" w:right="104" w:hanging="34"/>
              <w:contextualSpacing/>
              <w:rPr>
                <w:rFonts w:ascii="Times New Roman" w:hAnsi="Times New Roman"/>
                <w:sz w:val="24"/>
                <w:szCs w:val="24"/>
              </w:rPr>
            </w:pPr>
            <w:r>
              <w:rPr>
                <w:sz w:val="24"/>
                <w:szCs w:val="24"/>
              </w:rPr>
              <w:t>К/счет: 30101810600000000608;</w:t>
            </w:r>
          </w:p>
          <w:p>
            <w:pPr>
              <w:pStyle w:val="Normal"/>
              <w:widowControl w:val="false"/>
              <w:rPr>
                <w:rFonts w:ascii="Times New Roman" w:hAnsi="Times New Roman"/>
                <w:sz w:val="24"/>
                <w:szCs w:val="24"/>
              </w:rPr>
            </w:pPr>
            <w:r>
              <w:rPr>
                <w:b/>
                <w:sz w:val="24"/>
                <w:szCs w:val="24"/>
              </w:rPr>
              <w:t>БИК: 040813608</w:t>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sz w:val="24"/>
                <w:szCs w:val="24"/>
              </w:rPr>
            </w:r>
          </w:p>
          <w:p>
            <w:pPr>
              <w:pStyle w:val="Normal"/>
              <w:widowControl w:val="false"/>
              <w:suppressLineNumbers/>
              <w:spacing w:before="0" w:after="0"/>
              <w:contextualSpacing/>
              <w:rPr>
                <w:rFonts w:ascii="Times New Roman" w:hAnsi="Times New Roman"/>
                <w:sz w:val="24"/>
                <w:szCs w:val="24"/>
              </w:rPr>
            </w:pPr>
            <w:r>
              <w:rPr>
                <w:b/>
                <w:sz w:val="24"/>
                <w:szCs w:val="24"/>
              </w:rPr>
              <w:t>Директор</w:t>
            </w:r>
          </w:p>
          <w:p>
            <w:pPr>
              <w:pStyle w:val="Normal"/>
              <w:widowControl w:val="false"/>
              <w:suppressLineNumbers/>
              <w:spacing w:before="0" w:after="0"/>
              <w:contextualSpacing/>
              <w:rPr>
                <w:rFonts w:ascii="Times New Roman" w:hAnsi="Times New Roman"/>
                <w:sz w:val="24"/>
                <w:szCs w:val="24"/>
              </w:rPr>
            </w:pPr>
            <w:r>
              <w:rPr>
                <w:b/>
                <w:sz w:val="24"/>
                <w:szCs w:val="24"/>
              </w:rPr>
              <w:t>Дальневосточного филиала</w:t>
            </w:r>
          </w:p>
          <w:p>
            <w:pPr>
              <w:pStyle w:val="Normal"/>
              <w:widowControl w:val="false"/>
              <w:suppressLineNumbers/>
              <w:spacing w:before="0" w:after="0"/>
              <w:contextualSpacing/>
              <w:rPr>
                <w:rFonts w:ascii="Times New Roman" w:hAnsi="Times New Roman"/>
                <w:sz w:val="24"/>
                <w:szCs w:val="24"/>
              </w:rPr>
            </w:pPr>
            <w:r>
              <w:rPr>
                <w:b/>
                <w:sz w:val="24"/>
                <w:szCs w:val="24"/>
              </w:rPr>
              <w:t>АО «ТК РусГидро»</w:t>
            </w:r>
          </w:p>
        </w:tc>
        <w:tc>
          <w:tcPr>
            <w:tcW w:w="4869" w:type="dxa"/>
            <w:gridSpan w:val="2"/>
            <w:tcBorders/>
            <w:shd w:color="auto" w:fill="BFBFBF" w:val="clear"/>
          </w:tcPr>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юридического лица)</w:t>
            </w:r>
          </w:p>
          <w:p>
            <w:pPr>
              <w:pStyle w:val="Normal"/>
              <w:widowControl w:val="false"/>
              <w:rPr>
                <w:rFonts w:ascii="Times New Roman" w:hAnsi="Times New Roman"/>
                <w:sz w:val="24"/>
                <w:szCs w:val="24"/>
              </w:rPr>
            </w:pPr>
            <w:r>
              <w:rPr>
                <w:sz w:val="24"/>
                <w:szCs w:val="24"/>
              </w:rPr>
              <w:t>Юридический адрес:</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Почтовый адрес:</w:t>
            </w:r>
          </w:p>
          <w:p>
            <w:pPr>
              <w:pStyle w:val="Normal"/>
              <w:widowControl w:val="false"/>
              <w:rPr>
                <w:rFonts w:ascii="Times New Roman" w:hAnsi="Times New Roman"/>
                <w:sz w:val="24"/>
                <w:szCs w:val="24"/>
              </w:rPr>
            </w:pPr>
            <w:r>
              <w:rPr>
                <w:sz w:val="24"/>
                <w:szCs w:val="24"/>
              </w:rPr>
              <w:t>ОГРН ___________________________</w:t>
            </w:r>
          </w:p>
          <w:p>
            <w:pPr>
              <w:pStyle w:val="Normal"/>
              <w:widowControl w:val="false"/>
              <w:rPr>
                <w:rFonts w:ascii="Times New Roman" w:hAnsi="Times New Roman"/>
                <w:sz w:val="24"/>
                <w:szCs w:val="24"/>
              </w:rPr>
            </w:pPr>
            <w:r>
              <w:rPr>
                <w:sz w:val="24"/>
                <w:szCs w:val="24"/>
              </w:rPr>
              <w:t>ИНН ____________ / КПП___________</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расчетного счета)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(наименование банка, в котором</w:t>
            </w:r>
          </w:p>
          <w:p>
            <w:pPr>
              <w:pStyle w:val="Normal"/>
              <w:widowControl w:val="false"/>
              <w:rPr>
                <w:rFonts w:ascii="Times New Roman" w:hAnsi="Times New Roman"/>
                <w:sz w:val="24"/>
                <w:szCs w:val="24"/>
              </w:rPr>
            </w:pPr>
            <w:r>
              <w:rPr>
                <w:sz w:val="24"/>
                <w:szCs w:val="24"/>
              </w:rPr>
              <w:t>открыт расчетный счет)</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корреспондентского счета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(БИК банка)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телефона)</w:t>
            </w:r>
          </w:p>
          <w:p>
            <w:pPr>
              <w:pStyle w:val="Normal"/>
              <w:widowControl w:val="false"/>
              <w:rPr>
                <w:rFonts w:ascii="Times New Roman" w:hAnsi="Times New Roman"/>
                <w:sz w:val="24"/>
                <w:szCs w:val="24"/>
              </w:rPr>
            </w:pPr>
            <w:r>
              <w:rPr>
                <w:sz w:val="24"/>
                <w:szCs w:val="24"/>
              </w:rPr>
              <w:t>_________________________________</w:t>
            </w:r>
          </w:p>
          <w:p>
            <w:pPr>
              <w:pStyle w:val="Normal"/>
              <w:widowControl w:val="false"/>
              <w:rPr>
                <w:rFonts w:ascii="Times New Roman" w:hAnsi="Times New Roman"/>
                <w:sz w:val="24"/>
                <w:szCs w:val="24"/>
              </w:rPr>
            </w:pPr>
            <w:r>
              <w:rPr>
                <w:sz w:val="24"/>
                <w:szCs w:val="24"/>
              </w:rPr>
              <w:t>(номер факса)</w:t>
            </w:r>
          </w:p>
          <w:p>
            <w:pPr>
              <w:pStyle w:val="Normal"/>
              <w:widowControl w:val="false"/>
              <w:rPr>
                <w:rFonts w:ascii="Times New Roman" w:hAnsi="Times New Roman"/>
                <w:sz w:val="24"/>
                <w:szCs w:val="24"/>
              </w:rPr>
            </w:pPr>
            <w:r>
              <w:rPr>
                <w:sz w:val="24"/>
                <w:szCs w:val="24"/>
              </w:rPr>
            </w:r>
          </w:p>
        </w:tc>
      </w:tr>
      <w:tr>
        <w:trPr/>
        <w:tc>
          <w:tcPr>
            <w:tcW w:w="4770" w:type="dxa"/>
            <w:tcBorders/>
          </w:tcPr>
          <w:p>
            <w:pPr>
              <w:pStyle w:val="Normal"/>
              <w:widowControl w:val="false"/>
              <w:rPr>
                <w:rFonts w:ascii="Times New Roman" w:hAnsi="Times New Roman"/>
                <w:sz w:val="24"/>
                <w:szCs w:val="24"/>
              </w:rPr>
            </w:pPr>
            <w:r>
              <w:rPr>
                <w:sz w:val="24"/>
                <w:szCs w:val="24"/>
                <w:highlight w:val="lightGray"/>
              </w:rPr>
              <w:t>_______________ /</w:t>
            </w:r>
            <w:r>
              <w:rPr>
                <w:b/>
                <w:sz w:val="24"/>
                <w:szCs w:val="24"/>
                <w:highlight w:val="lightGray"/>
              </w:rPr>
              <w:t>Золотарев В.Ю./</w:t>
            </w:r>
          </w:p>
          <w:p>
            <w:pPr>
              <w:pStyle w:val="Normal"/>
              <w:widowControl w:val="false"/>
              <w:rPr>
                <w:rFonts w:ascii="Times New Roman" w:hAnsi="Times New Roman"/>
                <w:sz w:val="24"/>
                <w:szCs w:val="24"/>
                <w:highlight w:val="lightGray"/>
              </w:rPr>
            </w:pPr>
            <w:r>
              <w:rPr>
                <w:sz w:val="24"/>
                <w:szCs w:val="24"/>
                <w:highlight w:val="lightGray"/>
              </w:rPr>
            </w:r>
          </w:p>
        </w:tc>
        <w:tc>
          <w:tcPr>
            <w:tcW w:w="4775" w:type="dxa"/>
            <w:gridSpan w:val="2"/>
            <w:tcBorders/>
          </w:tcPr>
          <w:p>
            <w:pPr>
              <w:pStyle w:val="Normal"/>
              <w:widowControl w:val="false"/>
              <w:rPr>
                <w:rFonts w:ascii="Times New Roman" w:hAnsi="Times New Roman"/>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widowControl w:val="false"/>
              <w:rPr/>
            </w:pPr>
            <w:r>
              <w:rPr/>
            </w:r>
          </w:p>
        </w:tc>
      </w:tr>
    </w:tbl>
    <w:p>
      <w:pPr>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noVBand="1" w:val="04a0" w:noHBand="0" w:lastColumn="0" w:firstColumn="1" w:lastRow="0" w:firstRow="1"/>
      </w:tblPr>
      <w:tblGrid>
        <w:gridCol w:w="451"/>
        <w:gridCol w:w="393"/>
        <w:gridCol w:w="602"/>
        <w:gridCol w:w="612"/>
        <w:gridCol w:w="612"/>
        <w:gridCol w:w="778"/>
        <w:gridCol w:w="722"/>
        <w:gridCol w:w="629"/>
        <w:gridCol w:w="730"/>
        <w:gridCol w:w="689"/>
        <w:gridCol w:w="520"/>
        <w:gridCol w:w="644"/>
        <w:gridCol w:w="555"/>
        <w:gridCol w:w="516"/>
        <w:gridCol w:w="716"/>
        <w:gridCol w:w="465"/>
      </w:tblGrid>
      <w:tr>
        <w:trPr>
          <w:trHeight w:val="526" w:hRule="atLeast"/>
        </w:trPr>
        <w:tc>
          <w:tcPr>
            <w:tcW w:w="4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3"/>
            </w:r>
          </w:p>
        </w:tc>
        <w:tc>
          <w:tcPr>
            <w:tcW w:w="7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4"/>
            </w:r>
          </w:p>
          <w:p>
            <w:pPr>
              <w:pStyle w:val="Normal"/>
              <w:widowControl w:val="false"/>
              <w:jc w:val="center"/>
              <w:rPr>
                <w:bCs/>
              </w:rPr>
            </w:pPr>
            <w:r>
              <w:rPr>
                <w:bCs/>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5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p>
        </w:tc>
        <w:tc>
          <w:tcPr>
            <w:tcW w:w="11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5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p>
        </w:tc>
        <w:tc>
          <w:tcPr>
            <w:tcW w:w="11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53"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ind w:left="-680" w:right="680" w:hanging="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hanging="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headerReference w:type="default" r:id="rId11"/>
          <w:headerReference w:type="first" r:id="rId12"/>
          <w:footerReference w:type="default" r:id="rId13"/>
          <w:footerReference w:type="first" r:id="rId14"/>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noVBand="1" w:val="04a0" w:noHBand="0" w:lastColumn="0" w:firstColumn="1" w:lastRow="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15"/>
      <w:headerReference w:type="first" r:id="rId16"/>
      <w:footerReference w:type="default" r:id="rId17"/>
      <w:footerReference w:type="first" r:id="rId18"/>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7">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8">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9">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0">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1">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2">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3">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4">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bookmarkStart w:id="16" w:name="_GoBack"/>
    <w:bookmarkEnd w:id="16"/>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2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5E5EC59-ECD0-4993-B31A-9F9D24FD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Application>AlterOffice/3.4.0.9$Linux_X86_64 LibreOffice_project/b8daf9e823b1a5463a2f48435ddc2e8696e7d4fc</Application>
  <AppVersion>15.0000</AppVersion>
  <Pages>17</Pages>
  <Words>7240</Words>
  <Characters>51209</Characters>
  <CharactersWithSpaces>58188</CharactersWithSpaces>
  <Paragraphs>380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shemyakinvv@corp.gidroogk.com</cp:lastModifiedBy>
  <cp:lastPrinted>2018-05-22T09:46:00Z</cp:lastPrinted>
  <dcterms:modified xsi:type="dcterms:W3CDTF">2026-09-24T10:58:57Z</dcterms:modified>
  <cp:revision>24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