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2592"/>
        <w:gridCol w:w="11644"/>
        <w:gridCol w:w="1299"/>
      </w:tblGrid>
      <w:tr w:rsidR="00A84306" w:rsidRPr="00A84306" w:rsidTr="00A84306">
        <w:trPr>
          <w:trHeight w:val="930"/>
        </w:trPr>
        <w:tc>
          <w:tcPr>
            <w:tcW w:w="157" w:type="pct"/>
            <w:shd w:val="clear" w:color="auto" w:fill="auto"/>
            <w:vAlign w:val="center"/>
            <w:hideMark/>
          </w:tcPr>
          <w:p w:rsidR="00A84306" w:rsidRPr="00A84306" w:rsidRDefault="00A84306" w:rsidP="00A84306">
            <w:pPr>
              <w:suppressAutoHyphens/>
              <w:spacing w:after="60"/>
              <w:jc w:val="center"/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</w:pPr>
            <w:bookmarkStart w:id="0" w:name="_GoBack" w:colFirst="3" w:colLast="3"/>
            <w:r w:rsidRPr="00A84306"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  <w:t>№</w:t>
            </w:r>
          </w:p>
          <w:p w:rsidR="00A84306" w:rsidRPr="00A84306" w:rsidRDefault="00A84306" w:rsidP="00A84306">
            <w:pPr>
              <w:suppressAutoHyphens/>
              <w:spacing w:after="60"/>
              <w:jc w:val="center"/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08" w:type="pct"/>
            <w:shd w:val="clear" w:color="auto" w:fill="auto"/>
            <w:vAlign w:val="center"/>
            <w:hideMark/>
          </w:tcPr>
          <w:p w:rsidR="00A84306" w:rsidRPr="00A84306" w:rsidRDefault="00A84306" w:rsidP="00A84306">
            <w:pPr>
              <w:suppressAutoHyphens/>
              <w:spacing w:after="60"/>
              <w:jc w:val="center"/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630" w:type="pct"/>
            <w:vAlign w:val="center"/>
          </w:tcPr>
          <w:p w:rsidR="00A84306" w:rsidRPr="00A84306" w:rsidRDefault="00A84306" w:rsidP="00A84306">
            <w:pPr>
              <w:suppressAutoHyphens/>
              <w:spacing w:after="60"/>
              <w:jc w:val="center"/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b/>
                <w:color w:val="000000"/>
                <w:kern w:val="1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306" w:rsidRDefault="00A84306" w:rsidP="00A84306">
            <w:pPr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A84306" w:rsidRDefault="00A84306" w:rsidP="00A84306">
            <w:pPr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</w:tr>
      <w:tr w:rsidR="00A84306" w:rsidRPr="00A84306" w:rsidTr="00A84306">
        <w:trPr>
          <w:trHeight w:val="113"/>
        </w:trPr>
        <w:tc>
          <w:tcPr>
            <w:tcW w:w="157" w:type="pct"/>
            <w:shd w:val="clear" w:color="auto" w:fill="auto"/>
          </w:tcPr>
          <w:p w:rsidR="00A84306" w:rsidRPr="00A84306" w:rsidRDefault="00A84306" w:rsidP="00A84306">
            <w:pPr>
              <w:suppressAutoHyphens/>
              <w:spacing w:after="60"/>
              <w:jc w:val="right"/>
              <w:rPr>
                <w:rFonts w:eastAsia="Times New Roman"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ar-SA"/>
              </w:rPr>
              <w:t>1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color w:val="000000"/>
                <w:kern w:val="2"/>
                <w:szCs w:val="24"/>
                <w:lang w:eastAsia="ar-SA"/>
              </w:rPr>
            </w:pPr>
            <w:r w:rsidRPr="00A84306">
              <w:rPr>
                <w:rFonts w:eastAsia="Times New Roman"/>
                <w:color w:val="000000"/>
                <w:kern w:val="2"/>
                <w:szCs w:val="24"/>
                <w:lang w:eastAsia="ar-SA"/>
              </w:rPr>
              <w:t xml:space="preserve">Наконечник стоматологический угловой с функцией освещения рабочего поля повышающий </w:t>
            </w:r>
          </w:p>
        </w:tc>
        <w:tc>
          <w:tcPr>
            <w:tcW w:w="3630" w:type="pct"/>
          </w:tcPr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color w:val="000000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color w:val="000000"/>
                <w:kern w:val="1"/>
                <w:sz w:val="22"/>
                <w:lang w:eastAsia="ar-SA"/>
              </w:rPr>
              <w:t xml:space="preserve">Волоконно-оптический световод – наличие 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Зажим – СА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Передаточное число вращения  1:5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 xml:space="preserve">Диаметр хвостовика бора, мм - </w:t>
            </w:r>
            <w:r w:rsidRPr="00A84306">
              <w:rPr>
                <w:rFonts w:eastAsia="ArialUnicodeMS"/>
                <w:kern w:val="1"/>
                <w:sz w:val="22"/>
                <w:lang w:eastAsia="ar-SA"/>
              </w:rPr>
              <w:t xml:space="preserve">В диапазоне не шире </w:t>
            </w:r>
            <w:r w:rsidRPr="00A84306">
              <w:rPr>
                <w:rFonts w:eastAsia="Times New Roman"/>
                <w:kern w:val="1"/>
                <w:sz w:val="22"/>
                <w:lang w:eastAsia="ar-SA"/>
              </w:rPr>
              <w:t>1,59 - 1,60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val="en-US" w:eastAsia="ar-SA"/>
              </w:rPr>
              <w:t>ISOslider</w:t>
            </w:r>
            <w:r w:rsidRPr="00A84306">
              <w:rPr>
                <w:rFonts w:eastAsia="Times New Roman"/>
                <w:kern w:val="1"/>
                <w:sz w:val="22"/>
                <w:lang w:eastAsia="ar-SA"/>
              </w:rPr>
              <w:t xml:space="preserve"> для микромоторов с подсветкой – Наличие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 xml:space="preserve">Разъем </w:t>
            </w:r>
            <w:r w:rsidRPr="00A84306">
              <w:rPr>
                <w:rFonts w:eastAsia="Times New Roman"/>
                <w:kern w:val="1"/>
                <w:sz w:val="22"/>
                <w:lang w:val="en-US" w:eastAsia="ar-SA"/>
              </w:rPr>
              <w:t>ISO</w:t>
            </w:r>
            <w:r w:rsidRPr="00A84306">
              <w:rPr>
                <w:rFonts w:eastAsia="Times New Roman"/>
                <w:kern w:val="1"/>
                <w:sz w:val="22"/>
                <w:lang w:eastAsia="ar-SA"/>
              </w:rPr>
              <w:t>/</w:t>
            </w:r>
            <w:r w:rsidRPr="00A84306">
              <w:rPr>
                <w:rFonts w:eastAsia="Times New Roman"/>
                <w:kern w:val="1"/>
                <w:sz w:val="22"/>
                <w:lang w:val="en-US" w:eastAsia="ar-SA"/>
              </w:rPr>
              <w:t>Intramatic</w:t>
            </w:r>
            <w:r w:rsidRPr="00A84306">
              <w:rPr>
                <w:rFonts w:eastAsia="Times New Roman"/>
                <w:kern w:val="1"/>
                <w:sz w:val="22"/>
                <w:lang w:eastAsia="ar-SA"/>
              </w:rPr>
              <w:t xml:space="preserve"> </w:t>
            </w:r>
            <w:r w:rsidRPr="00A84306">
              <w:rPr>
                <w:rFonts w:eastAsia="Times New Roman"/>
                <w:kern w:val="1"/>
                <w:sz w:val="22"/>
                <w:lang w:val="en-US" w:eastAsia="ar-SA"/>
              </w:rPr>
              <w:t>Lux</w:t>
            </w:r>
            <w:r w:rsidRPr="00A84306">
              <w:rPr>
                <w:rFonts w:eastAsia="Times New Roman"/>
                <w:kern w:val="1"/>
                <w:sz w:val="22"/>
                <w:lang w:eastAsia="ar-SA"/>
              </w:rPr>
              <w:t xml:space="preserve"> - Наличие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Кнопочная система зажима цанги – Наличие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Максимальная высота головки наконечника без бора, мм – 14,8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Максимальный диаметр головки наконечника, мм – 10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ArialUnicodeMS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Максимальная длина наконечника, мм, - не более</w:t>
            </w:r>
            <w:r w:rsidRPr="00A84306">
              <w:rPr>
                <w:rFonts w:eastAsia="ArialUnicodeMS"/>
                <w:kern w:val="1"/>
                <w:sz w:val="22"/>
                <w:lang w:eastAsia="ar-SA"/>
              </w:rPr>
              <w:t xml:space="preserve"> 101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Тип охлаждения - Четырехточечный спрей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ArialUnicodeMS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 xml:space="preserve">Тип подшипников - </w:t>
            </w:r>
            <w:r w:rsidRPr="00A84306">
              <w:rPr>
                <w:rFonts w:eastAsia="ArialUnicodeMS"/>
                <w:kern w:val="1"/>
                <w:sz w:val="22"/>
                <w:lang w:eastAsia="ar-SA"/>
              </w:rPr>
              <w:t>Керамические с текстолитовым сепаратором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spacing w:val="-6"/>
                <w:kern w:val="1"/>
                <w:sz w:val="22"/>
                <w:lang w:eastAsia="ar-SA"/>
              </w:rPr>
            </w:pPr>
            <w:r w:rsidRPr="00A84306">
              <w:rPr>
                <w:rFonts w:eastAsia="ArialUnicodeMS"/>
                <w:kern w:val="1"/>
                <w:sz w:val="22"/>
                <w:lang w:eastAsia="ar-SA"/>
              </w:rPr>
              <w:t xml:space="preserve">Давление воздуха аэрозоля, бар - </w:t>
            </w:r>
            <w:r w:rsidRPr="00A84306">
              <w:rPr>
                <w:rFonts w:eastAsia="Times New Roman"/>
                <w:spacing w:val="-6"/>
                <w:kern w:val="1"/>
                <w:sz w:val="22"/>
                <w:lang w:eastAsia="ar-SA"/>
              </w:rPr>
              <w:t>Не более 2,0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spacing w:val="-6"/>
                <w:kern w:val="1"/>
                <w:sz w:val="22"/>
                <w:lang w:eastAsia="ar-SA"/>
              </w:rPr>
            </w:pPr>
            <w:r w:rsidRPr="00A84306">
              <w:rPr>
                <w:rFonts w:eastAsia="ArialUnicodeMS"/>
                <w:kern w:val="1"/>
                <w:sz w:val="22"/>
                <w:lang w:eastAsia="ar-SA"/>
              </w:rPr>
              <w:t xml:space="preserve">Давление воды аэрозоля , бар - </w:t>
            </w:r>
            <w:r w:rsidRPr="00A84306">
              <w:rPr>
                <w:rFonts w:eastAsia="Times New Roman"/>
                <w:spacing w:val="-6"/>
                <w:kern w:val="1"/>
                <w:sz w:val="22"/>
                <w:lang w:eastAsia="ar-SA"/>
              </w:rPr>
              <w:t>Не более 2,0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Стерилизация  наконечника при температуре 135°С макс – Наличие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Arial Unicode MS"/>
                <w:kern w:val="1"/>
                <w:sz w:val="22"/>
                <w:lang w:eastAsia="ar-SA"/>
              </w:rPr>
            </w:pPr>
            <w:r w:rsidRPr="00A84306">
              <w:rPr>
                <w:rFonts w:eastAsia="ArialUnicodeMS"/>
                <w:kern w:val="1"/>
                <w:sz w:val="22"/>
                <w:lang w:eastAsia="ar-SA"/>
              </w:rPr>
              <w:t>Частота вращения на входе наконечника.</w:t>
            </w:r>
            <w:r w:rsidRPr="00A84306">
              <w:rPr>
                <w:rFonts w:eastAsia="Arial Unicode MS"/>
                <w:kern w:val="1"/>
                <w:sz w:val="22"/>
                <w:lang w:eastAsia="ar-SA"/>
              </w:rPr>
              <w:t xml:space="preserve"> с</w:t>
            </w:r>
            <w:r w:rsidRPr="00A84306">
              <w:rPr>
                <w:rFonts w:eastAsia="Arial Unicode MS"/>
                <w:kern w:val="1"/>
                <w:sz w:val="22"/>
                <w:vertAlign w:val="superscript"/>
                <w:lang w:eastAsia="ar-SA"/>
              </w:rPr>
              <w:t>-1</w:t>
            </w:r>
            <w:r w:rsidRPr="00A84306">
              <w:rPr>
                <w:rFonts w:eastAsia="Arial Unicode MS"/>
                <w:kern w:val="1"/>
                <w:sz w:val="22"/>
                <w:lang w:eastAsia="ar-SA"/>
              </w:rPr>
              <w:t xml:space="preserve"> (об/мин), не более - 667 (40000)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Arial Unicode MS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color w:val="000000"/>
                <w:kern w:val="1"/>
                <w:sz w:val="22"/>
                <w:shd w:val="clear" w:color="auto" w:fill="FFFFFF"/>
                <w:lang w:eastAsia="ar-SA"/>
              </w:rPr>
              <w:t xml:space="preserve">Скорость вращения (об/мин) - </w:t>
            </w:r>
            <w:r w:rsidRPr="00A84306">
              <w:rPr>
                <w:rFonts w:eastAsia="Arial Unicode MS"/>
                <w:kern w:val="1"/>
                <w:sz w:val="22"/>
                <w:lang w:eastAsia="ar-SA"/>
              </w:rPr>
              <w:t>До 200 000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Насадка для смазки наконечника – Наличие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ascii="Arial" w:eastAsia="Times New Roman" w:hAnsi="Arial" w:cs="Arial"/>
                <w:color w:val="000000"/>
                <w:kern w:val="1"/>
                <w:sz w:val="18"/>
                <w:szCs w:val="18"/>
                <w:shd w:val="clear" w:color="auto" w:fill="FFFFFF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 xml:space="preserve">Комплектация - </w:t>
            </w:r>
            <w:r w:rsidRPr="00A84306">
              <w:rPr>
                <w:rFonts w:ascii="Arial" w:eastAsia="Times New Roman" w:hAnsi="Arial" w:cs="Arial"/>
                <w:color w:val="000000"/>
                <w:kern w:val="1"/>
                <w:sz w:val="18"/>
                <w:szCs w:val="18"/>
                <w:shd w:val="clear" w:color="auto" w:fill="FFFFFF"/>
                <w:lang w:eastAsia="ar-SA"/>
              </w:rPr>
              <w:t>Ø 1,6 FG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Times New Roman"/>
                <w:spacing w:val="-6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Масса наконечника, г, не более - 75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ArialUnicodeMS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Корректированный уровень звуковой мощности, дБА, - не более</w:t>
            </w:r>
            <w:r w:rsidRPr="00A84306">
              <w:rPr>
                <w:rFonts w:eastAsia="ArialUnicodeMS"/>
                <w:kern w:val="1"/>
                <w:sz w:val="22"/>
                <w:lang w:eastAsia="ar-SA"/>
              </w:rPr>
              <w:t xml:space="preserve"> 61</w:t>
            </w:r>
          </w:p>
          <w:p w:rsidR="00A84306" w:rsidRPr="00A84306" w:rsidRDefault="00A84306" w:rsidP="00A84306">
            <w:pPr>
              <w:suppressAutoHyphens/>
              <w:spacing w:after="60" w:line="223" w:lineRule="auto"/>
              <w:ind w:left="-91" w:right="-91"/>
              <w:jc w:val="both"/>
              <w:rPr>
                <w:rFonts w:eastAsia="ArialUnicodeMS"/>
                <w:kern w:val="1"/>
                <w:sz w:val="22"/>
                <w:lang w:eastAsia="ar-SA"/>
              </w:rPr>
            </w:pPr>
            <w:r w:rsidRPr="00A84306">
              <w:rPr>
                <w:rFonts w:eastAsia="Times New Roman"/>
                <w:kern w:val="1"/>
                <w:sz w:val="22"/>
                <w:lang w:eastAsia="ar-SA"/>
              </w:rPr>
              <w:t>Красное кольцо - Наличие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306" w:rsidRDefault="00A84306" w:rsidP="00A84306">
            <w:pPr>
              <w:jc w:val="center"/>
              <w:rPr>
                <w:color w:val="000000"/>
                <w:sz w:val="22"/>
                <w:lang w:eastAsia="ar-SA"/>
              </w:rPr>
            </w:pPr>
            <w:r>
              <w:rPr>
                <w:color w:val="000000"/>
                <w:sz w:val="22"/>
              </w:rPr>
              <w:t>16 шт</w:t>
            </w:r>
          </w:p>
        </w:tc>
      </w:tr>
      <w:tr w:rsidR="00A84306" w:rsidRPr="00A84306" w:rsidTr="00A84306">
        <w:trPr>
          <w:trHeight w:val="164"/>
        </w:trPr>
        <w:tc>
          <w:tcPr>
            <w:tcW w:w="157" w:type="pct"/>
            <w:shd w:val="clear" w:color="auto" w:fill="auto"/>
          </w:tcPr>
          <w:p w:rsidR="00A84306" w:rsidRPr="00A84306" w:rsidRDefault="00A84306" w:rsidP="00A84306">
            <w:pPr>
              <w:suppressAutoHyphens/>
              <w:spacing w:after="60"/>
              <w:jc w:val="right"/>
              <w:rPr>
                <w:rFonts w:eastAsia="Times New Roman"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ar-SA"/>
              </w:rPr>
              <w:t>2</w:t>
            </w:r>
          </w:p>
        </w:tc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2"/>
                <w:szCs w:val="24"/>
                <w:lang w:eastAsia="ar-SA"/>
              </w:rPr>
            </w:pPr>
            <w:r w:rsidRPr="00A84306">
              <w:rPr>
                <w:rFonts w:eastAsia="Times New Roman"/>
                <w:color w:val="000000"/>
                <w:kern w:val="2"/>
                <w:szCs w:val="24"/>
                <w:lang w:eastAsia="ar-SA"/>
              </w:rPr>
              <w:t>Наконечник турбинный одноточечный.</w:t>
            </w:r>
          </w:p>
        </w:tc>
        <w:tc>
          <w:tcPr>
            <w:tcW w:w="3630" w:type="pct"/>
            <w:tcBorders>
              <w:bottom w:val="single" w:sz="4" w:space="0" w:color="auto"/>
            </w:tcBorders>
          </w:tcPr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Турбинный стоматологический наконечник без освещения, со стандартной головкой, керамическими подшипниками и одноточечным спреем.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Угол наклона головки — 45°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Тип наконечника</w:t>
            </w: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ab/>
              <w:t xml:space="preserve">-турбинный . 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Скорость вращения</w:t>
            </w: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ab/>
              <w:t>-360 000 об/мин с ортопедической головкой .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Скорость подачи воздуха</w:t>
            </w: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ab/>
              <w:t xml:space="preserve">&gt;1,5 л/мин (при 200 кПа)  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Подача воды</w:t>
            </w: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ab/>
              <w:t xml:space="preserve">- &gt;50 мл/мин (при 200 кПа) 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Система охлаждения-</w:t>
            </w: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ab/>
              <w:t xml:space="preserve">одноточечный спрей 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Подача воздуха в головку</w:t>
            </w: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ab/>
              <w:t xml:space="preserve">Трёхточечная (3 отверстия) 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Фиксация бора</w:t>
            </w: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ab/>
              <w:t xml:space="preserve">Кнопочный зажим 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Диаметр бора</w:t>
            </w: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ab/>
              <w:t>1,59–1,60 мм .</w:t>
            </w:r>
          </w:p>
          <w:p w:rsidR="00A84306" w:rsidRPr="00A84306" w:rsidRDefault="00A84306" w:rsidP="00A84306">
            <w:pPr>
              <w:suppressAutoHyphens/>
              <w:spacing w:after="60"/>
              <w:jc w:val="both"/>
              <w:rPr>
                <w:rFonts w:eastAsia="Times New Roman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>Длина бора</w:t>
            </w:r>
            <w:r w:rsidRPr="00A84306">
              <w:rPr>
                <w:rFonts w:eastAsia="Times New Roman"/>
                <w:kern w:val="1"/>
                <w:szCs w:val="24"/>
                <w:lang w:eastAsia="ru-RU"/>
              </w:rPr>
              <w:tab/>
              <w:t>21–23 мм (общая); длина зажима хвостовика — не менее 11 мм 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306" w:rsidRDefault="00A84306" w:rsidP="00A84306">
            <w:pPr>
              <w:jc w:val="center"/>
              <w:rPr>
                <w:szCs w:val="24"/>
                <w:lang w:eastAsia="ru-RU"/>
              </w:rPr>
            </w:pPr>
            <w:r>
              <w:rPr>
                <w:lang w:eastAsia="ru-RU"/>
              </w:rPr>
              <w:t>10 шт</w:t>
            </w:r>
          </w:p>
        </w:tc>
      </w:tr>
      <w:tr w:rsidR="00A84306" w:rsidRPr="00A84306" w:rsidTr="00A84306">
        <w:trPr>
          <w:trHeight w:val="221"/>
        </w:trPr>
        <w:tc>
          <w:tcPr>
            <w:tcW w:w="157" w:type="pct"/>
            <w:shd w:val="clear" w:color="auto" w:fill="auto"/>
          </w:tcPr>
          <w:p w:rsidR="00A84306" w:rsidRPr="00A84306" w:rsidRDefault="00A84306" w:rsidP="00A84306">
            <w:pPr>
              <w:suppressAutoHyphens/>
              <w:spacing w:after="60"/>
              <w:jc w:val="right"/>
              <w:rPr>
                <w:rFonts w:eastAsia="Times New Roman"/>
                <w:color w:val="000000"/>
                <w:kern w:val="1"/>
                <w:sz w:val="20"/>
                <w:szCs w:val="20"/>
                <w:lang w:eastAsia="ru-RU"/>
              </w:rPr>
            </w:pPr>
            <w:r w:rsidRPr="00A84306">
              <w:rPr>
                <w:rFonts w:eastAsia="Times New Roman"/>
                <w:kern w:val="1"/>
                <w:szCs w:val="24"/>
                <w:lang w:eastAsia="ar-SA"/>
              </w:rPr>
              <w:t>3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2"/>
                <w:szCs w:val="24"/>
                <w:lang w:eastAsia="ar-SA"/>
              </w:rPr>
            </w:pPr>
            <w:r w:rsidRPr="00A84306">
              <w:rPr>
                <w:rFonts w:eastAsia="Times New Roman"/>
                <w:color w:val="000000"/>
                <w:kern w:val="2"/>
                <w:szCs w:val="24"/>
                <w:lang w:eastAsia="ar-SA"/>
              </w:rPr>
              <w:t xml:space="preserve">Турбинный наконечник с генератором света </w:t>
            </w:r>
          </w:p>
        </w:tc>
        <w:tc>
          <w:tcPr>
            <w:tcW w:w="3630" w:type="pct"/>
            <w:tcBorders>
              <w:top w:val="single" w:sz="4" w:space="0" w:color="auto"/>
              <w:bottom w:val="single" w:sz="4" w:space="0" w:color="auto"/>
            </w:tcBorders>
          </w:tcPr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>Высокоскоростной турбинный стоматологический наконечник со встроенным генератором света.</w:t>
            </w:r>
          </w:p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>Тип наконечника</w:t>
            </w: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ab/>
              <w:t>-турбинный (воздушная турбина)</w:t>
            </w:r>
          </w:p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>Скорость вращения</w:t>
            </w: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ab/>
              <w:t>до 300 000 об/мин.</w:t>
            </w:r>
          </w:p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>Номинальный вращающий момент-</w:t>
            </w: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ab/>
              <w:t>не менее 0,0005 Н·м (при 0,28 МПа)</w:t>
            </w:r>
          </w:p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>Скорость воздушного потока</w:t>
            </w: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ab/>
              <w:t xml:space="preserve">&gt;1,5 л/мин (при 200 кПа) </w:t>
            </w:r>
          </w:p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>Скорость водного потока</w:t>
            </w: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ab/>
              <w:t>&gt;50 мл/мин (при 200 кПа)</w:t>
            </w:r>
          </w:p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>Освещение</w:t>
            </w: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ab/>
              <w:t>-встроенный генератор света.</w:t>
            </w:r>
          </w:p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1"/>
                <w:szCs w:val="24"/>
                <w:lang w:eastAsia="ru-RU"/>
              </w:rPr>
            </w:pP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>Фиксация бора-</w:t>
            </w:r>
            <w:r w:rsidRPr="00A84306">
              <w:rPr>
                <w:rFonts w:eastAsia="Times New Roman"/>
                <w:color w:val="000000"/>
                <w:kern w:val="1"/>
                <w:szCs w:val="24"/>
                <w:lang w:eastAsia="ru-RU"/>
              </w:rPr>
              <w:tab/>
              <w:t>кнопочный зажим.</w:t>
            </w:r>
          </w:p>
          <w:p w:rsidR="00A84306" w:rsidRPr="00A84306" w:rsidRDefault="00A84306" w:rsidP="00A84306">
            <w:pPr>
              <w:suppressAutoHyphens/>
              <w:spacing w:after="60"/>
              <w:rPr>
                <w:rFonts w:eastAsia="Times New Roman"/>
                <w:color w:val="000000"/>
                <w:kern w:val="1"/>
                <w:szCs w:val="24"/>
                <w:lang w:eastAsia="ru-RU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306" w:rsidRDefault="00A84306" w:rsidP="00A84306">
            <w:pPr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16 шт</w:t>
            </w:r>
          </w:p>
        </w:tc>
      </w:tr>
      <w:bookmarkEnd w:id="0"/>
    </w:tbl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EA7804" w:rsidRDefault="006D0F92" w:rsidP="0077600E">
      <w:pPr>
        <w:widowControl w:val="0"/>
        <w:shd w:val="clear" w:color="auto" w:fill="FFFFFF"/>
        <w:snapToGrid w:val="0"/>
        <w:jc w:val="center"/>
        <w:rPr>
          <w:rFonts w:ascii="Liberation Serif" w:hAnsi="Liberation Serif"/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</w:p>
    <w:p w:rsidR="00443941" w:rsidRDefault="00443941"/>
    <w:sectPr w:rsidR="00443941" w:rsidSect="0038336A">
      <w:footerReference w:type="default" r:id="rId6"/>
      <w:pgSz w:w="16838" w:h="11906" w:orient="landscape"/>
      <w:pgMar w:top="720" w:right="425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08" w:rsidRDefault="00CA5808" w:rsidP="001F4369">
      <w:r>
        <w:separator/>
      </w:r>
    </w:p>
  </w:endnote>
  <w:endnote w:type="continuationSeparator" w:id="0">
    <w:p w:rsidR="00CA5808" w:rsidRDefault="00CA5808" w:rsidP="001F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446" w:rsidRDefault="0076155D" w:rsidP="00F57C8F">
    <w:pPr>
      <w:pStyle w:val="a3"/>
      <w:jc w:val="center"/>
    </w:pPr>
    <w:r>
      <w:fldChar w:fldCharType="begin"/>
    </w:r>
    <w:r w:rsidR="00984D40">
      <w:instrText>PAGE   \* MERGEFORMAT</w:instrText>
    </w:r>
    <w:r>
      <w:fldChar w:fldCharType="separate"/>
    </w:r>
    <w:r w:rsidR="00A8430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08" w:rsidRDefault="00CA5808" w:rsidP="001F4369">
      <w:r>
        <w:separator/>
      </w:r>
    </w:p>
  </w:footnote>
  <w:footnote w:type="continuationSeparator" w:id="0">
    <w:p w:rsidR="00CA5808" w:rsidRDefault="00CA5808" w:rsidP="001F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40"/>
    <w:rsid w:val="000505F8"/>
    <w:rsid w:val="000B1CC2"/>
    <w:rsid w:val="000E54C0"/>
    <w:rsid w:val="001F4369"/>
    <w:rsid w:val="0031612D"/>
    <w:rsid w:val="0038336A"/>
    <w:rsid w:val="00443941"/>
    <w:rsid w:val="004F3B62"/>
    <w:rsid w:val="00691A14"/>
    <w:rsid w:val="006D0F92"/>
    <w:rsid w:val="00720C43"/>
    <w:rsid w:val="00737BC3"/>
    <w:rsid w:val="0076155D"/>
    <w:rsid w:val="0077600E"/>
    <w:rsid w:val="00823994"/>
    <w:rsid w:val="00893516"/>
    <w:rsid w:val="00907195"/>
    <w:rsid w:val="00984D40"/>
    <w:rsid w:val="00A84306"/>
    <w:rsid w:val="00A95678"/>
    <w:rsid w:val="00B20A83"/>
    <w:rsid w:val="00BC0191"/>
    <w:rsid w:val="00C40AFA"/>
    <w:rsid w:val="00CA5808"/>
    <w:rsid w:val="00CD11E1"/>
    <w:rsid w:val="00CD17CE"/>
    <w:rsid w:val="00CF4DD6"/>
    <w:rsid w:val="00EA7804"/>
    <w:rsid w:val="00EF4392"/>
    <w:rsid w:val="00F25CF6"/>
    <w:rsid w:val="00FA0D33"/>
    <w:rsid w:val="00FA1F26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363B7-50C8-4BD9-8EE6-2126A95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4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4D4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984D40"/>
    <w:rPr>
      <w:rFonts w:ascii="Times New Roman" w:eastAsia="Calibri" w:hAnsi="Times New Roman" w:cs="Times New Roman"/>
      <w:sz w:val="24"/>
      <w:szCs w:val="20"/>
    </w:rPr>
  </w:style>
  <w:style w:type="paragraph" w:styleId="a5">
    <w:name w:val="footnote text"/>
    <w:basedOn w:val="a"/>
    <w:link w:val="a6"/>
    <w:rsid w:val="00EA7804"/>
    <w:pPr>
      <w:suppressAutoHyphens/>
    </w:pPr>
    <w:rPr>
      <w:rFonts w:eastAsia="Times New Roman"/>
      <w:color w:val="00000A"/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EA7804"/>
    <w:rPr>
      <w:rFonts w:ascii="Times New Roman" w:eastAsia="Times New Roman" w:hAnsi="Times New Roman" w:cs="Times New Roman"/>
      <w:color w:val="00000A"/>
      <w:sz w:val="20"/>
      <w:szCs w:val="20"/>
      <w:lang w:val="x-none" w:eastAsia="zh-CN"/>
    </w:rPr>
  </w:style>
  <w:style w:type="character" w:customStyle="1" w:styleId="FontStyle28">
    <w:name w:val="Font Style28"/>
    <w:qFormat/>
    <w:rsid w:val="00EA78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qFormat/>
    <w:rsid w:val="00EA7804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qFormat/>
    <w:rsid w:val="00EA780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9">
    <w:name w:val="Style9"/>
    <w:basedOn w:val="a"/>
    <w:qFormat/>
    <w:rsid w:val="00EA7804"/>
    <w:pPr>
      <w:widowControl w:val="0"/>
    </w:pPr>
    <w:rPr>
      <w:color w:val="00000A"/>
      <w:szCs w:val="24"/>
      <w:lang w:eastAsia="ru-RU"/>
    </w:rPr>
  </w:style>
  <w:style w:type="paragraph" w:customStyle="1" w:styleId="Style4">
    <w:name w:val="Style4"/>
    <w:basedOn w:val="a"/>
    <w:qFormat/>
    <w:rsid w:val="00EA7804"/>
    <w:pPr>
      <w:widowControl w:val="0"/>
      <w:spacing w:line="275" w:lineRule="exact"/>
    </w:pPr>
    <w:rPr>
      <w:rFonts w:eastAsia="Times New Roman"/>
      <w:color w:val="00000A"/>
      <w:szCs w:val="24"/>
      <w:lang w:eastAsia="ru-RU"/>
    </w:rPr>
  </w:style>
  <w:style w:type="paragraph" w:customStyle="1" w:styleId="Style13">
    <w:name w:val="Style13"/>
    <w:basedOn w:val="a"/>
    <w:qFormat/>
    <w:rsid w:val="00EA7804"/>
    <w:pPr>
      <w:widowControl w:val="0"/>
      <w:spacing w:line="278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1">
    <w:name w:val="Style11"/>
    <w:basedOn w:val="a"/>
    <w:qFormat/>
    <w:rsid w:val="00EA7804"/>
    <w:pPr>
      <w:widowControl w:val="0"/>
      <w:spacing w:line="274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2">
    <w:name w:val="Style12"/>
    <w:basedOn w:val="a"/>
    <w:qFormat/>
    <w:rsid w:val="00EA7804"/>
    <w:pPr>
      <w:widowControl w:val="0"/>
      <w:spacing w:line="269" w:lineRule="exact"/>
      <w:ind w:firstLine="120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9">
    <w:name w:val="Style19"/>
    <w:basedOn w:val="a"/>
    <w:qFormat/>
    <w:rsid w:val="00EA7804"/>
    <w:pPr>
      <w:widowControl w:val="0"/>
    </w:pPr>
    <w:rPr>
      <w:rFonts w:eastAsia="Times New Roman"/>
      <w:color w:val="00000A"/>
      <w:szCs w:val="24"/>
      <w:lang w:eastAsia="ru-RU"/>
    </w:rPr>
  </w:style>
  <w:style w:type="paragraph" w:customStyle="1" w:styleId="Style15">
    <w:name w:val="Style15"/>
    <w:basedOn w:val="a"/>
    <w:qFormat/>
    <w:rsid w:val="00EA7804"/>
    <w:pPr>
      <w:widowControl w:val="0"/>
      <w:spacing w:line="264" w:lineRule="exact"/>
      <w:ind w:hanging="226"/>
    </w:pPr>
    <w:rPr>
      <w:rFonts w:eastAsia="Times New Roman"/>
      <w:color w:val="00000A"/>
      <w:szCs w:val="24"/>
      <w:lang w:eastAsia="ru-RU"/>
    </w:rPr>
  </w:style>
  <w:style w:type="paragraph" w:customStyle="1" w:styleId="Style2">
    <w:name w:val="Style2"/>
    <w:basedOn w:val="a"/>
    <w:qFormat/>
    <w:rsid w:val="00EA7804"/>
    <w:pPr>
      <w:tabs>
        <w:tab w:val="left" w:pos="720"/>
      </w:tabs>
      <w:spacing w:before="60" w:after="60"/>
      <w:ind w:firstLine="284"/>
      <w:jc w:val="both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18">
    <w:name w:val="Style18"/>
    <w:basedOn w:val="a"/>
    <w:qFormat/>
    <w:rsid w:val="00EA7804"/>
    <w:pPr>
      <w:widowControl w:val="0"/>
      <w:spacing w:line="269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20">
    <w:name w:val="Style20"/>
    <w:basedOn w:val="a"/>
    <w:qFormat/>
    <w:rsid w:val="00EA7804"/>
    <w:pPr>
      <w:widowControl w:val="0"/>
      <w:spacing w:line="264" w:lineRule="exact"/>
      <w:ind w:hanging="581"/>
    </w:pPr>
    <w:rPr>
      <w:rFonts w:eastAsia="Times New Roman"/>
      <w:color w:val="00000A"/>
      <w:szCs w:val="24"/>
      <w:lang w:eastAsia="ru-RU"/>
    </w:rPr>
  </w:style>
  <w:style w:type="paragraph" w:customStyle="1" w:styleId="western">
    <w:name w:val="western"/>
    <w:basedOn w:val="a"/>
    <w:rsid w:val="006D0F92"/>
    <w:pPr>
      <w:spacing w:before="100" w:beforeAutospacing="1" w:after="142" w:line="276" w:lineRule="auto"/>
      <w:ind w:firstLine="720"/>
      <w:jc w:val="both"/>
    </w:pPr>
    <w:rPr>
      <w:rFonts w:ascii="Times New Roman CYR" w:eastAsia="Times New Roman" w:hAnsi="Times New Roman CYR" w:cs="Times New Roman CYR"/>
      <w:color w:val="00000A"/>
      <w:szCs w:val="24"/>
      <w:lang w:eastAsia="ru-RU"/>
    </w:rPr>
  </w:style>
  <w:style w:type="table" w:styleId="a7">
    <w:name w:val="Table Grid"/>
    <w:uiPriority w:val="59"/>
    <w:rsid w:val="00050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2026-10-20T10:48:00Z</dcterms:created>
  <dcterms:modified xsi:type="dcterms:W3CDTF">2026-10-20T10:48:00Z</dcterms:modified>
</cp:coreProperties>
</file>