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_rels/document.xml.rels" ContentType="application/vnd.openxmlformats-package.relationships+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jc w:val="right"/>
        <w:rPr>
          <w:b w:val="false"/>
          <w:bCs w:val="false"/>
          <w:i w:val="false"/>
          <w:i w:val="false"/>
          <w:iCs w:val="false"/>
          <w:sz w:val="24"/>
          <w:szCs w:val="24"/>
        </w:rPr>
      </w:pPr>
      <w:r>
        <w:rPr>
          <w:b w:val="false"/>
          <w:bCs w:val="false"/>
          <w:i w:val="false"/>
          <w:iCs w:val="false"/>
          <w:sz w:val="24"/>
          <w:szCs w:val="24"/>
        </w:rPr>
      </w:r>
    </w:p>
    <w:p>
      <w:pPr>
        <w:pStyle w:val="Normal"/>
        <w:jc w:val="center"/>
        <w:rPr>
          <w:i w:val="false"/>
          <w:i w:val="false"/>
          <w:iCs w:val="false"/>
        </w:rPr>
      </w:pPr>
      <w:r>
        <w:rPr>
          <w:rFonts w:eastAsia="Times New Roman"/>
          <w:b/>
          <w:bCs/>
          <w:i w:val="false"/>
          <w:iCs w:val="false"/>
          <w:sz w:val="24"/>
          <w:szCs w:val="24"/>
        </w:rPr>
        <w:t>Технические требования к продукции</w:t>
      </w:r>
    </w:p>
    <w:p>
      <w:pPr>
        <w:pStyle w:val="Normal"/>
        <w:jc w:val="center"/>
        <w:rPr>
          <w:rFonts w:eastAsia="Times New Roman"/>
          <w:b/>
          <w:bCs/>
          <w:i/>
          <w:i/>
          <w:iCs/>
          <w:sz w:val="24"/>
          <w:szCs w:val="24"/>
        </w:rPr>
      </w:pPr>
      <w:r>
        <w:rPr>
          <w:rFonts w:eastAsia="Times New Roman"/>
          <w:b/>
          <w:bCs/>
          <w:i/>
          <w:iCs/>
          <w:sz w:val="24"/>
          <w:szCs w:val="24"/>
        </w:rPr>
      </w:r>
    </w:p>
    <w:p>
      <w:pPr>
        <w:pStyle w:val="Normal"/>
        <w:ind w:firstLine="720"/>
        <w:rPr>
          <w:rFonts w:eastAsia="Times New Roman"/>
          <w:sz w:val="24"/>
          <w:szCs w:val="24"/>
        </w:rPr>
      </w:pPr>
      <w:r>
        <w:rPr>
          <w:sz w:val="24"/>
          <w:szCs w:val="24"/>
        </w:rPr>
        <w:t>1. Заказчик – Исполнительный аппарат АО «ДРСК» (</w:t>
      </w:r>
      <w:r>
        <w:rPr>
          <w:bCs/>
          <w:iCs/>
          <w:sz w:val="24"/>
          <w:szCs w:val="24"/>
        </w:rPr>
        <w:t>Россия, 675004, г.Благовещенск,                   ул. Шевченко, 32</w:t>
      </w:r>
      <w:r>
        <w:rPr>
          <w:sz w:val="24"/>
          <w:szCs w:val="24"/>
        </w:rPr>
        <w:t>), проводит конкурентную закупочную процедуру и в связи с этим приглашает юридических лиц и индивидуальных предпринимателей (далее – Поставщики) подавать свои предложения по поставке следующей продукции:</w:t>
      </w:r>
    </w:p>
    <w:p>
      <w:pPr>
        <w:pStyle w:val="Normal"/>
        <w:ind w:firstLine="720"/>
        <w:rPr>
          <w:rFonts w:eastAsia="Times New Roman"/>
          <w:sz w:val="24"/>
          <w:szCs w:val="24"/>
        </w:rPr>
      </w:pPr>
      <w:r>
        <w:rPr>
          <w:rFonts w:eastAsia="Times New Roman"/>
          <w:sz w:val="24"/>
          <w:szCs w:val="24"/>
        </w:rPr>
      </w:r>
    </w:p>
    <w:tbl>
      <w:tblPr>
        <w:tblW w:w="10207" w:type="dxa"/>
        <w:jc w:val="left"/>
        <w:tblInd w:w="-5" w:type="dxa"/>
        <w:tblLayout w:type="fixed"/>
        <w:tblCellMar>
          <w:top w:w="55" w:type="dxa"/>
          <w:left w:w="55" w:type="dxa"/>
          <w:bottom w:w="55" w:type="dxa"/>
          <w:right w:w="55" w:type="dxa"/>
        </w:tblCellMar>
        <w:tblLook w:val="04a0" w:noVBand="1" w:noHBand="0" w:lastColumn="0" w:firstColumn="1" w:lastRow="0" w:firstRow="1"/>
      </w:tblPr>
      <w:tblGrid>
        <w:gridCol w:w="450"/>
        <w:gridCol w:w="1349"/>
        <w:gridCol w:w="4200"/>
        <w:gridCol w:w="1021"/>
        <w:gridCol w:w="685"/>
        <w:gridCol w:w="1485"/>
        <w:gridCol w:w="1016"/>
      </w:tblGrid>
      <w:tr>
        <w:trPr>
          <w:trHeight w:val="495" w:hRule="atLeast"/>
        </w:trPr>
        <w:tc>
          <w:tcPr>
            <w:tcW w:w="450" w:type="dxa"/>
            <w:tcBorders>
              <w:top w:val="single" w:sz="4" w:space="0" w:color="000000"/>
              <w:left w:val="single" w:sz="4" w:space="0" w:color="000000"/>
              <w:bottom w:val="single" w:sz="4" w:space="0" w:color="000000"/>
            </w:tcBorders>
          </w:tcPr>
          <w:p>
            <w:pPr>
              <w:pStyle w:val="Normal"/>
              <w:widowControl w:val="false"/>
              <w:ind w:left="-108" w:right="-108" w:hanging="0"/>
              <w:jc w:val="center"/>
              <w:rPr>
                <w:rFonts w:eastAsia="Times New Roman"/>
                <w:b/>
                <w:sz w:val="18"/>
                <w:szCs w:val="24"/>
              </w:rPr>
            </w:pPr>
            <w:r>
              <w:rPr>
                <w:rFonts w:eastAsia="Times New Roman"/>
                <w:b/>
                <w:sz w:val="18"/>
                <w:szCs w:val="24"/>
              </w:rPr>
              <w:t xml:space="preserve">№ </w:t>
            </w:r>
            <w:r>
              <w:rPr>
                <w:rFonts w:eastAsia="Times New Roman"/>
                <w:b/>
                <w:sz w:val="18"/>
                <w:szCs w:val="24"/>
              </w:rPr>
              <w:t>п/п</w:t>
            </w:r>
          </w:p>
        </w:tc>
        <w:tc>
          <w:tcPr>
            <w:tcW w:w="1349" w:type="dxa"/>
            <w:tcBorders>
              <w:top w:val="single" w:sz="4" w:space="0" w:color="000000"/>
              <w:left w:val="single" w:sz="4" w:space="0" w:color="000000"/>
              <w:bottom w:val="single" w:sz="4" w:space="0" w:color="000000"/>
            </w:tcBorders>
          </w:tcPr>
          <w:p>
            <w:pPr>
              <w:pStyle w:val="Normal"/>
              <w:widowControl w:val="false"/>
              <w:ind w:right="-108" w:hanging="0"/>
              <w:jc w:val="left"/>
              <w:rPr>
                <w:rFonts w:eastAsia="Times New Roman"/>
                <w:b/>
                <w:sz w:val="18"/>
                <w:szCs w:val="24"/>
              </w:rPr>
            </w:pPr>
            <w:r>
              <w:rPr>
                <w:rFonts w:eastAsia="Times New Roman"/>
                <w:b/>
                <w:sz w:val="18"/>
                <w:szCs w:val="24"/>
              </w:rPr>
              <w:t>Номенклатура</w:t>
            </w:r>
          </w:p>
        </w:tc>
        <w:tc>
          <w:tcPr>
            <w:tcW w:w="4200" w:type="dxa"/>
            <w:tcBorders>
              <w:top w:val="single" w:sz="4" w:space="0" w:color="000000"/>
              <w:left w:val="single" w:sz="4" w:space="0" w:color="000000"/>
              <w:bottom w:val="single" w:sz="4" w:space="0" w:color="000000"/>
            </w:tcBorders>
          </w:tcPr>
          <w:p>
            <w:pPr>
              <w:pStyle w:val="Normal"/>
              <w:widowControl w:val="false"/>
              <w:ind w:right="-108" w:hanging="0"/>
              <w:jc w:val="center"/>
              <w:rPr>
                <w:rFonts w:eastAsia="Times New Roman"/>
                <w:b/>
                <w:sz w:val="18"/>
                <w:szCs w:val="24"/>
              </w:rPr>
            </w:pPr>
            <w:r>
              <w:rPr>
                <w:rFonts w:eastAsia="Times New Roman"/>
                <w:b/>
                <w:sz w:val="18"/>
                <w:szCs w:val="24"/>
              </w:rPr>
              <w:t>Характеристика</w:t>
            </w:r>
          </w:p>
        </w:tc>
        <w:tc>
          <w:tcPr>
            <w:tcW w:w="1021" w:type="dxa"/>
            <w:tcBorders>
              <w:top w:val="single" w:sz="4" w:space="0" w:color="000000"/>
              <w:left w:val="single" w:sz="4" w:space="0" w:color="000000"/>
              <w:bottom w:val="single" w:sz="4" w:space="0" w:color="000000"/>
            </w:tcBorders>
          </w:tcPr>
          <w:p>
            <w:pPr>
              <w:pStyle w:val="Normal"/>
              <w:widowControl w:val="false"/>
              <w:jc w:val="center"/>
              <w:rPr>
                <w:rFonts w:eastAsia="Times New Roman"/>
                <w:b/>
                <w:sz w:val="18"/>
                <w:szCs w:val="24"/>
              </w:rPr>
            </w:pPr>
            <w:r>
              <w:rPr>
                <w:rFonts w:eastAsia="Times New Roman"/>
                <w:b/>
                <w:sz w:val="18"/>
                <w:szCs w:val="24"/>
              </w:rPr>
              <w:t xml:space="preserve">Тираж </w:t>
            </w:r>
          </w:p>
        </w:tc>
        <w:tc>
          <w:tcPr>
            <w:tcW w:w="685" w:type="dxa"/>
            <w:tcBorders>
              <w:top w:val="single" w:sz="4" w:space="0" w:color="000000"/>
              <w:left w:val="single" w:sz="4" w:space="0" w:color="000000"/>
              <w:bottom w:val="single" w:sz="4" w:space="0" w:color="000000"/>
            </w:tcBorders>
          </w:tcPr>
          <w:p>
            <w:pPr>
              <w:pStyle w:val="Normal"/>
              <w:widowControl w:val="false"/>
              <w:jc w:val="center"/>
              <w:rPr>
                <w:rFonts w:eastAsia="Times New Roman"/>
                <w:b/>
                <w:sz w:val="18"/>
                <w:szCs w:val="24"/>
              </w:rPr>
            </w:pPr>
            <w:r>
              <w:rPr>
                <w:rFonts w:eastAsia="Times New Roman"/>
                <w:b/>
                <w:sz w:val="18"/>
                <w:szCs w:val="24"/>
              </w:rPr>
              <w:t>Ед.</w:t>
            </w:r>
          </w:p>
        </w:tc>
        <w:tc>
          <w:tcPr>
            <w:tcW w:w="1485" w:type="dxa"/>
            <w:tcBorders>
              <w:top w:val="single" w:sz="4" w:space="0" w:color="000000"/>
              <w:left w:val="single" w:sz="4" w:space="0" w:color="000000"/>
              <w:bottom w:val="single" w:sz="4" w:space="0" w:color="000000"/>
            </w:tcBorders>
          </w:tcPr>
          <w:p>
            <w:pPr>
              <w:pStyle w:val="Normal"/>
              <w:widowControl w:val="false"/>
              <w:ind w:left="-108" w:right="-108" w:hanging="0"/>
              <w:jc w:val="center"/>
              <w:rPr>
                <w:rFonts w:eastAsia="Times New Roman"/>
                <w:b/>
                <w:sz w:val="18"/>
                <w:szCs w:val="24"/>
              </w:rPr>
            </w:pPr>
            <w:r>
              <w:rPr>
                <w:rFonts w:eastAsia="Times New Roman"/>
                <w:b/>
                <w:sz w:val="18"/>
                <w:szCs w:val="24"/>
              </w:rPr>
              <w:t>Место поставки, получатель</w:t>
            </w:r>
          </w:p>
        </w:tc>
        <w:tc>
          <w:tcPr>
            <w:tcW w:w="1016" w:type="dxa"/>
            <w:tcBorders>
              <w:top w:val="single" w:sz="4" w:space="0" w:color="000000"/>
              <w:left w:val="single" w:sz="4" w:space="0" w:color="000000"/>
              <w:bottom w:val="single" w:sz="4" w:space="0" w:color="000000"/>
              <w:right w:val="single" w:sz="4" w:space="0" w:color="000000"/>
            </w:tcBorders>
          </w:tcPr>
          <w:p>
            <w:pPr>
              <w:pStyle w:val="Normal"/>
              <w:widowControl w:val="false"/>
              <w:ind w:right="-108" w:hanging="0"/>
              <w:jc w:val="center"/>
              <w:rPr>
                <w:rFonts w:eastAsia="Times New Roman"/>
                <w:b/>
                <w:sz w:val="18"/>
                <w:szCs w:val="24"/>
                <w:lang w:val="en-US"/>
              </w:rPr>
            </w:pPr>
            <w:r>
              <w:rPr>
                <w:rFonts w:eastAsia="Times New Roman"/>
                <w:b/>
                <w:sz w:val="18"/>
                <w:szCs w:val="24"/>
              </w:rPr>
              <w:t>Срок поставки</w:t>
            </w:r>
            <w:r>
              <w:rPr>
                <w:rFonts w:eastAsia="Times New Roman"/>
                <w:b/>
                <w:sz w:val="18"/>
                <w:szCs w:val="24"/>
                <w:lang w:val="en-US"/>
              </w:rPr>
              <w:t xml:space="preserve"> </w:t>
            </w:r>
          </w:p>
        </w:tc>
      </w:tr>
      <w:tr>
        <w:trPr/>
        <w:tc>
          <w:tcPr>
            <w:tcW w:w="450" w:type="dxa"/>
            <w:tcBorders>
              <w:left w:val="single" w:sz="4" w:space="0" w:color="000000"/>
              <w:bottom w:val="single" w:sz="4" w:space="0" w:color="000000"/>
            </w:tcBorders>
            <w:shd w:color="auto" w:fill="auto" w:val="clear"/>
          </w:tcPr>
          <w:p>
            <w:pPr>
              <w:pStyle w:val="Normal"/>
              <w:widowControl w:val="false"/>
              <w:jc w:val="left"/>
              <w:rPr>
                <w:rFonts w:eastAsia="Times New Roman"/>
                <w:sz w:val="20"/>
                <w:szCs w:val="24"/>
              </w:rPr>
            </w:pPr>
            <w:r>
              <w:rPr>
                <w:rFonts w:eastAsia="Times New Roman"/>
                <w:sz w:val="20"/>
                <w:szCs w:val="24"/>
              </w:rPr>
              <w:t>1</w:t>
            </w:r>
          </w:p>
        </w:tc>
        <w:tc>
          <w:tcPr>
            <w:tcW w:w="1349" w:type="dxa"/>
            <w:tcBorders>
              <w:left w:val="single" w:sz="4" w:space="0" w:color="000000"/>
              <w:bottom w:val="single" w:sz="4" w:space="0" w:color="000000"/>
            </w:tcBorders>
            <w:shd w:color="auto" w:fill="auto" w:val="clear"/>
          </w:tcPr>
          <w:p>
            <w:pPr>
              <w:pStyle w:val="Normal"/>
              <w:widowControl w:val="false"/>
              <w:ind w:right="-108" w:hanging="0"/>
              <w:jc w:val="left"/>
              <w:rPr>
                <w:rFonts w:eastAsia="Times New Roman"/>
                <w:sz w:val="20"/>
                <w:szCs w:val="24"/>
              </w:rPr>
            </w:pPr>
            <w:r>
              <w:rPr>
                <w:rFonts w:eastAsia="Times New Roman"/>
                <w:sz w:val="20"/>
                <w:szCs w:val="24"/>
              </w:rPr>
              <w:t>Календарь квартальный</w:t>
            </w:r>
          </w:p>
        </w:tc>
        <w:tc>
          <w:tcPr>
            <w:tcW w:w="4200" w:type="dxa"/>
            <w:tcBorders>
              <w:left w:val="single" w:sz="4" w:space="0" w:color="000000"/>
              <w:bottom w:val="single" w:sz="4" w:space="0" w:color="000000"/>
            </w:tcBorders>
          </w:tcPr>
          <w:p>
            <w:pPr>
              <w:pStyle w:val="Normal"/>
              <w:widowControl w:val="false"/>
              <w:ind w:right="-108" w:hanging="0"/>
              <w:jc w:val="left"/>
              <w:rPr>
                <w:rFonts w:eastAsia="Times New Roman"/>
                <w:sz w:val="20"/>
                <w:szCs w:val="24"/>
              </w:rPr>
            </w:pPr>
            <w:r>
              <w:rPr>
                <w:rFonts w:eastAsia="Times New Roman"/>
                <w:sz w:val="20"/>
                <w:szCs w:val="24"/>
              </w:rPr>
              <w:t>Календарь состоит из 4 подложек .</w:t>
            </w:r>
          </w:p>
          <w:p>
            <w:pPr>
              <w:pStyle w:val="Normal"/>
              <w:widowControl w:val="false"/>
              <w:ind w:right="-108" w:hanging="0"/>
              <w:jc w:val="left"/>
              <w:rPr>
                <w:rFonts w:eastAsia="Times New Roman"/>
                <w:sz w:val="20"/>
                <w:szCs w:val="24"/>
              </w:rPr>
            </w:pPr>
            <w:r>
              <w:rPr>
                <w:rFonts w:eastAsia="Times New Roman"/>
                <w:sz w:val="20"/>
                <w:szCs w:val="24"/>
              </w:rPr>
              <w:t xml:space="preserve">Верхний постер 1 шт. Формат 420*297мм </w:t>
            </w:r>
          </w:p>
          <w:p>
            <w:pPr>
              <w:pStyle w:val="Normal"/>
              <w:widowControl w:val="false"/>
              <w:ind w:right="-108" w:hanging="0"/>
              <w:jc w:val="left"/>
              <w:rPr>
                <w:rFonts w:eastAsia="Times New Roman"/>
                <w:sz w:val="20"/>
                <w:szCs w:val="24"/>
              </w:rPr>
            </w:pPr>
            <w:r>
              <w:rPr>
                <w:rFonts w:eastAsia="Times New Roman"/>
                <w:sz w:val="20"/>
                <w:szCs w:val="24"/>
              </w:rPr>
              <w:t>Три нижний постера 420*225 мм.</w:t>
            </w:r>
          </w:p>
          <w:p>
            <w:pPr>
              <w:pStyle w:val="Normal"/>
              <w:widowControl w:val="false"/>
              <w:ind w:right="-108" w:hanging="0"/>
              <w:jc w:val="left"/>
              <w:rPr>
                <w:rFonts w:eastAsia="Times New Roman"/>
                <w:sz w:val="20"/>
                <w:szCs w:val="24"/>
              </w:rPr>
            </w:pPr>
            <w:r>
              <w:rPr>
                <w:rFonts w:eastAsia="Times New Roman"/>
                <w:sz w:val="20"/>
                <w:szCs w:val="24"/>
              </w:rPr>
              <w:t>Бумага мелованная 300 гр глянец. Печать 4+0.</w:t>
            </w:r>
          </w:p>
          <w:p>
            <w:pPr>
              <w:pStyle w:val="Normal"/>
              <w:widowControl w:val="false"/>
              <w:ind w:right="-108" w:hanging="0"/>
              <w:jc w:val="left"/>
              <w:rPr>
                <w:rFonts w:eastAsia="Times New Roman"/>
                <w:sz w:val="20"/>
                <w:szCs w:val="24"/>
              </w:rPr>
            </w:pPr>
            <w:r>
              <w:rPr>
                <w:rFonts w:eastAsia="Times New Roman"/>
                <w:sz w:val="20"/>
                <w:szCs w:val="24"/>
              </w:rPr>
              <w:t xml:space="preserve">Ламинация глянец 1+1. 1 верхняя подложка — тиснение серебро (логотип). </w:t>
            </w:r>
          </w:p>
          <w:p>
            <w:pPr>
              <w:pStyle w:val="Normal"/>
              <w:widowControl w:val="false"/>
              <w:ind w:right="-108" w:hanging="0"/>
              <w:jc w:val="left"/>
              <w:rPr>
                <w:rFonts w:eastAsia="Times New Roman"/>
                <w:sz w:val="20"/>
                <w:szCs w:val="24"/>
              </w:rPr>
            </w:pPr>
            <w:r>
              <w:rPr>
                <w:rFonts w:eastAsia="Times New Roman"/>
                <w:sz w:val="20"/>
                <w:szCs w:val="24"/>
              </w:rPr>
              <w:t>Блок индивидуальный 295*140 мм, бумага мелованная 115 гр глянец Печать 4+0. Магнитный курсор: акрил с фигурной резкой, печать на акриле, магнитное полотно на одну</w:t>
            </w:r>
          </w:p>
          <w:p>
            <w:pPr>
              <w:pStyle w:val="Normal"/>
              <w:widowControl w:val="false"/>
              <w:ind w:right="-108" w:hanging="0"/>
              <w:jc w:val="left"/>
              <w:rPr>
                <w:rFonts w:eastAsia="Times New Roman"/>
                <w:sz w:val="20"/>
                <w:szCs w:val="24"/>
              </w:rPr>
            </w:pPr>
            <w:r>
              <w:rPr>
                <w:rFonts w:eastAsia="Times New Roman"/>
                <w:sz w:val="20"/>
                <w:szCs w:val="24"/>
              </w:rPr>
              <w:t>подложку. Полная сборка, вставка ригеля.</w:t>
            </w:r>
          </w:p>
          <w:p>
            <w:pPr>
              <w:pStyle w:val="Normal"/>
              <w:widowControl w:val="false"/>
              <w:ind w:right="-108" w:hanging="0"/>
              <w:jc w:val="left"/>
              <w:rPr>
                <w:rFonts w:eastAsia="Times New Roman"/>
                <w:sz w:val="20"/>
                <w:szCs w:val="24"/>
              </w:rPr>
            </w:pPr>
            <w:r>
              <w:rPr>
                <w:rFonts w:eastAsia="Times New Roman"/>
                <w:sz w:val="20"/>
                <w:szCs w:val="24"/>
              </w:rPr>
              <w:t>Индивидуальный прозрачный пакет для квартального календаря – 280 шт.</w:t>
            </w:r>
          </w:p>
        </w:tc>
        <w:tc>
          <w:tcPr>
            <w:tcW w:w="1021" w:type="dxa"/>
            <w:tcBorders>
              <w:left w:val="single" w:sz="4" w:space="0" w:color="000000"/>
              <w:bottom w:val="single" w:sz="4" w:space="0" w:color="000000"/>
            </w:tcBorders>
            <w:shd w:color="auto" w:fill="auto" w:val="clear"/>
          </w:tcPr>
          <w:p>
            <w:pPr>
              <w:pStyle w:val="Normal"/>
              <w:widowControl w:val="false"/>
              <w:jc w:val="center"/>
              <w:rPr>
                <w:rFonts w:eastAsia="Times New Roman"/>
                <w:sz w:val="20"/>
                <w:szCs w:val="24"/>
              </w:rPr>
            </w:pPr>
            <w:r>
              <w:rPr>
                <w:rFonts w:eastAsia="Times New Roman"/>
                <w:sz w:val="20"/>
                <w:szCs w:val="24"/>
              </w:rPr>
              <w:t>280</w:t>
            </w:r>
          </w:p>
        </w:tc>
        <w:tc>
          <w:tcPr>
            <w:tcW w:w="685" w:type="dxa"/>
            <w:tcBorders>
              <w:left w:val="single" w:sz="4" w:space="0" w:color="000000"/>
              <w:bottom w:val="single" w:sz="4" w:space="0" w:color="000000"/>
            </w:tcBorders>
          </w:tcPr>
          <w:p>
            <w:pPr>
              <w:pStyle w:val="Normal"/>
              <w:widowControl w:val="false"/>
              <w:jc w:val="center"/>
              <w:rPr>
                <w:rFonts w:eastAsia="Times New Roman"/>
                <w:sz w:val="20"/>
                <w:szCs w:val="24"/>
              </w:rPr>
            </w:pPr>
            <w:r>
              <w:rPr>
                <w:rFonts w:eastAsia="Times New Roman"/>
                <w:sz w:val="20"/>
                <w:szCs w:val="24"/>
              </w:rPr>
              <w:t>шт.</w:t>
            </w:r>
          </w:p>
        </w:tc>
        <w:tc>
          <w:tcPr>
            <w:tcW w:w="1485" w:type="dxa"/>
            <w:tcBorders>
              <w:left w:val="single" w:sz="4" w:space="0" w:color="000000"/>
              <w:bottom w:val="single" w:sz="4" w:space="0" w:color="000000"/>
            </w:tcBorders>
          </w:tcPr>
          <w:p>
            <w:pPr>
              <w:pStyle w:val="Normal"/>
              <w:widowControl w:val="false"/>
              <w:ind w:left="-108" w:right="-108" w:hanging="0"/>
              <w:jc w:val="center"/>
              <w:rPr>
                <w:rFonts w:eastAsia="Times New Roman"/>
                <w:sz w:val="20"/>
                <w:szCs w:val="24"/>
              </w:rPr>
            </w:pPr>
            <w:r>
              <w:rPr>
                <w:rFonts w:eastAsia="Times New Roman"/>
                <w:sz w:val="20"/>
                <w:szCs w:val="24"/>
              </w:rPr>
              <w:t>г.Благовещенск,</w:t>
            </w:r>
          </w:p>
          <w:p>
            <w:pPr>
              <w:pStyle w:val="Normal"/>
              <w:widowControl w:val="false"/>
              <w:ind w:left="-108" w:right="-108" w:hanging="0"/>
              <w:jc w:val="center"/>
              <w:rPr>
                <w:rFonts w:eastAsia="Times New Roman"/>
                <w:sz w:val="20"/>
                <w:szCs w:val="24"/>
              </w:rPr>
            </w:pPr>
            <w:r>
              <w:rPr>
                <w:rFonts w:eastAsia="Times New Roman"/>
                <w:sz w:val="20"/>
                <w:szCs w:val="24"/>
              </w:rPr>
              <w:t>АО «ДРСК»</w:t>
            </w:r>
          </w:p>
        </w:tc>
        <w:tc>
          <w:tcPr>
            <w:tcW w:w="1016" w:type="dxa"/>
            <w:tcBorders>
              <w:left w:val="single" w:sz="4" w:space="0" w:color="000000"/>
              <w:bottom w:val="single" w:sz="4" w:space="0" w:color="000000"/>
              <w:right w:val="single" w:sz="4" w:space="0" w:color="000000"/>
            </w:tcBorders>
          </w:tcPr>
          <w:p>
            <w:pPr>
              <w:pStyle w:val="Normal"/>
              <w:widowControl w:val="false"/>
              <w:ind w:right="-108" w:hanging="105"/>
              <w:jc w:val="center"/>
              <w:rPr>
                <w:rFonts w:eastAsia="Times New Roman"/>
                <w:sz w:val="20"/>
                <w:szCs w:val="24"/>
                <w:lang w:val="en-US"/>
              </w:rPr>
            </w:pPr>
            <w:r>
              <w:rPr>
                <w:rFonts w:eastAsia="Times New Roman"/>
                <w:sz w:val="20"/>
                <w:szCs w:val="24"/>
                <w:lang w:val="en-US"/>
              </w:rPr>
              <w:t>15</w:t>
            </w:r>
            <w:r>
              <w:rPr>
                <w:rFonts w:eastAsia="Times New Roman"/>
                <w:sz w:val="20"/>
                <w:szCs w:val="24"/>
              </w:rPr>
              <w:t>.12.202</w:t>
            </w:r>
            <w:r>
              <w:rPr>
                <w:rFonts w:eastAsia="Times New Roman"/>
                <w:sz w:val="20"/>
                <w:szCs w:val="24"/>
                <w:lang w:val="en-US"/>
              </w:rPr>
              <w:t>6</w:t>
            </w:r>
          </w:p>
        </w:tc>
      </w:tr>
    </w:tbl>
    <w:p>
      <w:pPr>
        <w:pStyle w:val="Normal"/>
        <w:tabs>
          <w:tab w:val="clear" w:pos="708"/>
          <w:tab w:val="left" w:pos="568" w:leader="none"/>
        </w:tabs>
        <w:ind w:firstLine="568"/>
        <w:rPr>
          <w:rFonts w:eastAsia="Times New Roman"/>
          <w:sz w:val="24"/>
          <w:szCs w:val="24"/>
        </w:rPr>
      </w:pPr>
      <w:r>
        <w:rPr>
          <w:rFonts w:eastAsia="Times New Roman"/>
          <w:sz w:val="24"/>
          <w:szCs w:val="24"/>
        </w:rPr>
      </w:r>
    </w:p>
    <w:p>
      <w:pPr>
        <w:pStyle w:val="Normal"/>
        <w:widowControl/>
        <w:tabs>
          <w:tab w:val="clear" w:pos="708"/>
          <w:tab w:val="left" w:pos="568" w:leader="none"/>
        </w:tabs>
        <w:bidi w:val="0"/>
        <w:spacing w:before="0" w:after="0"/>
        <w:ind w:left="0" w:right="0" w:firstLine="680"/>
        <w:jc w:val="both"/>
        <w:rPr>
          <w:rFonts w:eastAsia="Times New Roman"/>
          <w:sz w:val="24"/>
          <w:szCs w:val="24"/>
        </w:rPr>
      </w:pPr>
      <w:r>
        <w:rPr>
          <w:rFonts w:eastAsia="Times New Roman"/>
          <w:sz w:val="24"/>
          <w:szCs w:val="24"/>
        </w:rPr>
        <w:t>3. Оплата поставленной продукции осуществляется: путем перечисления денежных средств на расчетный счет Поставщика.</w:t>
      </w:r>
    </w:p>
    <w:p>
      <w:pPr>
        <w:pStyle w:val="Normal"/>
        <w:rPr>
          <w:rFonts w:eastAsia="Times New Roman"/>
          <w:sz w:val="24"/>
          <w:szCs w:val="24"/>
        </w:rPr>
      </w:pPr>
      <w:r>
        <w:rPr>
          <w:rFonts w:eastAsia="Times New Roman"/>
          <w:sz w:val="24"/>
          <w:szCs w:val="24"/>
        </w:rPr>
        <w:tab/>
        <w:t>4. Поставщик имеет право подать только одно предложение.</w:t>
      </w:r>
    </w:p>
    <w:p>
      <w:pPr>
        <w:pStyle w:val="Normal"/>
        <w:rPr>
          <w:rFonts w:eastAsia="Times New Roman"/>
          <w:sz w:val="24"/>
          <w:szCs w:val="24"/>
        </w:rPr>
      </w:pPr>
      <w:r>
        <w:rPr>
          <w:rFonts w:eastAsia="Times New Roman"/>
          <w:sz w:val="24"/>
          <w:szCs w:val="24"/>
        </w:rPr>
        <w:tab/>
        <w:t>5. Предложение должно быть действительным до «29» декабря 2026г. Предложение должно быть подписано уполномоченным лицом, имеющим право действовать от лица Поставщика в соответствии с законодательством Российской Федерации. Предложение также должно быть скреплено печатью Поставщика.</w:t>
      </w:r>
    </w:p>
    <w:p>
      <w:pPr>
        <w:pStyle w:val="Normal"/>
        <w:rPr>
          <w:rFonts w:eastAsia="Times New Roman"/>
          <w:sz w:val="24"/>
          <w:szCs w:val="24"/>
        </w:rPr>
      </w:pPr>
      <w:r>
        <w:rPr>
          <w:rFonts w:eastAsia="Times New Roman"/>
          <w:sz w:val="24"/>
          <w:szCs w:val="24"/>
        </w:rPr>
        <w:tab/>
        <w:t xml:space="preserve">6. Все цены в предложении должны включать все налоги и другие обязательные платежи (расходы по транспортировке, страхование, уплата таможенных пошлин), стоимость всех сопутствующих работ (услуг), а также все скидки, предлагаемые Поставщиком. </w:t>
      </w:r>
    </w:p>
    <w:p>
      <w:pPr>
        <w:pStyle w:val="Normal"/>
        <w:ind w:firstLine="708"/>
        <w:rPr>
          <w:rFonts w:eastAsia="Times New Roman"/>
          <w:sz w:val="24"/>
          <w:szCs w:val="24"/>
        </w:rPr>
      </w:pPr>
      <w:r>
        <w:rPr>
          <w:rFonts w:eastAsia="Times New Roman"/>
          <w:sz w:val="24"/>
          <w:szCs w:val="24"/>
        </w:rPr>
        <w:t xml:space="preserve">7. Предложение должно быть подано на русском языке. Все цены должны быть выражены  в российских рублях, </w:t>
      </w:r>
      <w:r>
        <w:rPr>
          <w:rFonts w:eastAsia="Times New Roman"/>
          <w:b/>
          <w:sz w:val="24"/>
          <w:szCs w:val="24"/>
        </w:rPr>
        <w:t>с указанием порядка оплаты</w:t>
      </w:r>
      <w:r>
        <w:rPr>
          <w:rFonts w:eastAsia="Times New Roman"/>
          <w:sz w:val="24"/>
          <w:szCs w:val="24"/>
        </w:rPr>
        <w:t>.</w:t>
      </w:r>
    </w:p>
    <w:p>
      <w:pPr>
        <w:pStyle w:val="Normal"/>
        <w:rPr>
          <w:rFonts w:eastAsia="Times New Roman"/>
          <w:sz w:val="24"/>
          <w:szCs w:val="16"/>
        </w:rPr>
      </w:pPr>
      <w:r>
        <w:rPr>
          <w:rFonts w:eastAsia="Times New Roman"/>
          <w:sz w:val="24"/>
          <w:szCs w:val="24"/>
        </w:rPr>
        <w:tab/>
        <w:t>8. Предложение должно быть подано до 1</w:t>
      </w:r>
      <w:r>
        <w:rPr>
          <w:rFonts w:eastAsia="Times New Roman"/>
          <w:sz w:val="24"/>
          <w:szCs w:val="24"/>
        </w:rPr>
        <w:t>6</w:t>
      </w:r>
      <w:r>
        <w:rPr>
          <w:rFonts w:eastAsia="Times New Roman"/>
          <w:sz w:val="24"/>
          <w:szCs w:val="24"/>
        </w:rPr>
        <w:t>.00 часов местного времени 30.10.2026г.                     в следующем порядке: в письменной форме (в виде счетов, ценовых заявок, счетов-фактур, расходных накладных) по адресу электронной почты по адресу:</w:t>
      </w:r>
      <w:r>
        <w:rPr>
          <w:rFonts w:eastAsia="Times New Roman"/>
          <w:sz w:val="24"/>
          <w:szCs w:val="16"/>
        </w:rPr>
        <w:t xml:space="preserve">  </w:t>
      </w:r>
      <w:hyperlink r:id="rId2">
        <w:r>
          <w:rPr>
            <w:rFonts w:eastAsia="Times New Roman"/>
            <w:color w:val="0000FF"/>
            <w:sz w:val="24"/>
            <w:szCs w:val="16"/>
            <w:u w:val="single"/>
            <w:lang w:val="en-US"/>
          </w:rPr>
          <w:t>pashkevich</w:t>
        </w:r>
        <w:r>
          <w:rPr>
            <w:rFonts w:eastAsia="Times New Roman"/>
            <w:color w:val="0000FF"/>
            <w:sz w:val="24"/>
            <w:szCs w:val="16"/>
            <w:u w:val="single"/>
          </w:rPr>
          <w:t>-</w:t>
        </w:r>
        <w:r>
          <w:rPr>
            <w:rFonts w:eastAsia="Times New Roman"/>
            <w:color w:val="0000FF"/>
            <w:sz w:val="24"/>
            <w:szCs w:val="16"/>
            <w:u w:val="single"/>
            <w:lang w:val="en-US"/>
          </w:rPr>
          <w:t>vi</w:t>
        </w:r>
        <w:r>
          <w:rPr>
            <w:rFonts w:eastAsia="Times New Roman"/>
            <w:color w:val="0000FF"/>
            <w:sz w:val="24"/>
            <w:szCs w:val="16"/>
            <w:u w:val="single"/>
          </w:rPr>
          <w:t>@</w:t>
        </w:r>
        <w:r>
          <w:rPr>
            <w:rFonts w:eastAsia="Times New Roman"/>
            <w:color w:val="0000FF"/>
            <w:sz w:val="24"/>
            <w:szCs w:val="16"/>
            <w:u w:val="single"/>
            <w:lang w:val="en-US"/>
          </w:rPr>
          <w:t>drsk</w:t>
        </w:r>
        <w:r>
          <w:rPr>
            <w:rFonts w:eastAsia="Times New Roman"/>
            <w:color w:val="0000FF"/>
            <w:sz w:val="24"/>
            <w:szCs w:val="16"/>
            <w:u w:val="single"/>
          </w:rPr>
          <w:t>.</w:t>
        </w:r>
        <w:r>
          <w:rPr>
            <w:rFonts w:eastAsia="Times New Roman"/>
            <w:color w:val="0000FF"/>
            <w:sz w:val="24"/>
            <w:szCs w:val="16"/>
            <w:u w:val="single"/>
            <w:lang w:val="en-US"/>
          </w:rPr>
          <w:t>ru</w:t>
        </w:r>
      </w:hyperlink>
    </w:p>
    <w:p>
      <w:pPr>
        <w:pStyle w:val="Normal"/>
        <w:rPr>
          <w:rFonts w:eastAsia="Times New Roman"/>
          <w:sz w:val="24"/>
          <w:szCs w:val="24"/>
        </w:rPr>
      </w:pPr>
      <w:r>
        <w:rPr>
          <w:rFonts w:eastAsia="Times New Roman"/>
          <w:sz w:val="24"/>
          <w:szCs w:val="24"/>
        </w:rPr>
        <w:tab/>
        <w:t>9. Не допускается подача предложений на отдельные позиции или часть объема продукции.</w:t>
      </w:r>
    </w:p>
    <w:p>
      <w:pPr>
        <w:pStyle w:val="Normal"/>
        <w:ind w:firstLine="708"/>
        <w:rPr>
          <w:rFonts w:eastAsia="Times New Roman"/>
          <w:sz w:val="24"/>
          <w:szCs w:val="24"/>
        </w:rPr>
      </w:pPr>
      <w:r>
        <w:rPr>
          <w:rFonts w:eastAsia="Times New Roman"/>
          <w:sz w:val="24"/>
          <w:szCs w:val="24"/>
        </w:rPr>
        <w:t>10. Заказчик в срок до 09.11.2026г. определит Поставщика, предложение которого является наиболее предпочтительным для Заказчика.</w:t>
      </w:r>
    </w:p>
    <w:p>
      <w:pPr>
        <w:pStyle w:val="Normal"/>
        <w:ind w:firstLine="708"/>
        <w:rPr>
          <w:rFonts w:eastAsia="Times New Roman"/>
          <w:sz w:val="24"/>
          <w:szCs w:val="24"/>
        </w:rPr>
      </w:pPr>
      <w:r>
        <w:rPr>
          <w:rFonts w:eastAsia="Times New Roman"/>
          <w:sz w:val="24"/>
          <w:szCs w:val="24"/>
        </w:rPr>
        <w:t>11. В течение 3 дней после определения Поставщика, предложение которого является наиболее предпочтительным для Заказчика, Заказчик уведомит его о предложении заключить договор поставки вышеуказанной продукции на условиях настоящего запроса цен и предложения Поставщика.</w:t>
      </w:r>
    </w:p>
    <w:p>
      <w:pPr>
        <w:pStyle w:val="Normal"/>
        <w:ind w:firstLine="708"/>
        <w:rPr>
          <w:rFonts w:eastAsia="Times New Roman"/>
          <w:sz w:val="24"/>
          <w:szCs w:val="24"/>
        </w:rPr>
      </w:pPr>
      <w:r>
        <w:rPr>
          <w:rFonts w:eastAsia="Times New Roman"/>
          <w:sz w:val="24"/>
          <w:szCs w:val="24"/>
        </w:rPr>
        <w:t>12. Настоящий запрос не является офертой или публичной офертой Заказчика. Данная процедура запроса цен не является процедурой проведения конкурса. Заказчик имеет право отказаться от всех полученных предложений по любой причине, не неся при этом никакой ответственности перед Поставщиком.</w:t>
      </w:r>
    </w:p>
    <w:p>
      <w:pPr>
        <w:pStyle w:val="Normal"/>
        <w:rPr>
          <w:rFonts w:eastAsia="Times New Roman"/>
          <w:sz w:val="24"/>
          <w:szCs w:val="24"/>
        </w:rPr>
      </w:pPr>
      <w:r>
        <w:rPr>
          <w:rFonts w:eastAsia="Times New Roman"/>
          <w:sz w:val="24"/>
          <w:szCs w:val="24"/>
        </w:rPr>
      </w:r>
    </w:p>
    <w:p>
      <w:pPr>
        <w:pStyle w:val="Normal"/>
        <w:rPr>
          <w:rFonts w:eastAsia="Times New Roman"/>
          <w:sz w:val="24"/>
          <w:szCs w:val="24"/>
        </w:rPr>
      </w:pPr>
      <w:r>
        <w:rPr>
          <w:rFonts w:eastAsia="Times New Roman"/>
          <w:sz w:val="24"/>
          <w:szCs w:val="24"/>
        </w:rPr>
      </w:r>
    </w:p>
    <w:p>
      <w:pPr>
        <w:pStyle w:val="Normal"/>
        <w:rPr>
          <w:rFonts w:eastAsia="Times New Roman"/>
          <w:sz w:val="24"/>
          <w:szCs w:val="24"/>
        </w:rPr>
      </w:pPr>
      <w:r>
        <w:rPr/>
      </w:r>
    </w:p>
    <w:sectPr>
      <w:headerReference w:type="first" r:id="rId3"/>
      <w:footerReference w:type="default" r:id="rId4"/>
      <w:type w:val="nextPage"/>
      <w:pgSz w:w="11906" w:h="16838"/>
      <w:pgMar w:left="1134" w:right="567" w:gutter="0" w:header="142" w:top="1134" w:footer="709" w:bottom="766"/>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ambria">
    <w:charset w:val="01"/>
    <w:family w:val="roman"/>
    <w:pitch w:val="variable"/>
  </w:font>
  <w:font w:name="Tahoma">
    <w:charset w:val="01"/>
    <w:family w:val="roman"/>
    <w:pitch w:val="variable"/>
  </w:font>
  <w:font w:name="Liberation Sans">
    <w:altName w:val="Arial"/>
    <w:charset w:val="01"/>
    <w:family w:val="roman"/>
    <w:pitch w:val="variable"/>
  </w:font>
  <w:font w:name="Arial">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rFonts w:ascii="Arial" w:hAnsi="Arial" w:cs="Arial"/>
        <w:sz w:val="20"/>
        <w:szCs w:val="20"/>
      </w:rPr>
    </w:pPr>
    <w:r>
      <w:rPr>
        <w:rFonts w:cs="Arial" w:ascii="Arial" w:hAnsi="Arial"/>
        <w:sz w:val="20"/>
        <w:szCs w:val="20"/>
      </w:rPr>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p>
    <w:pPr>
      <w:pStyle w:val="Header"/>
      <w:rPr/>
    </w:pPr>
    <w:r>
      <w:rPr/>
    </w:r>
  </w:p>
</w:hdr>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704fa1"/>
    <w:pPr>
      <w:widowControl/>
      <w:suppressAutoHyphens w:val="true"/>
      <w:bidi w:val="0"/>
      <w:spacing w:before="0" w:after="0"/>
      <w:jc w:val="both"/>
    </w:pPr>
    <w:rPr>
      <w:rFonts w:ascii="Times New Roman" w:hAnsi="Times New Roman" w:eastAsia="Calibri" w:cs="Times New Roman"/>
      <w:color w:val="auto"/>
      <w:kern w:val="0"/>
      <w:sz w:val="26"/>
      <w:szCs w:val="26"/>
      <w:lang w:val="ru-RU" w:eastAsia="ru-RU" w:bidi="ar-SA"/>
    </w:rPr>
  </w:style>
  <w:style w:type="paragraph" w:styleId="Heading1">
    <w:name w:val="Heading 1"/>
    <w:basedOn w:val="Normal"/>
    <w:next w:val="Normal"/>
    <w:link w:val="1"/>
    <w:qFormat/>
    <w:rsid w:val="00c809e9"/>
    <w:pPr>
      <w:keepNext w:val="true"/>
      <w:spacing w:before="240" w:after="60"/>
      <w:outlineLvl w:val="0"/>
    </w:pPr>
    <w:rPr>
      <w:rFonts w:ascii="Cambria" w:hAnsi="Cambria" w:eastAsia="" w:cs="" w:asciiTheme="majorHAnsi" w:cstheme="majorBidi" w:eastAsiaTheme="majorEastAsia" w:hAnsiTheme="majorHAnsi"/>
      <w:b/>
      <w:bCs/>
      <w:kern w:val="2"/>
      <w:sz w:val="32"/>
      <w:szCs w:val="32"/>
      <w:lang w:eastAsia="en-US"/>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rsid w:val="00c809e9"/>
    <w:rPr>
      <w:rFonts w:ascii="Cambria" w:hAnsi="Cambria" w:eastAsia="" w:cs="" w:asciiTheme="majorHAnsi" w:cstheme="majorBidi" w:eastAsiaTheme="majorEastAsia" w:hAnsiTheme="majorHAnsi"/>
      <w:b/>
      <w:bCs/>
      <w:kern w:val="2"/>
      <w:sz w:val="32"/>
      <w:szCs w:val="32"/>
    </w:rPr>
  </w:style>
  <w:style w:type="character" w:styleId="Hyperlink">
    <w:name w:val="Hyperlink"/>
    <w:basedOn w:val="DefaultParagraphFont"/>
    <w:uiPriority w:val="99"/>
    <w:unhideWhenUsed/>
    <w:rsid w:val="00704fa1"/>
    <w:rPr>
      <w:color w:val="0000FF" w:themeColor="hyperlink"/>
      <w:u w:val="single"/>
    </w:rPr>
  </w:style>
  <w:style w:type="character" w:styleId="Style8" w:customStyle="1">
    <w:name w:val="Верхний колонтитул Знак"/>
    <w:basedOn w:val="DefaultParagraphFont"/>
    <w:uiPriority w:val="99"/>
    <w:qFormat/>
    <w:rsid w:val="00704fa1"/>
    <w:rPr>
      <w:rFonts w:eastAsia="Calibri"/>
      <w:sz w:val="26"/>
      <w:szCs w:val="26"/>
      <w:lang w:eastAsia="ru-RU"/>
    </w:rPr>
  </w:style>
  <w:style w:type="character" w:styleId="Style9" w:customStyle="1">
    <w:name w:val="Нижний колонтитул Знак"/>
    <w:basedOn w:val="DefaultParagraphFont"/>
    <w:uiPriority w:val="99"/>
    <w:qFormat/>
    <w:rsid w:val="00704fa1"/>
    <w:rPr>
      <w:rFonts w:eastAsia="Calibri"/>
      <w:sz w:val="26"/>
      <w:szCs w:val="26"/>
      <w:lang w:eastAsia="ru-RU"/>
    </w:rPr>
  </w:style>
  <w:style w:type="character" w:styleId="Style10" w:customStyle="1">
    <w:name w:val="Текст выноски Знак"/>
    <w:basedOn w:val="DefaultParagraphFont"/>
    <w:link w:val="BalloonText"/>
    <w:uiPriority w:val="99"/>
    <w:semiHidden/>
    <w:qFormat/>
    <w:rsid w:val="0071707c"/>
    <w:rPr>
      <w:rFonts w:ascii="Tahoma" w:hAnsi="Tahoma" w:eastAsia="Calibri" w:cs="Tahoma"/>
      <w:sz w:val="16"/>
      <w:szCs w:val="16"/>
      <w:lang w:eastAsia="ru-RU"/>
    </w:rPr>
  </w:style>
  <w:style w:type="paragraph" w:styleId="Style11">
    <w:name w:val="Заголовок"/>
    <w:basedOn w:val="Normal"/>
    <w:next w:val="BodyText"/>
    <w:qFormat/>
    <w:pPr>
      <w:keepNext w:val="true"/>
      <w:spacing w:before="240" w:after="120"/>
    </w:pPr>
    <w:rPr>
      <w:rFonts w:ascii="Liberation Sans" w:hAnsi="Liberation Sans" w:eastAsia="WenQuanYi Zen Hei Sharp"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12">
    <w:name w:val="Указатель"/>
    <w:basedOn w:val="Normal"/>
    <w:qFormat/>
    <w:pPr>
      <w:suppressLineNumbers/>
    </w:pPr>
    <w:rPr>
      <w:rFonts w:cs="Lohit Devanagari"/>
    </w:rPr>
  </w:style>
  <w:style w:type="paragraph" w:styleId="ListParagraph">
    <w:name w:val="List Paragraph"/>
    <w:basedOn w:val="Normal"/>
    <w:uiPriority w:val="34"/>
    <w:qFormat/>
    <w:rsid w:val="00c809e9"/>
    <w:pPr>
      <w:spacing w:before="0" w:after="0"/>
      <w:ind w:left="720" w:hanging="0"/>
      <w:contextualSpacing/>
    </w:pPr>
    <w:rPr/>
  </w:style>
  <w:style w:type="paragraph" w:styleId="IndexHeading">
    <w:name w:val="Index Heading"/>
    <w:basedOn w:val="Style11"/>
    <w:pPr/>
    <w:rPr/>
  </w:style>
  <w:style w:type="paragraph" w:styleId="TOCHeading">
    <w:name w:val="TOC Heading"/>
    <w:basedOn w:val="Heading1"/>
    <w:next w:val="Normal"/>
    <w:uiPriority w:val="39"/>
    <w:semiHidden/>
    <w:unhideWhenUsed/>
    <w:qFormat/>
    <w:rsid w:val="00c809e9"/>
    <w:pPr>
      <w:keepLines/>
      <w:spacing w:lineRule="auto" w:line="276" w:before="480" w:after="0"/>
      <w:outlineLvl w:val="9"/>
    </w:pPr>
    <w:rPr>
      <w:color w:val="365F91"/>
      <w:kern w:val="0"/>
      <w:sz w:val="28"/>
      <w:szCs w:val="28"/>
      <w:lang w:eastAsia="ru-RU"/>
    </w:rPr>
  </w:style>
  <w:style w:type="paragraph" w:styleId="Style13">
    <w:name w:val="Колонтитул"/>
    <w:basedOn w:val="Normal"/>
    <w:qFormat/>
    <w:pPr/>
    <w:rPr/>
  </w:style>
  <w:style w:type="paragraph" w:styleId="Header">
    <w:name w:val="Header"/>
    <w:basedOn w:val="Normal"/>
    <w:link w:val="Style8"/>
    <w:uiPriority w:val="99"/>
    <w:unhideWhenUsed/>
    <w:rsid w:val="00704fa1"/>
    <w:pPr>
      <w:tabs>
        <w:tab w:val="clear" w:pos="708"/>
        <w:tab w:val="center" w:pos="4677" w:leader="none"/>
        <w:tab w:val="right" w:pos="9355" w:leader="none"/>
      </w:tabs>
    </w:pPr>
    <w:rPr/>
  </w:style>
  <w:style w:type="paragraph" w:styleId="Footer">
    <w:name w:val="Footer"/>
    <w:basedOn w:val="Normal"/>
    <w:link w:val="Style9"/>
    <w:uiPriority w:val="99"/>
    <w:unhideWhenUsed/>
    <w:rsid w:val="00704fa1"/>
    <w:pPr>
      <w:tabs>
        <w:tab w:val="clear" w:pos="708"/>
        <w:tab w:val="center" w:pos="4677" w:leader="none"/>
        <w:tab w:val="right" w:pos="9355" w:leader="none"/>
      </w:tabs>
    </w:pPr>
    <w:rPr/>
  </w:style>
  <w:style w:type="paragraph" w:styleId="BalloonText">
    <w:name w:val="Balloon Text"/>
    <w:basedOn w:val="Normal"/>
    <w:link w:val="Style10"/>
    <w:uiPriority w:val="99"/>
    <w:semiHidden/>
    <w:unhideWhenUsed/>
    <w:qFormat/>
    <w:rsid w:val="0071707c"/>
    <w:pPr/>
    <w:rPr>
      <w:rFonts w:ascii="Tahoma" w:hAnsi="Tahoma" w:cs="Tahoma"/>
      <w:sz w:val="16"/>
      <w:szCs w:val="16"/>
    </w:rPr>
  </w:style>
  <w:style w:type="paragraph" w:styleId="Style14">
    <w:name w:val="Содержимое врезки"/>
    <w:basedOn w:val="Normal"/>
    <w:qFormat/>
    <w:pPr/>
    <w:rPr/>
  </w:style>
  <w:style w:type="paragraph" w:styleId="Style15">
    <w:name w:val="Содержимое таблицы"/>
    <w:basedOn w:val="Normal"/>
    <w:qFormat/>
    <w:pPr>
      <w:widowControl w:val="false"/>
      <w:suppressLineNumbers/>
    </w:pPr>
    <w:rPr/>
  </w:style>
  <w:style w:type="paragraph" w:styleId="Style16">
    <w:name w:val="Заголовок таблицы"/>
    <w:basedOn w:val="Style15"/>
    <w:qFormat/>
    <w:pPr>
      <w:suppressLineNumbers/>
      <w:jc w:val="center"/>
    </w:pPr>
    <w:rPr>
      <w:b/>
      <w:bC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a">
    <w:name w:val="Table Grid"/>
    <w:basedOn w:val="a1"/>
    <w:uiPriority w:val="59"/>
    <w:rsid w:val="00704fa1"/>
    <w:rPr>
      <w:rFonts w:asciiTheme="minorHAnsi" w:hAnsiTheme="minorHAnsi" w:eastAsiaTheme="minorHAnsi" w:cstheme="minorBid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
    <w:name w:val="Сетка таблицы1"/>
    <w:basedOn w:val="a1"/>
    <w:uiPriority w:val="59"/>
    <w:rsid w:val="00163abd"/>
    <w:rPr>
      <w:rFonts w:asciiTheme="minorHAnsi" w:hAnsiTheme="minorHAnsi" w:eastAsiaTheme="minorHAnsi" w:cstheme="minorBid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pashkevich-vi@drsk.ru" TargetMode="Externa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CF243B-D712-4513-BEEC-1C545DDEA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Application>AlterOffice/3.3.0.4$Linux_X86_64 LibreOffice_project/fa736b558560ebea8f92088bfd7720f4b3918f3f</Application>
  <AppVersion>15.0000</AppVersion>
  <Pages>1</Pages>
  <Words>366</Words>
  <Characters>2460</Characters>
  <CharactersWithSpaces>2846</CharactersWithSpaces>
  <Paragraphs>34</Paragraphs>
  <Company>ОА ДРСК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2023-10-20T06:27:00Z</dcterms:created>
  <dc:creator>Портяная Валентина Геннадьевна</dc:creator>
  <dc:description/>
  <dc:language>ru-RU</dc:language>
  <cp:lastModifiedBy>serbul_lv</cp:lastModifiedBy>
  <cp:lastPrinted>2025-10-27T09:04:50Z</cp:lastPrinted>
  <dcterms:modified xsi:type="dcterms:W3CDTF">2026-10-21T15:59:37Z</dcterms:modified>
  <cp:revision>20</cp:revision>
  <dc:subject/>
  <dc:title/>
</cp:coreProperties>
</file>

<file path=docProps/custom.xml><?xml version="1.0" encoding="utf-8"?>
<Properties xmlns="http://schemas.openxmlformats.org/officeDocument/2006/custom-properties" xmlns:vt="http://schemas.openxmlformats.org/officeDocument/2006/docPropsVTypes"/>
</file>