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ТЕХНИЧЕСКИЕ ТРЕБОВАНИЯ </w:t>
      </w:r>
    </w:p>
    <w:p>
      <w:pPr>
        <w:pStyle w:val="ListNum"/>
        <w:spacing w:before="0" w:after="0"/>
        <w:ind w:firstLine="709"/>
        <w:jc w:val="center"/>
        <w:rPr>
          <w:sz w:val="24"/>
        </w:rPr>
      </w:pPr>
      <w:r>
        <w:rPr>
          <w:b/>
          <w:bCs/>
          <w:sz w:val="24"/>
          <w:lang w:eastAsia="ru-RU"/>
        </w:rPr>
        <w:t>ОКПД2 26.20.40.130 Поставка расходных материалов и комплектующих для  информационных технологий  структурного подразделения "Северные электрические сети" филиала "Амурские электрические сети"</w:t>
      </w:r>
    </w:p>
    <w:p>
      <w:pPr>
        <w:pStyle w:val="ListNum"/>
        <w:numPr>
          <w:ilvl w:val="0"/>
          <w:numId w:val="2"/>
        </w:numPr>
        <w:ind w:left="0" w:hanging="0"/>
        <w:rPr>
          <w:b/>
          <w:b/>
          <w:sz w:val="24"/>
        </w:rPr>
      </w:pPr>
      <w:r>
        <w:rPr>
          <w:b/>
          <w:sz w:val="24"/>
        </w:rPr>
        <w:t>Место поставки продукции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bCs/>
          <w:sz w:val="24"/>
          <w:szCs w:val="24"/>
        </w:rPr>
        <w:t>Адрес: 675243, Амурская область, г. Зея, пер. Лаврушенский, 3</w:t>
      </w:r>
      <w:r>
        <w:rPr>
          <w:sz w:val="24"/>
          <w:szCs w:val="24"/>
        </w:rPr>
        <w:t>.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Грузополучатель: </w:t>
      </w:r>
      <w:r>
        <w:rPr>
          <w:bCs/>
          <w:sz w:val="24"/>
          <w:szCs w:val="24"/>
        </w:rPr>
        <w:t xml:space="preserve">Филиал Акционерного общества «Дальневосточная распределительная сетевая компания» «Амурские электрические сети».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Требования к закупаемой продукции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(технические и иные характеристики)</w:t>
      </w:r>
    </w:p>
    <w:p>
      <w:pPr>
        <w:pStyle w:val="Normal"/>
        <w:widowControl w:val="false"/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2.1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 1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указанных таблице и пунктах.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0" w:leader="none"/>
        </w:tabs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№ 1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 продукции</w:t>
      </w:r>
    </w:p>
    <w:p>
      <w:pPr>
        <w:pStyle w:val="Normal"/>
        <w:spacing w:lineRule="auto" w:line="276" w:before="0" w:after="20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8"/>
        <w:tblW w:w="10022" w:type="dxa"/>
        <w:jc w:val="left"/>
        <w:tblInd w:w="112" w:type="dxa"/>
        <w:tblCellMar>
          <w:top w:w="0" w:type="dxa"/>
          <w:left w:w="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1"/>
        <w:gridCol w:w="2597"/>
        <w:gridCol w:w="5920"/>
        <w:gridCol w:w="973"/>
      </w:tblGrid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Техническая характеристика продукции (модель)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Кол-во, шт.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Аккумулятор </w:t>
            </w:r>
            <w:r>
              <w:rPr>
                <w:sz w:val="22"/>
                <w:szCs w:val="22"/>
                <w:lang w:val="en-US"/>
              </w:rPr>
              <w:t>UPS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12В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7 </w:t>
            </w:r>
            <w:r>
              <w:rPr>
                <w:sz w:val="22"/>
                <w:szCs w:val="22"/>
                <w:lang w:val="en-US"/>
              </w:rPr>
              <w:t>Ah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клеммы </w:t>
            </w:r>
            <w:r>
              <w:rPr>
                <w:sz w:val="22"/>
                <w:szCs w:val="22"/>
                <w:lang w:val="en-US"/>
              </w:rPr>
              <w:t>FASTON</w:t>
            </w:r>
            <w:r>
              <w:rPr>
                <w:sz w:val="22"/>
                <w:szCs w:val="22"/>
              </w:rPr>
              <w:t xml:space="preserve"> (зажим) 4.75/6.35 мм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150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94</w:t>
            </w:r>
            <w:r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питания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</w:t>
              <w:tab/>
              <w:t>ATX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</w:t>
              <w:tab/>
              <w:t>400 Вт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PFC</w:t>
              <w:tab/>
              <w:t>нет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  <w:tab/>
              <w:t>1 вентилятор (120 мм)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разъема для материнской платы</w:t>
              <w:tab/>
              <w:t>20+4 pin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4+4 pin CPU</w:t>
              <w:tab/>
              <w:t>1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6+2-pin PCI-E</w:t>
              <w:tab/>
              <w:t>2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15-pin SATA</w:t>
              <w:tab/>
              <w:t>4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4-pin Molex</w:t>
              <w:tab/>
              <w:t>3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(ВxШxГ)</w:t>
              <w:tab/>
              <w:t>86x150x140 мм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Видеокарта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</w:t>
              <w:tab/>
              <w:t>Retail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видеопамяти</w:t>
              <w:tab/>
              <w:t>2048 МБ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памяти</w:t>
              <w:tab/>
              <w:t>GDDR5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и интерфейсы</w:t>
              <w:tab/>
              <w:t>выход DVI, выход HDMI, выход VGA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</w:t>
              <w:tab/>
              <w:t>PCI Express 2.0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разрешение</w:t>
              <w:tab/>
              <w:t>2560x1600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поддерживаемых мониторов</w:t>
              <w:tab/>
              <w:t>2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охлаждения: пассивное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  <w:t>2.5"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>512 ГБ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</w:t>
              <w:tab/>
              <w:t>550 МБ/с / 520 МБ/с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  <w:t>SATA 6Gb/s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  <w:t>SATA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</w:r>
            <w:r>
              <w:rPr>
                <w:sz w:val="22"/>
                <w:szCs w:val="22"/>
                <w:lang w:val="en-US" w:eastAsia="en-US"/>
              </w:rPr>
              <w:t>2280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>512 ГБ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</w:t>
              <w:tab/>
              <w:t>2000 МБ/с / 1000 МБ/с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</w:r>
            <w:r>
              <w:rPr>
                <w:color w:val="333333"/>
                <w:sz w:val="22"/>
                <w:szCs w:val="22"/>
                <w:shd w:fill="FFFFFF" w:val="clear"/>
              </w:rPr>
              <w:t>PCIe 3.0 x4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</w:r>
            <w:r>
              <w:rPr>
                <w:sz w:val="22"/>
                <w:szCs w:val="22"/>
                <w:lang w:val="en-US" w:eastAsia="en-US"/>
              </w:rPr>
              <w:t>M.2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Сетевая карта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 подключения</w:t>
              <w:tab/>
              <w:t>PCI-E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передачи данных</w:t>
              <w:tab/>
              <w:t>1 Гбит/c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Общее количество портов</w:t>
              <w:tab/>
              <w:t>1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Функции и особенности</w:t>
              <w:tab/>
              <w:t>Jumbo Frame, Wake-on-LAN, низкопрофильная планка (Low Profile), поддержка 802.1Q VLAN, поддержка 802.1p, поддержка 802.3x Flow Control, полнопрофильная планка (Full-Height)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Материнская плата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</w:t>
              <w:tab/>
              <w:t>microATX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Сокет</w:t>
              <w:tab/>
              <w:t>LGA1700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Чипсет</w:t>
              <w:tab/>
              <w:t>Intel H61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памяти</w:t>
              <w:tab/>
              <w:t>DDR4 DIMM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слотов памяти</w:t>
              <w:tab/>
              <w:t>2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частота памяти</w:t>
              <w:tab/>
              <w:t>3200 МГц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слотов M.2</w:t>
              <w:tab/>
              <w:t>1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PCI Express</w:t>
              <w:tab/>
              <w:t>3.0, 4.0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на задней панели</w:t>
              <w:tab/>
              <w:t>USB 3.2 x 2, HDMI, VGA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Intel Core i5-12400 BOX 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Intel Core i3-13100 BOX :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Память DIMM DDR4 16Gb 2666MHz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Память DIMM DDR4 8Gb 2400MHz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Мышь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Общее количество кнопок                     3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Колесо прокрутки                                   есть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мыши                       светодиодная (оптическая)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Максимальное разрешение датчика       800 dpi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подключения                                     проводная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Интерфейс подключения                        USB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Клавиатура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Тип клавиатуры (набора): проводная клавиатура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Цвет: черный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Интерфейс: USB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Количество клавиш клавиатуры: 104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Описание клавиш клавиатуры: классическая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сетевой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eastAsia="en-US"/>
              </w:rPr>
            </w:pPr>
            <w:r>
              <w:rPr>
                <w:bCs/>
                <w:color w:val="3C3C3C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3C3C3C"/>
                <w:sz w:val="22"/>
                <w:szCs w:val="22"/>
                <w:lang w:eastAsia="en-US"/>
              </w:rPr>
              <w:t>UTP 5e, 4пары, медь, одножильный 0,50 (24 AWG) оболочка PVC, (-20C - +75C) 305м (BL-UTP04-5e,СU PVC)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Вилка </w:t>
            </w:r>
            <w:r>
              <w:rPr>
                <w:sz w:val="22"/>
                <w:szCs w:val="22"/>
                <w:lang w:val="en-US"/>
              </w:rPr>
              <w:t>RJ45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Вилка RJ45 кат.5e PLUG3UP6/5 универсальная кат.5e, контакты 6 микродюймов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Диск </w:t>
            </w:r>
            <w:r>
              <w:rPr>
                <w:sz w:val="22"/>
                <w:szCs w:val="22"/>
                <w:lang w:val="en-US"/>
              </w:rPr>
              <w:t>CD-R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Диск CD-R 700Mb 48x в бумажном конверте с окном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МК-1140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M2035dn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МК-1150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M2040dn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Узел термозакрепления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</w:t>
            </w:r>
            <w:r>
              <w:rPr>
                <w:b/>
                <w:sz w:val="22"/>
                <w:szCs w:val="22"/>
                <w:lang w:val="en-US" w:eastAsia="en-US"/>
              </w:rPr>
              <w:t>F</w:t>
            </w:r>
            <w:r>
              <w:rPr>
                <w:b/>
                <w:sz w:val="22"/>
                <w:szCs w:val="22"/>
                <w:lang w:eastAsia="en-US"/>
              </w:rPr>
              <w:t>К-</w:t>
            </w:r>
            <w:r>
              <w:rPr>
                <w:b/>
                <w:sz w:val="22"/>
                <w:szCs w:val="22"/>
                <w:lang w:val="en-US" w:eastAsia="en-US"/>
              </w:rPr>
              <w:t>170</w:t>
            </w:r>
            <w:r>
              <w:rPr>
                <w:b/>
                <w:sz w:val="22"/>
                <w:szCs w:val="22"/>
                <w:lang w:eastAsia="en-US"/>
              </w:rPr>
              <w:t xml:space="preserve">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M2535dn.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Узел термозакрепления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FK-1150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M2040dn.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3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3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>Условия поставки эквивалентной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 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ТУ,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 </w:t>
      </w:r>
      <w:r>
        <w:rPr>
          <w:color w:val="000000"/>
          <w:spacing w:val="-1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color w:val="000000"/>
          <w:spacing w:val="-1"/>
          <w:sz w:val="24"/>
          <w:szCs w:val="24"/>
        </w:rPr>
        <w:t>Для оценки возможности использования предлагаемого эквивалентного оборудования, предложение Участника должно содержать полную (подробную) техническую информацию в объеме данных, указанных в таблицы 1 технических требованиях.</w:t>
      </w:r>
    </w:p>
    <w:p>
      <w:pPr>
        <w:pStyle w:val="Normal"/>
        <w:jc w:val="both"/>
        <w:rPr>
          <w:color w:val="000000"/>
          <w:spacing w:val="-1"/>
          <w:sz w:val="24"/>
          <w:szCs w:val="24"/>
          <w:lang w:eastAsia="zh-CN"/>
        </w:rPr>
      </w:pPr>
      <w:r>
        <w:rPr>
          <w:color w:val="000000"/>
          <w:spacing w:val="-1"/>
          <w:sz w:val="24"/>
          <w:szCs w:val="24"/>
        </w:rPr>
        <w:t>2.2.4 Параметры эквивалентности приведены в таблице 1 технических требований.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/>
      </w:pP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 Общие условия.</w:t>
      </w:r>
    </w:p>
    <w:p>
      <w:pPr>
        <w:pStyle w:val="Style24"/>
        <w:tabs>
          <w:tab w:val="left" w:pos="709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Num"/>
        <w:tabs>
          <w:tab w:val="left" w:pos="284" w:leader="none"/>
          <w:tab w:val="left" w:pos="708" w:leader="none"/>
          <w:tab w:val="left" w:pos="1008" w:leader="none"/>
        </w:tabs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"/>
        <w:spacing w:before="0" w:after="0"/>
        <w:ind w:left="360" w:hanging="360"/>
        <w:rPr/>
      </w:pPr>
      <w:r>
        <w:rPr>
          <w:b/>
          <w:sz w:val="24"/>
        </w:rPr>
        <w:t>4</w:t>
      </w:r>
      <w:r>
        <w:rPr>
          <w:b/>
          <w:sz w:val="24"/>
        </w:rPr>
        <w:t>. Сроки поставки Товара:</w:t>
      </w:r>
      <w:r>
        <w:rPr>
          <w:sz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>Сроки (периоды) поставки товара с 11.01.2027 по 31.12.2027</w:t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tabs>
          <w:tab w:val="left" w:pos="7838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  <w:szCs w:val="22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1b2a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eastAsia="ru-RU" w:val="ru-RU" w:bidi="ar-SA"/>
    </w:rPr>
  </w:style>
  <w:style w:type="paragraph" w:styleId="1">
    <w:name w:val="Heading 1"/>
    <w:basedOn w:val="Normal"/>
    <w:qFormat/>
    <w:rsid w:val="00321b2a"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b473b3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f22cc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a3"/>
    <w:qFormat/>
    <w:rsid w:val="00321b2a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Bl1" w:customStyle="1">
    <w:name w:val="bl1"/>
    <w:basedOn w:val="DefaultParagraphFont"/>
    <w:qFormat/>
    <w:rsid w:val="007e20c5"/>
    <w:rPr>
      <w:color w:val="4288B8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7e20c5"/>
    <w:rPr>
      <w:rFonts w:ascii="Tahoma" w:hAnsi="Tahoma" w:eastAsia="Times New Roman" w:cs="Tahoma"/>
      <w:sz w:val="16"/>
      <w:szCs w:val="16"/>
      <w:lang w:eastAsia="ru-RU"/>
    </w:rPr>
  </w:style>
  <w:style w:type="character" w:styleId="Haspopover4" w:customStyle="1">
    <w:name w:val="haspopover4"/>
    <w:basedOn w:val="DefaultParagraphFont"/>
    <w:qFormat/>
    <w:rsid w:val="00b868eb"/>
    <w:rPr/>
  </w:style>
  <w:style w:type="character" w:styleId="Strong">
    <w:name w:val="Strong"/>
    <w:basedOn w:val="DefaultParagraphFont"/>
    <w:uiPriority w:val="22"/>
    <w:qFormat/>
    <w:rsid w:val="0041440a"/>
    <w:rPr>
      <w:b/>
      <w:bCs/>
    </w:rPr>
  </w:style>
  <w:style w:type="character" w:styleId="Style12" w:customStyle="1">
    <w:name w:val="Интернет-ссылка"/>
    <w:basedOn w:val="DefaultParagraphFont"/>
    <w:uiPriority w:val="99"/>
    <w:semiHidden/>
    <w:unhideWhenUsed/>
    <w:rsid w:val="0057056e"/>
    <w:rPr>
      <w:color w:val="1C81B7"/>
      <w:u w:val="single"/>
    </w:rPr>
  </w:style>
  <w:style w:type="character" w:styleId="Delimiter1" w:customStyle="1">
    <w:name w:val="delimiter1"/>
    <w:basedOn w:val="DefaultParagraphFont"/>
    <w:qFormat/>
    <w:rsid w:val="0057056e"/>
    <w:rPr/>
  </w:style>
  <w:style w:type="character" w:styleId="Style13" w:customStyle="1">
    <w:name w:val="Абзац списка Знак"/>
    <w:uiPriority w:val="34"/>
    <w:qFormat/>
    <w:locked/>
    <w:rsid w:val="0069050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4262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b473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Nproductspecnameinner" w:customStyle="1">
    <w:name w:val="n-product-spec__name-inner"/>
    <w:basedOn w:val="DefaultParagraphFont"/>
    <w:qFormat/>
    <w:rsid w:val="00b473b3"/>
    <w:rPr/>
  </w:style>
  <w:style w:type="character" w:styleId="Nproductspecvalueinner" w:customStyle="1">
    <w:name w:val="n-product-spec__value-inner"/>
    <w:basedOn w:val="DefaultParagraphFont"/>
    <w:qFormat/>
    <w:rsid w:val="00b473b3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25ac1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25ac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225ac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Знак"/>
    <w:basedOn w:val="DefaultParagraphFont"/>
    <w:uiPriority w:val="99"/>
    <w:semiHidden/>
    <w:qFormat/>
    <w:rsid w:val="00977908"/>
    <w:rPr>
      <w:rFonts w:ascii="Calibri" w:hAnsi="Calibri"/>
      <w:szCs w:val="21"/>
    </w:rPr>
  </w:style>
  <w:style w:type="character" w:styleId="12" w:customStyle="1">
    <w:name w:val="Пункт Знак1"/>
    <w:qFormat/>
    <w:locked/>
    <w:rsid w:val="009618c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22cc4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ListLabel1" w:customStyle="1">
    <w:name w:val="ListLabel 1"/>
    <w:qFormat/>
    <w:rPr>
      <w:b/>
      <w:sz w:val="24"/>
      <w:szCs w:val="24"/>
    </w:rPr>
  </w:style>
  <w:style w:type="character" w:styleId="ListLabel2" w:customStyle="1">
    <w:name w:val="ListLabel 2"/>
    <w:qFormat/>
    <w:rPr>
      <w:rFonts w:cs="Symbol"/>
      <w:sz w:val="24"/>
      <w:szCs w:val="22"/>
    </w:rPr>
  </w:style>
  <w:style w:type="character" w:styleId="ListLabel3" w:customStyle="1">
    <w:name w:val="ListLabel 3"/>
    <w:qFormat/>
    <w:rPr>
      <w:b/>
      <w:sz w:val="24"/>
      <w:szCs w:val="24"/>
    </w:rPr>
  </w:style>
  <w:style w:type="character" w:styleId="ListLabel4" w:customStyle="1">
    <w:name w:val="ListLabel 4"/>
    <w:qFormat/>
    <w:rPr>
      <w:rFonts w:cs="Symbol"/>
      <w:sz w:val="24"/>
      <w:szCs w:val="22"/>
    </w:rPr>
  </w:style>
  <w:style w:type="character" w:styleId="ListLabel5">
    <w:name w:val="ListLabel 5"/>
    <w:qFormat/>
    <w:rPr>
      <w:b/>
      <w:sz w:val="24"/>
      <w:szCs w:val="24"/>
    </w:rPr>
  </w:style>
  <w:style w:type="character" w:styleId="ListLabel6">
    <w:name w:val="ListLabel 6"/>
    <w:qFormat/>
    <w:rPr>
      <w:rFonts w:cs="Symbol"/>
      <w:sz w:val="24"/>
      <w:szCs w:val="22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rsid w:val="00426223"/>
    <w:pPr>
      <w:spacing w:before="0" w:after="12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0237a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237ae"/>
    <w:pPr>
      <w:spacing w:lineRule="atLeast" w:line="240" w:beforeAutospacing="1" w:afterAutospacing="1"/>
      <w:jc w:val="both"/>
    </w:pPr>
    <w:rPr>
      <w:sz w:val="24"/>
      <w:szCs w:val="24"/>
    </w:rPr>
  </w:style>
  <w:style w:type="paragraph" w:styleId="BalloonText">
    <w:name w:val="Balloon Text"/>
    <w:basedOn w:val="Normal"/>
    <w:uiPriority w:val="99"/>
    <w:semiHidden/>
    <w:unhideWhenUsed/>
    <w:qFormat/>
    <w:rsid w:val="007e20c5"/>
    <w:pPr/>
    <w:rPr>
      <w:rFonts w:ascii="Tahoma" w:hAnsi="Tahoma" w:cs="Tahoma"/>
      <w:sz w:val="16"/>
      <w:szCs w:val="16"/>
    </w:rPr>
  </w:style>
  <w:style w:type="paragraph" w:styleId="ListNumber">
    <w:name w:val="List Number"/>
    <w:basedOn w:val="Style19"/>
    <w:unhideWhenUsed/>
    <w:qFormat/>
    <w:rsid w:val="00b201d6"/>
    <w:pPr>
      <w:spacing w:lineRule="auto" w:line="360" w:before="60" w:after="0"/>
      <w:jc w:val="both"/>
    </w:pPr>
    <w:rPr>
      <w:sz w:val="28"/>
    </w:rPr>
  </w:style>
  <w:style w:type="paragraph" w:styleId="Annotationtext">
    <w:name w:val="annotation text"/>
    <w:basedOn w:val="Normal"/>
    <w:uiPriority w:val="99"/>
    <w:semiHidden/>
    <w:unhideWhenUsed/>
    <w:qFormat/>
    <w:rsid w:val="00225ac1"/>
    <w:pPr/>
    <w:rPr/>
  </w:style>
  <w:style w:type="paragraph" w:styleId="Annotationsubject">
    <w:name w:val="annotation subject"/>
    <w:basedOn w:val="Annotationtext"/>
    <w:uiPriority w:val="99"/>
    <w:semiHidden/>
    <w:unhideWhenUsed/>
    <w:qFormat/>
    <w:rsid w:val="00225ac1"/>
    <w:pPr/>
    <w:rPr>
      <w:b/>
      <w:bCs/>
    </w:rPr>
  </w:style>
  <w:style w:type="paragraph" w:styleId="PlainText">
    <w:name w:val="Plain Text"/>
    <w:basedOn w:val="Normal"/>
    <w:uiPriority w:val="99"/>
    <w:semiHidden/>
    <w:unhideWhenUsed/>
    <w:qFormat/>
    <w:rsid w:val="00977908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13" w:customStyle="1">
    <w:name w:val="Нумерованный список1"/>
    <w:basedOn w:val="Style19"/>
    <w:qFormat/>
    <w:rsid w:val="009618c5"/>
    <w:pPr>
      <w:spacing w:lineRule="auto" w:line="360" w:before="60" w:after="0"/>
      <w:jc w:val="both"/>
    </w:pPr>
    <w:rPr>
      <w:sz w:val="28"/>
      <w:lang w:eastAsia="zh-CN"/>
    </w:rPr>
  </w:style>
  <w:style w:type="paragraph" w:styleId="ListNum" w:customStyle="1">
    <w:name w:val="ListNum"/>
    <w:basedOn w:val="Normal"/>
    <w:qFormat/>
    <w:rsid w:val="009618c5"/>
    <w:pPr>
      <w:tabs>
        <w:tab w:val="left" w:pos="284" w:leader="none"/>
        <w:tab w:val="left" w:pos="1008" w:leader="none"/>
      </w:tabs>
      <w:spacing w:before="60" w:after="0"/>
      <w:jc w:val="both"/>
    </w:pPr>
    <w:rPr>
      <w:sz w:val="22"/>
      <w:szCs w:val="24"/>
      <w:lang w:eastAsia="zh-CN"/>
    </w:rPr>
  </w:style>
  <w:style w:type="paragraph" w:styleId="Style24" w:customStyle="1">
    <w:name w:val="Пункт"/>
    <w:basedOn w:val="Style19"/>
    <w:link w:val="10"/>
    <w:qFormat/>
    <w:rsid w:val="009618c5"/>
    <w:pPr>
      <w:tabs>
        <w:tab w:val="left" w:pos="1985" w:leader="none"/>
      </w:tabs>
      <w:spacing w:lineRule="auto" w:line="360" w:before="0" w:after="0"/>
      <w:ind w:left="1985" w:hanging="851"/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37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LibreOffice/5.3.6.1$Linux_X86_64 LibreOffice_project/30$Build-1</Application>
  <Pages>3</Pages>
  <Words>833</Words>
  <Characters>5303</Characters>
  <CharactersWithSpaces>6117</CharactersWithSpaces>
  <Paragraphs>175</Paragraphs>
  <Company>ALGsoft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2026-10-20T23:47:00Z</dcterms:created>
  <dc:creator>manager0302</dc:creator>
  <dc:description/>
  <dc:language>ru-RU</dc:language>
  <cp:lastModifiedBy/>
  <cp:lastPrinted>2024-11-05T14:23:00Z</cp:lastPrinted>
  <dcterms:modified xsi:type="dcterms:W3CDTF">2026-10-21T16:29:00Z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ALGsoft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