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200"/>
        <w:ind w:hanging="0" w:left="6095"/>
        <w:contextualSpacing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>УТВЕРЖДАЮ</w:t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 xml:space="preserve">Директор Центрального филиала </w:t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>АО «ТК РусГидро»</w:t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>________________М.В. Нешев</w:t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>«____»________________2026 г.</w:t>
      </w:r>
    </w:p>
    <w:p>
      <w:pPr>
        <w:pStyle w:val="Normal"/>
        <w:keepNext w:val="true"/>
        <w:keepLines/>
        <w:jc w:val="right"/>
        <w:rPr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«ОКПД2 08.92.10.113 Поставка торфа для нужд Загорского строительного участка Центрального филиала АО "ТК РусГидро»</w:t>
      </w:r>
    </w:p>
    <w:p>
      <w:pPr>
        <w:pStyle w:val="Normal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ЛОТ №       </w:t>
      </w:r>
      <w:r>
        <w:rPr>
          <w:rFonts w:eastAsia="Calibri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-ПРО ДЭК-2027-ТК_Центр_фил</w:t>
      </w:r>
    </w:p>
    <w:p>
      <w:pPr>
        <w:pStyle w:val="Normal"/>
        <w:keepNext w:val="true"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i/>
          <w:i/>
          <w:sz w:val="24"/>
          <w:szCs w:val="24"/>
        </w:rPr>
      </w:pPr>
      <w:r>
        <w:rPr>
          <w:rFonts w:eastAsia="Calibri"/>
          <w:i/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</w:pPr>
          <w:r>
            <w:fldChar w:fldCharType="begin"/>
          </w:r>
          <w:r>
            <w:rPr>
              <w:webHidden/>
              <w:rStyle w:val="Style14"/>
              <w:sz w:val="24"/>
              <w:szCs w:val="24"/>
              <w:vanish w:val="false"/>
            </w:rPr>
            <w:instrText xml:space="preserve"> TOC \z \o "1-3" \u \h</w:instrText>
          </w:r>
          <w:r>
            <w:rPr>
              <w:webHidden/>
              <w:rStyle w:val="Style14"/>
              <w:sz w:val="24"/>
              <w:szCs w:val="24"/>
              <w:vanish w:val="false"/>
            </w:rPr>
            <w:fldChar w:fldCharType="separate"/>
          </w:r>
          <w:hyperlink w:anchor="_Toc194593944">
            <w:r>
              <w:rPr>
                <w:webHidden/>
                <w:rStyle w:val="Style14"/>
                <w:vanish w:val="false"/>
                <w:sz w:val="24"/>
                <w:szCs w:val="24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94593945">
            <w:r>
              <w:rPr>
                <w:webHidden/>
                <w:rStyle w:val="Style14"/>
                <w:vanish w:val="false"/>
                <w:sz w:val="24"/>
                <w:szCs w:val="24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Требования к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194593946">
            <w:r>
              <w:rPr>
                <w:webHidden/>
                <w:rStyle w:val="Style14"/>
                <w:vanish w:val="false"/>
                <w:sz w:val="24"/>
                <w:szCs w:val="24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Перечень и объем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94593947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1.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194593948">
            <w:r>
              <w:rPr>
                <w:webHidden/>
                <w:rStyle w:val="Style14"/>
                <w:vanish w:val="false"/>
                <w:sz w:val="24"/>
                <w:szCs w:val="24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 xml:space="preserve">Требования к срокам поставки продукции и оказания сопутствующих услуг </w:t>
              <w:tab/>
            </w:r>
          </w:hyperlink>
          <w:r>
            <w:rPr>
              <w:sz w:val="24"/>
              <w:szCs w:val="24"/>
            </w:rPr>
            <w:t>4</w:t>
          </w:r>
        </w:p>
        <w:p>
          <w:pPr>
            <w:pStyle w:val="TOC1"/>
            <w:rPr/>
          </w:pPr>
          <w:hyperlink w:anchor="_Toc194593949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2.1 Требования по срокам поставки продукции</w:t>
            </w:r>
            <w:r>
              <w:rPr>
                <w:rStyle w:val="Style14"/>
                <w:sz w:val="24"/>
                <w:szCs w:val="24"/>
              </w:rPr>
              <w:tab/>
            </w:r>
          </w:hyperlink>
          <w:r>
            <w:rPr>
              <w:sz w:val="24"/>
              <w:szCs w:val="24"/>
            </w:rPr>
            <w:t>4</w:t>
          </w:r>
        </w:p>
        <w:p>
          <w:pPr>
            <w:pStyle w:val="TOC1"/>
            <w:rPr/>
          </w:pPr>
          <w:hyperlink w:anchor="_Toc194593950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 3. 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_Toc194593950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</w:pPr>
          <w:hyperlink w:anchor="_Toc194593951">
            <w:r>
              <w:rPr>
                <w:webHidden/>
                <w:rStyle w:val="Style14"/>
                <w:vanish w:val="false"/>
                <w:sz w:val="24"/>
                <w:szCs w:val="24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Требования к документации по ценообразованию на этапе закупки</w:t>
              <w:tab/>
            </w:r>
          </w:hyperlink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</w:p>
      </w:sdtContent>
    </w:sdt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jc w:val="both"/>
        <w:rPr>
          <w:caps/>
        </w:rPr>
      </w:pPr>
      <w:bookmarkStart w:id="0" w:name="_Toc194593944"/>
      <w:bookmarkStart w:id="1" w:name="_Toc51339692"/>
      <w:r>
        <w:rPr/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ind w:hanging="0" w:left="432"/>
        <w:rPr/>
      </w:pPr>
      <w:bookmarkStart w:id="2" w:name="_Toc46743505"/>
      <w:r>
        <w:rPr/>
        <w:t>Обозначения и сокращения</w:t>
      </w:r>
      <w:bookmarkEnd w:id="2"/>
    </w:p>
    <w:p>
      <w:pPr>
        <w:pStyle w:val="Normal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967"/>
        <w:gridCol w:w="7815"/>
      </w:tblGrid>
      <w:tr>
        <w:trPr>
          <w:trHeight w:val="358" w:hRule="atLeast"/>
          <w:cantSplit w:val="true"/>
        </w:trPr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ГОСТ Р 52067-2003</w:t>
            </w:r>
          </w:p>
        </w:tc>
        <w:tc>
          <w:tcPr>
            <w:tcW w:w="7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Торф для производства питательных грунтов. Технические условия (с учетом последних изменений)</w:t>
            </w:r>
          </w:p>
        </w:tc>
      </w:tr>
    </w:tbl>
    <w:p>
      <w:pPr>
        <w:pStyle w:val="Heading4"/>
        <w:numPr>
          <w:ilvl w:val="1"/>
          <w:numId w:val="3"/>
        </w:numPr>
        <w:ind w:hanging="0" w:left="432"/>
        <w:rPr>
          <w:sz w:val="24"/>
          <w:szCs w:val="24"/>
        </w:rPr>
      </w:pPr>
      <w:r>
        <w:rPr>
          <w:sz w:val="24"/>
          <w:szCs w:val="24"/>
        </w:rPr>
        <w:t>Наименование закупаемой продукции</w:t>
      </w:r>
    </w:p>
    <w:p>
      <w:pPr>
        <w:pStyle w:val="Normal"/>
        <w:keepNext w:val="true"/>
        <w:keepLines/>
        <w:jc w:val="left"/>
        <w:rPr/>
      </w:pPr>
      <w:r>
        <w:rPr>
          <w:rStyle w:val="Style8"/>
          <w:rFonts w:eastAsia="Calibri"/>
          <w:b w:val="false"/>
          <w:bCs/>
          <w:i w:val="false"/>
          <w:iCs w:val="false"/>
          <w:sz w:val="24"/>
          <w:szCs w:val="24"/>
          <w:shd w:fill="auto" w:val="clear"/>
          <w:lang w:eastAsia="x-none"/>
        </w:rPr>
        <w:t>«ОКПД2 08.92.10.113 Поставка торфа для нужд Загорского строительного участка Центрального филиала АО "ТК РусГидро»</w:t>
      </w:r>
    </w:p>
    <w:p>
      <w:pPr>
        <w:pStyle w:val="Heading4"/>
        <w:numPr>
          <w:ilvl w:val="1"/>
          <w:numId w:val="3"/>
        </w:numPr>
        <w:ind w:hanging="0" w:left="432"/>
        <w:rPr>
          <w:sz w:val="24"/>
          <w:szCs w:val="24"/>
        </w:rPr>
      </w:pPr>
      <w:bookmarkStart w:id="3" w:name="_Toc46743507"/>
      <w:r>
        <w:rPr>
          <w:sz w:val="24"/>
          <w:szCs w:val="24"/>
        </w:rPr>
        <w:t xml:space="preserve">Цель </w:t>
      </w:r>
      <w:bookmarkEnd w:id="3"/>
      <w:r>
        <w:rPr>
          <w:sz w:val="24"/>
          <w:szCs w:val="24"/>
        </w:rPr>
        <w:t xml:space="preserve">использования закупаемой продукции </w:t>
      </w:r>
    </w:p>
    <w:p>
      <w:pPr>
        <w:pStyle w:val="Normal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rStyle w:val="Style8"/>
          <w:b w:val="false"/>
          <w:i w:val="false"/>
          <w:sz w:val="24"/>
          <w:szCs w:val="24"/>
          <w:shd w:fill="auto" w:val="clear"/>
        </w:rPr>
        <w:t>Торф для приготовления растительного грунта для нужд Загорского строительного участка.</w:t>
      </w:r>
    </w:p>
    <w:p>
      <w:pPr>
        <w:pStyle w:val="Heading4"/>
        <w:numPr>
          <w:ilvl w:val="1"/>
          <w:numId w:val="3"/>
        </w:numPr>
        <w:ind w:hanging="0" w:left="0"/>
        <w:rPr/>
      </w:pPr>
      <w:bookmarkStart w:id="4" w:name="_Toc46743509"/>
      <w:bookmarkStart w:id="5" w:name="_Hlk49857604"/>
      <w:r>
        <w:rPr/>
        <w:t xml:space="preserve">Информация в отношении исполнения договора, </w:t>
      </w:r>
      <w:bookmarkStart w:id="6" w:name="_Hlk46492347"/>
      <w:r>
        <w:rPr/>
        <w:t xml:space="preserve">которая должна быть учтена при подготовке заявки </w:t>
      </w:r>
      <w:bookmarkEnd w:id="6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4"/>
      <w:bookmarkEnd w:id="5"/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1.4.1 Товар должен соответствовать требованиям, установленным настоящими Техническими требованиями(далее ТТ)</w:t>
      </w:r>
    </w:p>
    <w:p>
      <w:pPr>
        <w:pStyle w:val="Heading4"/>
        <w:numPr>
          <w:ilvl w:val="1"/>
          <w:numId w:val="3"/>
        </w:numPr>
        <w:ind w:hanging="0" w:left="432"/>
        <w:rPr>
          <w:sz w:val="24"/>
          <w:szCs w:val="24"/>
        </w:rPr>
      </w:pPr>
      <w:bookmarkStart w:id="7" w:name="_Hlk48209761"/>
      <w:bookmarkEnd w:id="7"/>
      <w:r>
        <w:rPr>
          <w:sz w:val="24"/>
          <w:szCs w:val="24"/>
        </w:rPr>
        <w:t>Иные требования и сведения общего характера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1.5.1 Поставляемый Товар должен быть новым, не бывшим ранее в употреблении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1.5.2 Приёмка Товара осуществляется в рабочие дни, в нерабочие дни по согласованию с Покупателем. Место поставки обладает возможностью для подъезда, маневрирования и разгрузки товара автотранспортом с самосвальным полуприцепом типа «ТОНАР».</w:t>
      </w:r>
    </w:p>
    <w:p>
      <w:pPr>
        <w:pStyle w:val="Heading1"/>
        <w:numPr>
          <w:ilvl w:val="0"/>
          <w:numId w:val="3"/>
        </w:numPr>
        <w:ind w:hanging="0" w:left="0"/>
        <w:rPr>
          <w:caps/>
          <w:lang w:val="ru-RU"/>
        </w:rPr>
      </w:pPr>
      <w:bookmarkStart w:id="8" w:name="_Toc51339693"/>
      <w:bookmarkStart w:id="9" w:name="_Toc124170681"/>
      <w:bookmarkStart w:id="10" w:name="_Toc194593945"/>
      <w:r>
        <w:rPr/>
        <w:t>Требования к продукции</w:t>
      </w:r>
      <w:bookmarkEnd w:id="8"/>
      <w:bookmarkEnd w:id="9"/>
      <w:bookmarkEnd w:id="10"/>
    </w:p>
    <w:p>
      <w:pPr>
        <w:pStyle w:val="Heading4"/>
        <w:numPr>
          <w:ilvl w:val="1"/>
          <w:numId w:val="3"/>
        </w:numPr>
        <w:ind w:hanging="0" w:left="432"/>
        <w:rPr>
          <w:sz w:val="24"/>
          <w:szCs w:val="24"/>
        </w:rPr>
      </w:pPr>
      <w:r>
        <w:rPr>
          <w:sz w:val="24"/>
          <w:szCs w:val="24"/>
        </w:rPr>
        <w:t xml:space="preserve">Требования к объемам и срокам </w:t>
      </w:r>
      <w:r>
        <w:rPr>
          <w:sz w:val="24"/>
          <w:szCs w:val="24"/>
          <w:lang w:val="ru-RU"/>
        </w:rPr>
        <w:t>поставки</w:t>
      </w:r>
    </w:p>
    <w:p>
      <w:pPr>
        <w:pStyle w:val="Heading3"/>
        <w:numPr>
          <w:ilvl w:val="2"/>
          <w:numId w:val="3"/>
        </w:numPr>
        <w:ind w:hanging="0" w:left="0"/>
        <w:rPr>
          <w:sz w:val="24"/>
          <w:szCs w:val="24"/>
        </w:rPr>
      </w:pPr>
      <w:bookmarkStart w:id="11" w:name="_Toc194593946"/>
      <w:r>
        <w:rPr>
          <w:sz w:val="24"/>
          <w:szCs w:val="24"/>
        </w:rPr>
        <w:t>Перечень и объем закупаемой продукции</w:t>
      </w:r>
      <w:bookmarkEnd w:id="11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bookmarkStart w:id="12" w:name="_Toc194593947"/>
      <w:bookmarkStart w:id="13" w:name="_Toc51339695"/>
      <w:r>
        <w:rPr>
          <w:sz w:val="24"/>
          <w:szCs w:val="24"/>
        </w:rPr>
        <w:t xml:space="preserve">Таблица 1. Перечень </w:t>
      </w:r>
      <w:bookmarkEnd w:id="13"/>
      <w:r>
        <w:rPr>
          <w:sz w:val="24"/>
          <w:szCs w:val="24"/>
        </w:rPr>
        <w:t>и объем закупаемой продукции</w:t>
      </w:r>
      <w:bookmarkEnd w:id="12"/>
    </w:p>
    <w:tbl>
      <w:tblPr>
        <w:tblW w:w="10490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233"/>
        <w:gridCol w:w="4297"/>
        <w:gridCol w:w="1274"/>
        <w:gridCol w:w="3685"/>
      </w:tblGrid>
      <w:tr>
        <w:trPr>
          <w:tblHeader w:val="true"/>
          <w:trHeight w:val="617" w:hRule="atLeast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  <w:r>
              <w:rPr>
                <w:b/>
                <w:bCs/>
                <w:sz w:val="24"/>
                <w:szCs w:val="24"/>
              </w:rPr>
              <w:t>*</w:t>
            </w:r>
          </w:p>
        </w:tc>
      </w:tr>
      <w:tr>
        <w:trPr>
          <w:trHeight w:val="450" w:hRule="atLeast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/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2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center"/>
              <w:rPr/>
            </w:pPr>
            <w:r>
              <w:rPr>
                <w:rFonts w:eastAsia="Calibri"/>
                <w:sz w:val="24"/>
                <w:szCs w:val="24"/>
              </w:rPr>
              <w:t>Торф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м3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>21000</w:t>
            </w:r>
          </w:p>
        </w:tc>
      </w:tr>
    </w:tbl>
    <w:p>
      <w:pPr>
        <w:pStyle w:val="Heading3"/>
        <w:keepNext w:val="true"/>
        <w:widowControl/>
        <w:numPr>
          <w:ilvl w:val="0"/>
          <w:numId w:val="0"/>
        </w:numPr>
        <w:suppressAutoHyphens w:val="true"/>
        <w:bidi w:val="0"/>
        <w:spacing w:before="120" w:after="60"/>
        <w:ind w:hanging="0" w:left="0"/>
        <w:jc w:val="left"/>
        <w:rPr>
          <w:rFonts w:ascii="Times New Roman" w:hAnsi="Times New Roman" w:eastAsia="Calibri" w:cs="Times New Roman"/>
          <w:b w:val="false"/>
          <w:bCs w:val="false"/>
          <w:color w:val="auto"/>
          <w:kern w:val="0"/>
          <w:lang w:val="x-none" w:eastAsia="x-none" w:bidi="ar-SA"/>
        </w:rPr>
      </w:pPr>
      <w:r>
        <w:rPr>
          <w:rFonts w:eastAsia="Calibri" w:cs="Times New Roman"/>
          <w:b w:val="false"/>
          <w:bCs w:val="false"/>
          <w:color w:val="auto"/>
          <w:kern w:val="0"/>
          <w:lang w:val="x-none" w:eastAsia="x-none" w:bidi="ar-SA"/>
        </w:rPr>
        <w:t>* Объем продукции является ориентировочным, и Заказчик не несет ответственность за неполную выборку продукции на общую сумму договора. </w:t>
      </w:r>
    </w:p>
    <w:p>
      <w:pPr>
        <w:pStyle w:val="Heading3"/>
        <w:keepNext w:val="true"/>
        <w:widowControl/>
        <w:numPr>
          <w:ilvl w:val="2"/>
          <w:numId w:val="3"/>
        </w:numPr>
        <w:suppressAutoHyphens w:val="true"/>
        <w:bidi w:val="0"/>
        <w:spacing w:before="120" w:after="60"/>
        <w:ind w:hanging="0" w:left="0"/>
        <w:jc w:val="left"/>
        <w:rPr>
          <w:rFonts w:ascii="Times New Roman" w:hAnsi="Times New Roman" w:eastAsia="Calibri" w:cs="Times New Roman"/>
          <w:b/>
          <w:color w:val="auto"/>
          <w:kern w:val="0"/>
          <w:lang w:val="x-none" w:eastAsia="x-none" w:bidi="ar-SA"/>
        </w:rPr>
      </w:pPr>
      <w:bookmarkStart w:id="14" w:name="_Toc194593948"/>
      <w:bookmarkStart w:id="15" w:name="_Toc51339696"/>
      <w:r>
        <w:rPr>
          <w:rFonts w:eastAsia="Calibri" w:cs="Times New Roman"/>
          <w:b/>
          <w:color w:val="auto"/>
          <w:kern w:val="0"/>
          <w:lang w:val="x-none" w:eastAsia="x-none" w:bidi="ar-SA"/>
        </w:rPr>
        <w:t xml:space="preserve">Требования </w:t>
      </w:r>
      <w:bookmarkEnd w:id="15"/>
      <w:r>
        <w:rPr>
          <w:rFonts w:eastAsia="Calibri" w:cs="Times New Roman"/>
          <w:b/>
          <w:color w:val="auto"/>
          <w:kern w:val="0"/>
          <w:lang w:val="x-none" w:eastAsia="x-none" w:bidi="ar-SA"/>
        </w:rPr>
        <w:t>к срокам поставки продукции и оказания сопутствующих услуг</w:t>
      </w:r>
      <w:bookmarkEnd w:id="14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  <w:lang w:val="ru-RU"/>
        </w:rPr>
      </w:pPr>
      <w:bookmarkStart w:id="16" w:name="_Toc194593949"/>
      <w:bookmarkStart w:id="17" w:name="_Toc50125127"/>
      <w:bookmarkStart w:id="18" w:name="_Toc51339697"/>
      <w:bookmarkStart w:id="19" w:name="_Toc50125126"/>
      <w:bookmarkEnd w:id="1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Start w:id="20" w:name="_Hlk50465284"/>
      <w:r>
        <w:rPr>
          <w:sz w:val="24"/>
          <w:szCs w:val="24"/>
        </w:rPr>
        <w:t xml:space="preserve">Требования по срокам </w:t>
      </w:r>
      <w:bookmarkEnd w:id="17"/>
      <w:bookmarkEnd w:id="18"/>
      <w:bookmarkEnd w:id="20"/>
      <w:r>
        <w:rPr>
          <w:sz w:val="24"/>
          <w:szCs w:val="24"/>
          <w:lang w:val="ru-RU"/>
        </w:rPr>
        <w:t>поставки продукции</w:t>
      </w:r>
      <w:bookmarkEnd w:id="16"/>
      <w:r>
        <w:rPr>
          <w:sz w:val="24"/>
          <w:szCs w:val="24"/>
          <w:lang w:val="ru-RU"/>
        </w:rPr>
        <w:t xml:space="preserve"> </w:t>
      </w:r>
    </w:p>
    <w:tbl>
      <w:tblPr>
        <w:tblW w:w="10267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61"/>
        <w:gridCol w:w="3123"/>
        <w:gridCol w:w="2619"/>
        <w:gridCol w:w="3463"/>
      </w:tblGrid>
      <w:tr>
        <w:trPr/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 / партии продукции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x-none"/>
              </w:rPr>
              <w:t>Срок поставки п</w:t>
            </w:r>
            <w:bookmarkStart w:id="21" w:name="_GoBack_Копия_1_Копия_1"/>
            <w:bookmarkEnd w:id="21"/>
            <w:r>
              <w:rPr>
                <w:rFonts w:eastAsia="Calibri"/>
                <w:sz w:val="22"/>
                <w:szCs w:val="22"/>
                <w:lang w:eastAsia="x-none"/>
              </w:rPr>
              <w:t>о заявке</w:t>
            </w:r>
          </w:p>
          <w:p>
            <w:pPr>
              <w:pStyle w:val="Normal"/>
              <w:keepNext w:val="true"/>
              <w:keepLines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ОКПД2 08.92.10.113 Поставка торфа для нужд Загорского строительного участка Центрального филиала АО "ТК РусГидро»</w:t>
            </w:r>
          </w:p>
        </w:tc>
        <w:tc>
          <w:tcPr>
            <w:tcW w:w="2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bookmarkStart w:id="22" w:name="_GoBack"/>
            <w:bookmarkEnd w:id="22"/>
            <w:r>
              <w:rPr>
                <w:sz w:val="22"/>
                <w:szCs w:val="22"/>
              </w:rPr>
              <w:t xml:space="preserve">С даты направления заявки Поставщику </w:t>
            </w:r>
          </w:p>
        </w:tc>
        <w:tc>
          <w:tcPr>
            <w:tcW w:w="34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позднее  5 (пяти) календарных дней </w:t>
            </w:r>
          </w:p>
        </w:tc>
      </w:tr>
      <w:tr>
        <w:trPr/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trike w:val="false"/>
                <w:dstrike w:val="false"/>
                <w:highlight w:val="none"/>
                <w:shd w:fill="auto" w:val="clear"/>
              </w:rPr>
            </w:pPr>
            <w:r>
              <w:rPr>
                <w:rFonts w:eastAsia="Calibri"/>
                <w:strike w:val="false"/>
                <w:dstrike w:val="false"/>
                <w:sz w:val="22"/>
                <w:szCs w:val="22"/>
                <w:shd w:fill="auto" w:val="clear"/>
                <w:lang w:eastAsia="x-none"/>
              </w:rPr>
              <w:t>Срок действия договора:</w:t>
            </w:r>
          </w:p>
          <w:p>
            <w:pPr>
              <w:pStyle w:val="Normal"/>
              <w:keepNext w:val="true"/>
              <w:keepLines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trike w:val="false"/>
                <w:dstrike w:val="false"/>
                <w:sz w:val="24"/>
                <w:szCs w:val="24"/>
                <w:shd w:fill="auto" w:val="clear"/>
              </w:rPr>
              <w:t>ОКПД2 08.92.10.113 Поставка торфа для нужд Загорского строительного участка Центрального филиала АО "ТК РусГидро»</w:t>
            </w:r>
          </w:p>
        </w:tc>
        <w:tc>
          <w:tcPr>
            <w:tcW w:w="2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trike w:val="false"/>
                <w:dstrike w:val="false"/>
                <w:highlight w:val="none"/>
                <w:shd w:fill="auto" w:val="clear"/>
              </w:rPr>
            </w:pPr>
            <w:r>
              <w:rPr>
                <w:strike w:val="false"/>
                <w:dstrike w:val="false"/>
                <w:sz w:val="22"/>
                <w:szCs w:val="22"/>
                <w:shd w:fill="auto" w:val="clear"/>
              </w:rPr>
              <w:t>С даты заключения  договора</w:t>
            </w:r>
          </w:p>
        </w:tc>
        <w:tc>
          <w:tcPr>
            <w:tcW w:w="34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trike w:val="false"/>
                <w:dstrike w:val="false"/>
                <w:highlight w:val="none"/>
                <w:shd w:fill="auto" w:val="clear"/>
              </w:rPr>
            </w:pPr>
            <w:r>
              <w:rPr>
                <w:strike w:val="false"/>
                <w:dstrike w:val="false"/>
                <w:sz w:val="22"/>
                <w:szCs w:val="22"/>
                <w:shd w:fill="auto" w:val="clear"/>
              </w:rPr>
              <w:t>В течение 12 (двенадцати) месяцев, либо до исчерпания предельной суммы по Договору.</w:t>
            </w:r>
          </w:p>
        </w:tc>
      </w:tr>
    </w:tbl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  <w:bookmarkStart w:id="23" w:name="_Toc46743510"/>
      <w:bookmarkStart w:id="24" w:name="_Toc46743510"/>
      <w:bookmarkEnd w:id="24"/>
    </w:p>
    <w:p>
      <w:pPr>
        <w:pStyle w:val="Heading4"/>
        <w:numPr>
          <w:ilvl w:val="1"/>
          <w:numId w:val="3"/>
        </w:numPr>
        <w:ind w:hanging="0" w:left="432"/>
        <w:rPr>
          <w:sz w:val="24"/>
          <w:szCs w:val="24"/>
        </w:rPr>
      </w:pPr>
      <w:bookmarkStart w:id="25" w:name="_Toc51339698"/>
      <w:bookmarkStart w:id="26" w:name="_Toc46743511"/>
      <w:r>
        <w:rPr>
          <w:sz w:val="24"/>
          <w:szCs w:val="24"/>
        </w:rPr>
        <w:t xml:space="preserve">Требования к </w:t>
      </w:r>
      <w:bookmarkEnd w:id="26"/>
      <w:r>
        <w:rPr>
          <w:sz w:val="24"/>
          <w:szCs w:val="24"/>
        </w:rPr>
        <w:t>качеству продукции</w:t>
      </w:r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r>
        <w:rPr/>
        <w:t xml:space="preserve"> </w:t>
      </w:r>
      <w:bookmarkStart w:id="27" w:name="_Toc194593950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7"/>
      <w:r>
        <w:rPr>
          <w:sz w:val="24"/>
          <w:szCs w:val="24"/>
        </w:rPr>
        <w:t xml:space="preserve"> </w:t>
      </w:r>
      <w:bookmarkEnd w:id="25"/>
    </w:p>
    <w:p>
      <w:pPr>
        <w:pStyle w:val="Normal"/>
        <w:widowControl w:val="false"/>
        <w:jc w:val="left"/>
        <w:rPr>
          <w:sz w:val="22"/>
          <w:szCs w:val="22"/>
        </w:rPr>
      </w:pPr>
      <w:r>
        <w:rPr>
          <w:rStyle w:val="Style8"/>
          <w:rFonts w:eastAsia="Calibri"/>
          <w:b/>
          <w:bCs/>
          <w:sz w:val="22"/>
          <w:szCs w:val="22"/>
          <w:shd w:fill="auto" w:val="clear"/>
          <w:lang w:val="x-none" w:eastAsia="x-none"/>
        </w:rPr>
        <w:t>Наименование услуг/этапа услуг (позиция №1 Таблицы 1.1.)</w:t>
      </w:r>
      <w:r>
        <w:rPr>
          <w:rStyle w:val="Style8"/>
          <w:rFonts w:eastAsia="Calibri"/>
          <w:bCs/>
          <w:sz w:val="22"/>
          <w:szCs w:val="22"/>
          <w:shd w:fill="auto" w:val="clear"/>
          <w:lang w:val="x-none" w:eastAsia="x-none"/>
        </w:rPr>
        <w:t xml:space="preserve"> </w:t>
      </w:r>
      <w:r>
        <w:rPr>
          <w:rStyle w:val="Style8"/>
          <w:rFonts w:eastAsia="Calibri"/>
          <w:bCs/>
          <w:sz w:val="24"/>
          <w:szCs w:val="24"/>
          <w:shd w:fill="auto" w:val="clear"/>
          <w:lang w:val="x-none" w:eastAsia="x-none"/>
        </w:rPr>
        <w:t>ОКПД2 08.92.10.113 Поставка торфа для нужд Загорского строительного участка Центрального филиала АО "ТК РусГидро»</w:t>
      </w:r>
    </w:p>
    <w:tbl>
      <w:tblPr>
        <w:tblStyle w:val="affff6"/>
        <w:tblW w:w="10333" w:type="dxa"/>
        <w:jc w:val="left"/>
        <w:tblInd w:w="-42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33"/>
        <w:gridCol w:w="3300"/>
        <w:gridCol w:w="2667"/>
        <w:gridCol w:w="1998"/>
        <w:gridCol w:w="1435"/>
      </w:tblGrid>
      <w:tr>
        <w:trPr/>
        <w:tc>
          <w:tcPr>
            <w:tcW w:w="93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330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66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343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93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30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66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998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4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3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6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998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4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596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998" w:type="dxa"/>
            <w:vMerge w:val="restart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2"/>
                <w:szCs w:val="22"/>
                <w:lang w:val="ru-RU" w:eastAsia="ru-RU" w:bidi="ar-SA"/>
              </w:rPr>
              <w:t>Участник должен поставить Товар, полностью соответствующий настоящим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2"/>
                <w:szCs w:val="22"/>
                <w:lang w:val="ru-RU" w:eastAsia="ru-RU" w:bidi="ar-SA"/>
              </w:rPr>
              <w:t>техническим требованиям</w:t>
            </w:r>
          </w:p>
        </w:tc>
        <w:tc>
          <w:tcPr>
            <w:tcW w:w="143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-</w:t>
            </w:r>
          </w:p>
        </w:tc>
      </w:tr>
      <w:tr>
        <w:trPr/>
        <w:tc>
          <w:tcPr>
            <w:tcW w:w="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1.1.</w:t>
            </w:r>
          </w:p>
        </w:tc>
        <w:tc>
          <w:tcPr>
            <w:tcW w:w="5967" w:type="dxa"/>
            <w:gridSpan w:val="2"/>
            <w:tcBorders/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i/>
                <w:kern w:val="0"/>
                <w:sz w:val="24"/>
                <w:szCs w:val="24"/>
                <w:lang w:val="ru-RU" w:eastAsia="ru-RU" w:bidi="ar-SA"/>
              </w:rPr>
              <w:t>Торф</w:t>
            </w:r>
            <w:r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</w:p>
        </w:tc>
        <w:tc>
          <w:tcPr>
            <w:tcW w:w="1998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1.1.1.</w:t>
            </w:r>
          </w:p>
        </w:tc>
        <w:tc>
          <w:tcPr>
            <w:tcW w:w="33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Соответствие стандартам </w:t>
            </w:r>
          </w:p>
        </w:tc>
        <w:tc>
          <w:tcPr>
            <w:tcW w:w="26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/>
                <w:kern w:val="0"/>
                <w:sz w:val="24"/>
                <w:szCs w:val="24"/>
                <w:lang w:val="ru-RU" w:eastAsia="ru-RU" w:bidi="ar-SA"/>
              </w:rPr>
              <w:t>ГОСТ Р 52067-2003</w:t>
            </w:r>
          </w:p>
        </w:tc>
        <w:tc>
          <w:tcPr>
            <w:tcW w:w="1998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1.1.2.</w:t>
            </w:r>
          </w:p>
        </w:tc>
        <w:tc>
          <w:tcPr>
            <w:tcW w:w="33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Массовая доля влаги, %</w:t>
            </w:r>
          </w:p>
        </w:tc>
        <w:tc>
          <w:tcPr>
            <w:tcW w:w="26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пределах от 50 до 60</w:t>
            </w:r>
          </w:p>
        </w:tc>
        <w:tc>
          <w:tcPr>
            <w:tcW w:w="1998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1.1.3.</w:t>
            </w:r>
          </w:p>
        </w:tc>
        <w:tc>
          <w:tcPr>
            <w:tcW w:w="33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Зольность, %</w:t>
            </w:r>
          </w:p>
        </w:tc>
        <w:tc>
          <w:tcPr>
            <w:tcW w:w="266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более 20</w:t>
            </w:r>
          </w:p>
        </w:tc>
        <w:tc>
          <w:tcPr>
            <w:tcW w:w="1998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1.1.4.</w:t>
            </w:r>
          </w:p>
        </w:tc>
        <w:tc>
          <w:tcPr>
            <w:tcW w:w="33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Кислотность солевой суспензии рН</w:t>
            </w:r>
          </w:p>
        </w:tc>
        <w:tc>
          <w:tcPr>
            <w:tcW w:w="266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пределах от 2,5 до 6</w:t>
            </w:r>
          </w:p>
        </w:tc>
        <w:tc>
          <w:tcPr>
            <w:tcW w:w="1998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1.1.5.</w:t>
            </w:r>
          </w:p>
        </w:tc>
        <w:tc>
          <w:tcPr>
            <w:tcW w:w="33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Засоренность (древесные включения размером свыше 25 мм.), %</w:t>
            </w:r>
          </w:p>
        </w:tc>
        <w:tc>
          <w:tcPr>
            <w:tcW w:w="266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более 8</w:t>
            </w:r>
          </w:p>
        </w:tc>
        <w:tc>
          <w:tcPr>
            <w:tcW w:w="1998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596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</w:t>
            </w:r>
          </w:p>
        </w:tc>
        <w:tc>
          <w:tcPr>
            <w:tcW w:w="1998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33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</w:tc>
        <w:tc>
          <w:tcPr>
            <w:tcW w:w="2667" w:type="dxa"/>
            <w:tcBorders/>
            <w:vAlign w:val="center"/>
          </w:tcPr>
          <w:p>
            <w:pPr>
              <w:pStyle w:val="Style51"/>
              <w:widowControl w:val="false"/>
              <w:tabs>
                <w:tab w:val="clear" w:pos="708"/>
                <w:tab w:val="left" w:pos="6710" w:leader="none"/>
              </w:tabs>
              <w:spacing w:lineRule="auto" w:line="240" w:before="62" w:after="0"/>
              <w:jc w:val="left"/>
              <w:rPr/>
            </w:pPr>
            <w:r>
              <w:rPr>
                <w:rStyle w:val="FontStyle20"/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Московская область, Сергиево-Посадский г.о., пгт. Богородское</w:t>
            </w:r>
          </w:p>
        </w:tc>
        <w:tc>
          <w:tcPr>
            <w:tcW w:w="1998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33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Минимальный объем поставки в сутки, м3</w:t>
            </w:r>
          </w:p>
        </w:tc>
        <w:tc>
          <w:tcPr>
            <w:tcW w:w="2667" w:type="dxa"/>
            <w:tcBorders>
              <w:top w:val="nil"/>
            </w:tcBorders>
            <w:vAlign w:val="center"/>
          </w:tcPr>
          <w:p>
            <w:pPr>
              <w:pStyle w:val="Style51"/>
              <w:widowControl w:val="false"/>
              <w:tabs>
                <w:tab w:val="clear" w:pos="708"/>
                <w:tab w:val="left" w:pos="6710" w:leader="none"/>
              </w:tabs>
              <w:spacing w:lineRule="auto" w:line="240" w:before="62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500</w:t>
            </w:r>
          </w:p>
        </w:tc>
        <w:tc>
          <w:tcPr>
            <w:tcW w:w="1998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2.3.</w:t>
            </w:r>
          </w:p>
        </w:tc>
        <w:tc>
          <w:tcPr>
            <w:tcW w:w="33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 и испытания</w:t>
            </w:r>
          </w:p>
        </w:tc>
        <w:tc>
          <w:tcPr>
            <w:tcW w:w="26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приёмке Товара в обязательном порядке силами Покупателя с привлечением специализированной лаборатории производится контрольная проверка качества (входной контроль) принимаемой партии Товара на соответствие предоставляемому паспорту качества</w:t>
            </w:r>
          </w:p>
        </w:tc>
        <w:tc>
          <w:tcPr>
            <w:tcW w:w="1998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596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998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33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Состав пакета документов, передаваемых вместе с товаром</w:t>
            </w:r>
          </w:p>
        </w:tc>
        <w:tc>
          <w:tcPr>
            <w:tcW w:w="26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 качества;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-сертификат;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товарно-транспортная накладная;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-результат радиационно-гигиенической оценки поставляемой продукции. </w:t>
            </w:r>
          </w:p>
        </w:tc>
        <w:tc>
          <w:tcPr>
            <w:tcW w:w="1998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Heading1"/>
        <w:numPr>
          <w:ilvl w:val="0"/>
          <w:numId w:val="3"/>
        </w:numPr>
        <w:ind w:hanging="0" w:left="0"/>
        <w:rPr>
          <w:sz w:val="24"/>
          <w:szCs w:val="24"/>
        </w:rPr>
      </w:pPr>
      <w:bookmarkStart w:id="28" w:name="_Toc194593951"/>
      <w:r>
        <w:rPr>
          <w:sz w:val="24"/>
          <w:szCs w:val="24"/>
        </w:rPr>
        <w:t>Требования к документации по ценообразованию на этапе закупки</w:t>
      </w:r>
      <w:bookmarkEnd w:id="28"/>
    </w:p>
    <w:p>
      <w:pPr>
        <w:pStyle w:val="Heading4"/>
        <w:numPr>
          <w:ilvl w:val="0"/>
        </w:numPr>
        <w:tabs>
          <w:tab w:val="clear" w:pos="0"/>
        </w:tabs>
        <w:ind w:hanging="0" w:left="432"/>
        <w:jc w:val="both"/>
        <w:rPr>
          <w:sz w:val="24"/>
          <w:szCs w:val="24"/>
        </w:rPr>
      </w:pPr>
      <w:r>
        <w:rPr>
          <w:b w:val="false"/>
          <w:sz w:val="24"/>
          <w:szCs w:val="24"/>
        </w:rPr>
        <w:t>3.1. В обоснование стоимости своей заявки Участник предоставляет Коммерческое предложение .</w:t>
      </w:r>
    </w:p>
    <w:p>
      <w:pPr>
        <w:pStyle w:val="Normal"/>
        <w:tabs>
          <w:tab w:val="clear" w:pos="708"/>
        </w:tabs>
        <w:ind w:hanging="0" w:left="432"/>
        <w:jc w:val="both"/>
        <w:rPr>
          <w:highlight w:val="none"/>
          <w:shd w:fill="auto" w:val="clear"/>
        </w:rPr>
      </w:pPr>
      <w:r>
        <w:rPr>
          <w:b w:val="false"/>
          <w:sz w:val="24"/>
          <w:szCs w:val="24"/>
          <w:shd w:fill="auto" w:val="clear"/>
        </w:rPr>
        <w:t>3.2. Дополнительные документы по ценообразованию в состав заявки не включаются.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 w:val="false"/>
          <w:strike w:val="false"/>
          <w:dstrike w:val="false"/>
          <w:color w:val="000000"/>
          <w:sz w:val="24"/>
          <w:szCs w:val="24"/>
          <w:shd w:fill="auto" w:val="clear"/>
        </w:rPr>
        <w:t xml:space="preserve">    </w:t>
      </w:r>
      <w:r>
        <w:rPr>
          <w:b w:val="false"/>
          <w:strike w:val="false"/>
          <w:dstrike w:val="false"/>
          <w:color w:val="000000"/>
          <w:sz w:val="24"/>
          <w:szCs w:val="24"/>
          <w:shd w:fill="auto" w:val="clear"/>
        </w:rPr>
        <w:t>3.3. Стоимость за единицу продукции (товара) должна включать в себя транспортировку товара до места поставки, погрузку, разгрузку, подлежащие уплате налоги, сборы и пошлины и прочие затраты и расходы поставщика, связанные с поставкой товара, предусмотренные Проектом договора (Приложение №2).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trike w:val="false"/>
          <w:dstrike w:val="false"/>
          <w:sz w:val="24"/>
          <w:szCs w:val="24"/>
        </w:rPr>
      </w:pPr>
      <w:r>
        <w:rPr>
          <w:strike w:val="false"/>
          <w:dstrike w:val="false"/>
          <w:sz w:val="24"/>
          <w:szCs w:val="24"/>
        </w:rPr>
        <w:t>Начальник ЗСУ _____________________________А.Ю. Козлов</w:t>
      </w:r>
    </w:p>
    <w:sectPr>
      <w:headerReference w:type="even" r:id="rId2"/>
      <w:headerReference w:type="default" r:id="rId3"/>
      <w:headerReference w:type="first" r:id="rId4"/>
      <w:footerReference w:type="default" r:id="rId5"/>
      <w:type w:val="nextPage"/>
      <w:pgSz w:w="11906" w:h="16838"/>
      <w:pgMar w:left="1134" w:right="851" w:gutter="0" w:header="680" w:top="1134" w:footer="992" w:bottom="1597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308764DD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308764DD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763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ind w:hanging="0" w:left="5038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d91cfb"/>
    <w:pPr>
      <w:keepNext w:val="true"/>
      <w:numPr>
        <w:ilvl w:val="2"/>
        <w:numId w:val="3"/>
      </w:numPr>
      <w:spacing w:before="120" w:after="60"/>
      <w:ind w:hanging="0" w:left="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0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d91cfb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FontStyle20">
    <w:name w:val="Font Style20"/>
    <w:qFormat/>
    <w:rPr>
      <w:rFonts w:ascii="Cambria" w:hAnsi="Cambria" w:cs="Cambria"/>
      <w:sz w:val="20"/>
      <w:szCs w:val="20"/>
    </w:rPr>
  </w:style>
  <w:style w:type="character" w:styleId="FontStyle19">
    <w:name w:val="Font Style19"/>
    <w:qFormat/>
    <w:rPr>
      <w:rFonts w:ascii="Cambria" w:hAnsi="Cambria" w:cs="Cambria"/>
      <w:sz w:val="20"/>
      <w:szCs w:val="20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262d5f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[РГ] Текст"/>
    <w:basedOn w:val="Normal"/>
    <w:qFormat/>
    <w:rsid w:val="00ff3463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paragraph" w:styleId="Style37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Style51">
    <w:name w:val="Style5"/>
    <w:basedOn w:val="Normal"/>
    <w:qFormat/>
    <w:pPr>
      <w:spacing w:lineRule="exact" w:line="266"/>
      <w:jc w:val="both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6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0268D-0FB7-42FE-B68F-178727C29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Application>AlterOffice/2026.2.0.0$Linux_X86_64 LibreOffice_project/bc4ef1adf80b36c7a6365f8ed6cbf29021361edd</Application>
  <AppVersion>15.0000</AppVersion>
  <Pages>5</Pages>
  <Words>676</Words>
  <Characters>4553</Characters>
  <CharactersWithSpaces>5117</CharactersWithSpaces>
  <Paragraphs>125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2023-08-01T16:10:00Z</dcterms:created>
  <dc:creator>Быстров Олег Геннадьевич</dc:creator>
  <dc:description/>
  <dc:language>ru-RU</dc:language>
  <cp:lastModifiedBy>kononenkoev@corp.gidroogk.com</cp:lastModifiedBy>
  <cp:lastPrinted>2026-02-02T10:23:34Z</cp:lastPrinted>
  <dcterms:modified xsi:type="dcterms:W3CDTF">2026-10-21T13:42:41Z</dcterms:modified>
  <cp:revision>120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