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5.xml" ContentType="application/vnd.openxmlformats-officedocument.wordprocessingml.header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bookmarkStart w:id="0" w:name="_Toc1375545841"/>
      <w:bookmarkStart w:id="1" w:name="_Toc1416967041"/>
      <w:bookmarkStart w:id="2" w:name="_Toc1398562871"/>
      <w:bookmarkStart w:id="3" w:name="_Toc1375545841"/>
      <w:bookmarkStart w:id="4" w:name="_Toc1416967041"/>
      <w:bookmarkStart w:id="5" w:name="_Toc1398562871"/>
      <w:bookmarkEnd w:id="3"/>
      <w:bookmarkEnd w:id="4"/>
      <w:bookmarkEnd w:id="5"/>
    </w:p>
    <w:p>
      <w:pPr>
        <w:pStyle w:val="Normal"/>
        <w:keepNext w:val="true"/>
        <w:keepLines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i w:val="false"/>
          <w:i w:val="false"/>
          <w:iCs w:val="false"/>
          <w:sz w:val="24"/>
          <w:szCs w:val="24"/>
        </w:rPr>
      </w:pPr>
      <w:r>
        <w:rPr>
          <w:rFonts w:eastAsia="Calibri"/>
          <w:b/>
          <w:i w:val="false"/>
          <w:iCs w:val="false"/>
          <w:sz w:val="24"/>
          <w:szCs w:val="24"/>
        </w:rPr>
        <w:t>Технические требования</w:t>
      </w:r>
    </w:p>
    <w:p>
      <w:pPr>
        <w:pStyle w:val="Normal"/>
        <w:keepNext w:val="true"/>
        <w:keepLines/>
        <w:jc w:val="center"/>
        <w:rPr>
          <w:rFonts w:eastAsia="Calibri"/>
          <w:b/>
          <w:i w:val="false"/>
          <w:i w:val="false"/>
          <w:iCs w:val="false"/>
          <w:sz w:val="24"/>
          <w:szCs w:val="24"/>
        </w:rPr>
      </w:pPr>
      <w:r>
        <w:rPr>
          <w:rFonts w:eastAsia="Calibri"/>
          <w:b/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 w:val="false"/>
          <w:i w:val="false"/>
          <w:iCs w:val="false"/>
          <w:sz w:val="24"/>
          <w:szCs w:val="24"/>
        </w:rPr>
      </w:pPr>
      <w:r>
        <w:rPr>
          <w:rFonts w:eastAsia="Calibri"/>
          <w:b/>
          <w:i w:val="false"/>
          <w:iCs w:val="false"/>
          <w:sz w:val="24"/>
          <w:szCs w:val="24"/>
        </w:rPr>
      </w:r>
    </w:p>
    <w:p>
      <w:pPr>
        <w:pStyle w:val="Normal"/>
        <w:jc w:val="center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color w:val="1A1A1A"/>
          <w:sz w:val="24"/>
          <w:szCs w:val="24"/>
        </w:rPr>
        <w:t>ОКПД2 26.30.50.</w:t>
      </w:r>
      <w:r>
        <w:rPr>
          <w:i w:val="false"/>
          <w:iCs w:val="false"/>
          <w:color w:val="1A1A1A"/>
          <w:sz w:val="24"/>
          <w:szCs w:val="24"/>
        </w:rPr>
        <w:t>181</w:t>
      </w:r>
      <w:r>
        <w:rPr>
          <w:i w:val="false"/>
          <w:iCs w:val="false"/>
          <w:color w:val="1A1A1A"/>
          <w:sz w:val="24"/>
          <w:szCs w:val="24"/>
        </w:rPr>
        <w:t xml:space="preserve">  </w:t>
      </w:r>
      <w:r>
        <w:rPr>
          <w:i w:val="false"/>
          <w:iCs w:val="false"/>
          <w:color w:val="1A1A1A"/>
          <w:sz w:val="24"/>
          <w:szCs w:val="24"/>
        </w:rPr>
        <w:t xml:space="preserve">Поставка сетевого </w:t>
      </w:r>
      <w:r>
        <w:rPr>
          <w:i w:val="false"/>
          <w:iCs w:val="false"/>
          <w:color w:val="1A1A1A"/>
          <w:sz w:val="24"/>
          <w:szCs w:val="24"/>
          <w:shd w:fill="auto" w:val="clear"/>
        </w:rPr>
        <w:t>контроллер</w:t>
      </w:r>
      <w:r>
        <w:rPr>
          <w:i w:val="false"/>
          <w:iCs w:val="false"/>
          <w:color w:val="1A1A1A"/>
          <w:sz w:val="24"/>
          <w:szCs w:val="24"/>
          <w:shd w:fill="auto" w:val="clear"/>
        </w:rPr>
        <w:t xml:space="preserve">а </w:t>
      </w:r>
      <w:r>
        <w:rPr>
          <w:i w:val="false"/>
          <w:iCs w:val="false"/>
          <w:color w:val="1A1A1A"/>
          <w:sz w:val="24"/>
          <w:szCs w:val="24"/>
          <w:shd w:fill="auto" w:val="clear"/>
        </w:rPr>
        <w:t>СКУД</w:t>
      </w:r>
      <w:r>
        <w:rPr>
          <w:i w:val="false"/>
          <w:iCs w:val="false"/>
          <w:sz w:val="24"/>
          <w:szCs w:val="24"/>
        </w:rPr>
        <w:t xml:space="preserve"> для нужд </w:t>
      </w:r>
      <w:r>
        <w:rPr>
          <w:i w:val="false"/>
          <w:iCs w:val="false"/>
          <w:color w:val="000000"/>
          <w:sz w:val="24"/>
          <w:szCs w:val="24"/>
        </w:rPr>
        <w:t xml:space="preserve">Нижегородского производственного участка Чебоксарского филиала </w:t>
      </w:r>
    </w:p>
    <w:p>
      <w:pPr>
        <w:pStyle w:val="Normal"/>
        <w:jc w:val="center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color w:val="000000"/>
          <w:sz w:val="24"/>
          <w:szCs w:val="24"/>
        </w:rPr>
        <w:t>АО «Гидроремонт ВКК» г. Новочебоксарск</w:t>
      </w:r>
    </w:p>
    <w:p>
      <w:pPr>
        <w:pStyle w:val="Normal"/>
        <w:jc w:val="center"/>
        <w:rPr>
          <w:i w:val="false"/>
          <w:i w:val="false"/>
          <w:iCs w:val="false"/>
          <w:color w:val="000000"/>
          <w:sz w:val="24"/>
          <w:szCs w:val="24"/>
        </w:rPr>
      </w:pPr>
      <w:r>
        <w:rPr>
          <w:i w:val="false"/>
          <w:iCs w:val="false"/>
          <w:color w:val="000000"/>
          <w:sz w:val="24"/>
          <w:szCs w:val="24"/>
        </w:rPr>
      </w:r>
    </w:p>
    <w:p>
      <w:pPr>
        <w:pStyle w:val="Normal"/>
        <w:jc w:val="center"/>
        <w:rPr>
          <w:i w:val="false"/>
          <w:i w:val="false"/>
          <w:iCs w:val="false"/>
          <w:sz w:val="24"/>
          <w:szCs w:val="24"/>
        </w:rPr>
      </w:pPr>
      <w:r>
        <w:rPr>
          <w:b/>
          <w:i w:val="false"/>
          <w:iCs w:val="false"/>
          <w:sz w:val="24"/>
          <w:szCs w:val="24"/>
        </w:rPr>
        <w:t>Лот №_______</w:t>
      </w:r>
    </w:p>
    <w:p>
      <w:pPr>
        <w:pStyle w:val="Normal"/>
        <w:keepNext w:val="true"/>
        <w:keepLines/>
        <w:jc w:val="center"/>
        <w:rPr>
          <w:rFonts w:eastAsia="Calibri"/>
          <w:b/>
          <w:i w:val="false"/>
          <w:i w:val="false"/>
          <w:iCs w:val="false"/>
          <w:sz w:val="24"/>
          <w:szCs w:val="24"/>
        </w:rPr>
      </w:pPr>
      <w:r>
        <w:rPr>
          <w:rFonts w:eastAsia="Calibri"/>
          <w:b/>
          <w:i w:val="false"/>
          <w:iCs w:val="false"/>
          <w:sz w:val="24"/>
          <w:szCs w:val="24"/>
        </w:rPr>
      </w:r>
    </w:p>
    <w:p>
      <w:pPr>
        <w:pStyle w:val="Normal"/>
        <w:keepNext w:val="true"/>
        <w:keepLines/>
        <w:jc w:val="both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  <w:r>
        <w:br w:type="page"/>
      </w:r>
    </w:p>
    <w:p>
      <w:pPr>
        <w:pStyle w:val="Heading4"/>
        <w:numPr>
          <w:ilvl w:val="1"/>
          <w:numId w:val="4"/>
        </w:numPr>
        <w:rPr>
          <w:i w:val="false"/>
          <w:i w:val="false"/>
          <w:iCs w:val="false"/>
          <w:sz w:val="24"/>
          <w:szCs w:val="24"/>
        </w:rPr>
      </w:pPr>
      <w:bookmarkStart w:id="6" w:name="_Toc46743506"/>
      <w:bookmarkStart w:id="7" w:name="_Toc75446568"/>
      <w:r>
        <w:rPr>
          <w:i w:val="false"/>
          <w:iCs w:val="false"/>
          <w:sz w:val="24"/>
          <w:szCs w:val="24"/>
        </w:rPr>
        <w:t>Наименование закупаемой продукции</w:t>
      </w:r>
      <w:bookmarkEnd w:id="6"/>
      <w:bookmarkEnd w:id="7"/>
    </w:p>
    <w:p>
      <w:pPr>
        <w:pStyle w:val="Normal"/>
        <w:jc w:val="both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color w:val="1A1A1A"/>
          <w:sz w:val="24"/>
          <w:szCs w:val="24"/>
        </w:rPr>
        <w:t>ОКПД2 26.30.50.</w:t>
      </w:r>
      <w:r>
        <w:rPr>
          <w:i w:val="false"/>
          <w:iCs w:val="false"/>
          <w:color w:val="1A1A1A"/>
          <w:sz w:val="24"/>
          <w:szCs w:val="24"/>
        </w:rPr>
        <w:t xml:space="preserve">181 Поставка сетевого </w:t>
      </w:r>
      <w:r>
        <w:rPr>
          <w:i w:val="false"/>
          <w:iCs w:val="false"/>
          <w:color w:val="1A1A1A"/>
          <w:sz w:val="24"/>
          <w:szCs w:val="24"/>
          <w:shd w:fill="auto" w:val="clear"/>
        </w:rPr>
        <w:t>контроллер</w:t>
      </w:r>
      <w:r>
        <w:rPr>
          <w:i w:val="false"/>
          <w:iCs w:val="false"/>
          <w:color w:val="1A1A1A"/>
          <w:sz w:val="24"/>
          <w:szCs w:val="24"/>
          <w:shd w:fill="auto" w:val="clear"/>
        </w:rPr>
        <w:t xml:space="preserve">а </w:t>
      </w:r>
      <w:r>
        <w:rPr>
          <w:i w:val="false"/>
          <w:iCs w:val="false"/>
          <w:color w:val="1A1A1A"/>
          <w:sz w:val="24"/>
          <w:szCs w:val="24"/>
          <w:shd w:fill="auto" w:val="clear"/>
        </w:rPr>
        <w:t>СКУД</w:t>
      </w:r>
      <w:r>
        <w:rPr>
          <w:i w:val="false"/>
          <w:iCs w:val="false"/>
          <w:sz w:val="24"/>
          <w:szCs w:val="24"/>
        </w:rPr>
        <w:t xml:space="preserve"> для нужд </w:t>
      </w:r>
      <w:r>
        <w:rPr>
          <w:i w:val="false"/>
          <w:iCs w:val="false"/>
          <w:color w:val="000000"/>
          <w:sz w:val="24"/>
          <w:szCs w:val="24"/>
        </w:rPr>
        <w:t xml:space="preserve">Нижегородского производственного участка Чебоксарского филиала </w:t>
      </w:r>
      <w:r>
        <w:rPr>
          <w:rFonts w:eastAsia="Calibri"/>
          <w:i w:val="false"/>
          <w:iCs w:val="false"/>
          <w:color w:val="000000"/>
          <w:sz w:val="24"/>
          <w:szCs w:val="24"/>
          <w:lang w:eastAsia="x-none"/>
        </w:rPr>
        <w:t>АО «Гидроремонт ВКК» г. Новочебоксарск</w:t>
      </w:r>
    </w:p>
    <w:p>
      <w:pPr>
        <w:pStyle w:val="Heading4"/>
        <w:numPr>
          <w:ilvl w:val="1"/>
          <w:numId w:val="4"/>
        </w:numPr>
        <w:spacing w:before="240" w:after="60"/>
        <w:ind w:hanging="431" w:left="431"/>
        <w:rPr>
          <w:i w:val="false"/>
          <w:i w:val="false"/>
          <w:iCs w:val="false"/>
          <w:sz w:val="24"/>
          <w:szCs w:val="24"/>
        </w:rPr>
      </w:pPr>
      <w:bookmarkStart w:id="8" w:name="_Toc75446569"/>
      <w:bookmarkStart w:id="9" w:name="_Toc46743507"/>
      <w:r>
        <w:rPr>
          <w:i w:val="false"/>
          <w:iCs w:val="false"/>
          <w:sz w:val="24"/>
          <w:szCs w:val="24"/>
        </w:rPr>
        <w:t xml:space="preserve">Цель </w:t>
      </w:r>
      <w:bookmarkEnd w:id="9"/>
      <w:r>
        <w:rPr>
          <w:i w:val="false"/>
          <w:iCs w:val="false"/>
          <w:sz w:val="24"/>
          <w:szCs w:val="24"/>
          <w:lang w:val="ru-RU"/>
        </w:rPr>
        <w:t xml:space="preserve">использования закупаемой продукции </w:t>
      </w:r>
      <w:bookmarkEnd w:id="8"/>
    </w:p>
    <w:p>
      <w:pPr>
        <w:pStyle w:val="Normal"/>
        <w:jc w:val="both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  <w:shd w:fill="auto" w:val="clear"/>
          <w:lang w:eastAsia="x-none"/>
        </w:rPr>
        <w:t>Исполнение приказа №П-133 от 08.06.2026г «</w:t>
      </w:r>
      <w:r>
        <w:rPr>
          <w:rFonts w:cs="Times New Roman"/>
          <w:i w:val="false"/>
          <w:iCs w:val="false"/>
          <w:color w:val="000000"/>
          <w:sz w:val="24"/>
          <w:szCs w:val="24"/>
          <w:shd w:fill="auto" w:val="clear"/>
          <w:lang w:val="ru-RU" w:eastAsia="x-none"/>
        </w:rPr>
        <w:t xml:space="preserve">О реализации пилотного проекта по внедрению </w:t>
      </w:r>
      <w:r>
        <w:rPr>
          <w:rFonts w:cs="Times New Roman"/>
          <w:i w:val="false"/>
          <w:iCs w:val="false"/>
          <w:color w:val="000000"/>
          <w:sz w:val="24"/>
          <w:szCs w:val="24"/>
          <w:lang w:val="ru-RU"/>
        </w:rPr>
        <w:t xml:space="preserve">автономной системы контроля доступа </w:t>
      </w:r>
      <w:r>
        <w:rPr>
          <w:rFonts w:cs="Times New Roman"/>
          <w:i w:val="false"/>
          <w:iCs w:val="false"/>
          <w:color w:val="000000"/>
          <w:sz w:val="24"/>
          <w:szCs w:val="24"/>
          <w:lang w:val="ru-RU"/>
        </w:rPr>
        <w:t>(СКУД)</w:t>
      </w:r>
      <w:r>
        <w:rPr>
          <w:rFonts w:cs="Times New Roman"/>
          <w:i w:val="false"/>
          <w:iCs w:val="false"/>
          <w:color w:val="000000"/>
          <w:sz w:val="24"/>
          <w:szCs w:val="24"/>
          <w:lang w:val="ru-RU"/>
        </w:rPr>
        <w:t xml:space="preserve"> и электронного табеля учета рабочего времени </w:t>
      </w:r>
      <w:r>
        <w:rPr>
          <w:rFonts w:cs="Times New Roman"/>
          <w:i w:val="false"/>
          <w:iCs w:val="false"/>
          <w:color w:val="000000"/>
          <w:sz w:val="24"/>
          <w:szCs w:val="24"/>
          <w:lang w:val="ru-RU"/>
        </w:rPr>
        <w:t>(ЭТУРВ)</w:t>
      </w:r>
      <w:r>
        <w:rPr>
          <w:rFonts w:cs="Times New Roman"/>
          <w:i w:val="false"/>
          <w:iCs w:val="false"/>
          <w:color w:val="000000"/>
          <w:sz w:val="24"/>
          <w:szCs w:val="24"/>
          <w:lang w:val="ru-RU"/>
        </w:rPr>
        <w:t xml:space="preserve"> на объектах филиала ПАО «РусГидро» </w:t>
      </w:r>
      <w:r>
        <w:rPr>
          <w:rFonts w:cs="Times New Roman"/>
          <w:i w:val="false"/>
          <w:iCs w:val="false"/>
          <w:color w:val="000000"/>
          <w:sz w:val="24"/>
          <w:szCs w:val="24"/>
          <w:shd w:fill="auto" w:val="clear"/>
          <w:lang w:val="ru-RU" w:eastAsia="x-none"/>
        </w:rPr>
        <w:t xml:space="preserve">— «Нижегородская ГЭС». </w:t>
      </w:r>
    </w:p>
    <w:p>
      <w:pPr>
        <w:pStyle w:val="Heading1"/>
        <w:keepLines/>
        <w:numPr>
          <w:ilvl w:val="0"/>
          <w:numId w:val="4"/>
        </w:numPr>
        <w:ind w:hanging="357" w:left="357"/>
        <w:jc w:val="center"/>
        <w:rPr>
          <w:i w:val="false"/>
          <w:i w:val="false"/>
          <w:iCs w:val="false"/>
          <w:sz w:val="24"/>
          <w:szCs w:val="24"/>
        </w:rPr>
      </w:pPr>
      <w:bookmarkStart w:id="10" w:name="_Toc75446573"/>
      <w:bookmarkStart w:id="11" w:name="_Toc51339693"/>
      <w:bookmarkStart w:id="12" w:name="_Toc50125126"/>
      <w:bookmarkStart w:id="13" w:name="_Toc46743510"/>
      <w:bookmarkEnd w:id="12"/>
      <w:bookmarkEnd w:id="13"/>
      <w:r>
        <w:rPr>
          <w:i w:val="false"/>
          <w:iCs w:val="false"/>
          <w:sz w:val="24"/>
          <w:szCs w:val="24"/>
        </w:rPr>
        <w:t>Требования к продукции</w:t>
      </w:r>
      <w:bookmarkEnd w:id="10"/>
      <w:bookmarkEnd w:id="11"/>
    </w:p>
    <w:p>
      <w:pPr>
        <w:pStyle w:val="Heading4"/>
        <w:numPr>
          <w:ilvl w:val="1"/>
          <w:numId w:val="4"/>
        </w:numPr>
        <w:rPr>
          <w:i w:val="false"/>
          <w:i w:val="false"/>
          <w:iCs w:val="false"/>
          <w:sz w:val="24"/>
          <w:szCs w:val="24"/>
        </w:rPr>
      </w:pPr>
      <w:bookmarkStart w:id="14" w:name="_Toc75446574"/>
      <w:r>
        <w:rPr>
          <w:i w:val="false"/>
          <w:iCs w:val="false"/>
          <w:sz w:val="24"/>
          <w:szCs w:val="24"/>
        </w:rPr>
        <w:t xml:space="preserve">Требования к объемам и срокам </w:t>
      </w:r>
      <w:r>
        <w:rPr>
          <w:i w:val="false"/>
          <w:iCs w:val="false"/>
          <w:sz w:val="24"/>
          <w:szCs w:val="24"/>
          <w:lang w:val="ru-RU"/>
        </w:rPr>
        <w:t>поставки</w:t>
      </w:r>
      <w:bookmarkEnd w:id="14"/>
    </w:p>
    <w:p>
      <w:pPr>
        <w:pStyle w:val="Heading3"/>
        <w:numPr>
          <w:ilvl w:val="2"/>
          <w:numId w:val="4"/>
        </w:numPr>
        <w:rPr>
          <w:i w:val="false"/>
          <w:i w:val="false"/>
          <w:iCs w:val="false"/>
          <w:sz w:val="24"/>
          <w:szCs w:val="24"/>
        </w:rPr>
      </w:pPr>
      <w:bookmarkStart w:id="15" w:name="_Toc75446575"/>
      <w:r>
        <w:rPr>
          <w:i w:val="false"/>
          <w:iCs w:val="false"/>
          <w:sz w:val="24"/>
          <w:szCs w:val="24"/>
          <w:lang w:val="ru-RU"/>
        </w:rPr>
        <w:t>Перечень и объем закупаемой продукции</w:t>
      </w:r>
      <w:bookmarkEnd w:id="15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i w:val="false"/>
          <w:i w:val="false"/>
          <w:iCs w:val="false"/>
          <w:sz w:val="24"/>
          <w:szCs w:val="24"/>
        </w:rPr>
      </w:pPr>
      <w:bookmarkStart w:id="16" w:name="_Toc75446576"/>
      <w:bookmarkStart w:id="17" w:name="_Toc51339695"/>
      <w:r>
        <w:rPr>
          <w:i w:val="false"/>
          <w:iCs w:val="false"/>
          <w:sz w:val="24"/>
          <w:szCs w:val="24"/>
        </w:rPr>
        <w:t xml:space="preserve">Таблица </w:t>
      </w:r>
      <w:r>
        <w:rPr>
          <w:i w:val="false"/>
          <w:iCs w:val="false"/>
          <w:sz w:val="24"/>
          <w:szCs w:val="24"/>
          <w:lang w:val="ru-RU"/>
        </w:rPr>
        <w:t>1.1</w:t>
      </w:r>
      <w:r>
        <w:rPr>
          <w:i w:val="false"/>
          <w:iCs w:val="false"/>
          <w:sz w:val="24"/>
          <w:szCs w:val="24"/>
        </w:rPr>
        <w:t xml:space="preserve"> </w:t>
      </w:r>
      <w:r>
        <w:rPr>
          <w:i w:val="false"/>
          <w:iCs w:val="false"/>
          <w:sz w:val="24"/>
          <w:szCs w:val="24"/>
          <w:lang w:val="ru-RU"/>
        </w:rPr>
        <w:t xml:space="preserve">Перечень </w:t>
      </w:r>
      <w:bookmarkEnd w:id="17"/>
      <w:r>
        <w:rPr>
          <w:i w:val="false"/>
          <w:iCs w:val="false"/>
          <w:sz w:val="24"/>
          <w:szCs w:val="24"/>
          <w:lang w:val="ru-RU"/>
        </w:rPr>
        <w:t>и объем закупаемой продукции</w:t>
      </w:r>
      <w:bookmarkEnd w:id="16"/>
    </w:p>
    <w:tbl>
      <w:tblPr>
        <w:tblW w:w="9812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835"/>
        <w:gridCol w:w="6141"/>
        <w:gridCol w:w="1426"/>
        <w:gridCol w:w="1409"/>
      </w:tblGrid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п/п</w:t>
            </w:r>
          </w:p>
        </w:tc>
        <w:tc>
          <w:tcPr>
            <w:tcW w:w="6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Наименование продукции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Единица измерения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Количество</w:t>
            </w:r>
          </w:p>
        </w:tc>
      </w:tr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1</w:t>
            </w:r>
          </w:p>
        </w:tc>
        <w:tc>
          <w:tcPr>
            <w:tcW w:w="6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2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3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8"/>
              </w:numPr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6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color w:val="000000"/>
                <w:sz w:val="24"/>
                <w:szCs w:val="24"/>
              </w:rPr>
              <w:t>Сетевой к</w:t>
            </w:r>
            <w:r>
              <w:rPr>
                <w:i w:val="false"/>
                <w:iCs w:val="false"/>
                <w:color w:val="000000"/>
                <w:sz w:val="24"/>
                <w:szCs w:val="24"/>
              </w:rPr>
              <w:t xml:space="preserve">онтроллер </w:t>
            </w:r>
            <w:r>
              <w:rPr>
                <w:i w:val="false"/>
                <w:iCs w:val="false"/>
                <w:color w:val="000000"/>
                <w:sz w:val="24"/>
                <w:szCs w:val="24"/>
              </w:rPr>
              <w:t>СКУД</w:t>
            </w:r>
            <w:r>
              <w:rPr>
                <w:i w:val="false"/>
                <w:iCs w:val="false"/>
                <w:color w:val="000000"/>
                <w:sz w:val="24"/>
                <w:szCs w:val="24"/>
              </w:rPr>
              <w:t xml:space="preserve"> Sigur E510 UPS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шт.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5</w:t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ind w:firstLine="142"/>
        <w:rPr>
          <w:bCs/>
          <w:i w:val="false"/>
          <w:i w:val="false"/>
          <w:iCs w:val="false"/>
          <w:sz w:val="24"/>
          <w:szCs w:val="24"/>
          <w:shd w:fill="FFFF99" w:val="clear"/>
        </w:rPr>
      </w:pPr>
      <w:r>
        <w:rPr>
          <w:bCs/>
          <w:i w:val="false"/>
          <w:iCs w:val="false"/>
          <w:sz w:val="24"/>
          <w:szCs w:val="24"/>
          <w:shd w:fill="FFFF99" w:val="clear"/>
        </w:rPr>
      </w:r>
    </w:p>
    <w:p>
      <w:pPr>
        <w:pStyle w:val="Heading3"/>
        <w:numPr>
          <w:ilvl w:val="2"/>
          <w:numId w:val="4"/>
        </w:numPr>
        <w:rPr>
          <w:i w:val="false"/>
          <w:i w:val="false"/>
          <w:iCs w:val="false"/>
          <w:sz w:val="24"/>
          <w:szCs w:val="24"/>
        </w:rPr>
      </w:pPr>
      <w:bookmarkStart w:id="18" w:name="_Toc75446578"/>
      <w:bookmarkStart w:id="19" w:name="_Toc51339696"/>
      <w:r>
        <w:rPr>
          <w:i w:val="false"/>
          <w:iCs w:val="false"/>
          <w:sz w:val="24"/>
          <w:szCs w:val="24"/>
          <w:lang w:val="ru-RU"/>
        </w:rPr>
        <w:t xml:space="preserve">Требования </w:t>
      </w:r>
      <w:bookmarkEnd w:id="19"/>
      <w:r>
        <w:rPr>
          <w:i w:val="false"/>
          <w:iCs w:val="false"/>
          <w:sz w:val="24"/>
          <w:szCs w:val="24"/>
          <w:lang w:val="ru-RU"/>
        </w:rPr>
        <w:t>к срокам поставки продукции и оказания сопутствующих услуг</w:t>
      </w:r>
      <w:bookmarkEnd w:id="18"/>
    </w:p>
    <w:p>
      <w:pPr>
        <w:pStyle w:val="Heading1"/>
        <w:keepLines/>
        <w:tabs>
          <w:tab w:val="clear" w:pos="0"/>
        </w:tabs>
        <w:spacing w:before="240" w:after="60"/>
        <w:ind w:hanging="0" w:left="0"/>
        <w:rPr>
          <w:i w:val="false"/>
          <w:i w:val="false"/>
          <w:iCs w:val="false"/>
          <w:sz w:val="24"/>
          <w:szCs w:val="24"/>
        </w:rPr>
      </w:pPr>
      <w:bookmarkStart w:id="20" w:name="_Toc75446579"/>
      <w:bookmarkStart w:id="21" w:name="_Toc50125127"/>
      <w:bookmarkStart w:id="22" w:name="_Toc51339697"/>
      <w:bookmarkStart w:id="23" w:name="_Toc501251261"/>
      <w:bookmarkEnd w:id="23"/>
      <w:r>
        <w:rPr>
          <w:i w:val="false"/>
          <w:iCs w:val="false"/>
          <w:sz w:val="24"/>
          <w:szCs w:val="24"/>
        </w:rPr>
        <w:t xml:space="preserve">Таблица </w:t>
      </w:r>
      <w:r>
        <w:rPr>
          <w:i w:val="false"/>
          <w:iCs w:val="false"/>
          <w:sz w:val="24"/>
          <w:szCs w:val="24"/>
          <w:lang w:val="ru-RU"/>
        </w:rPr>
        <w:t>2</w:t>
      </w:r>
      <w:r>
        <w:rPr>
          <w:i w:val="false"/>
          <w:iCs w:val="false"/>
          <w:sz w:val="24"/>
          <w:szCs w:val="24"/>
        </w:rPr>
        <w:t>.</w:t>
      </w:r>
      <w:r>
        <w:rPr>
          <w:i w:val="false"/>
          <w:iCs w:val="false"/>
          <w:sz w:val="24"/>
          <w:szCs w:val="24"/>
          <w:lang w:val="ru-RU"/>
        </w:rPr>
        <w:t>1</w:t>
      </w:r>
      <w:r>
        <w:rPr>
          <w:i w:val="false"/>
          <w:iCs w:val="false"/>
          <w:sz w:val="24"/>
          <w:szCs w:val="24"/>
        </w:rPr>
        <w:t xml:space="preserve"> </w:t>
      </w:r>
      <w:bookmarkStart w:id="24" w:name="_Hlk50465284"/>
      <w:r>
        <w:rPr>
          <w:i w:val="false"/>
          <w:iCs w:val="false"/>
          <w:sz w:val="24"/>
          <w:szCs w:val="24"/>
        </w:rPr>
        <w:t xml:space="preserve">Требования по срокам </w:t>
      </w:r>
      <w:bookmarkEnd w:id="21"/>
      <w:bookmarkEnd w:id="22"/>
      <w:bookmarkEnd w:id="24"/>
      <w:r>
        <w:rPr>
          <w:i w:val="false"/>
          <w:iCs w:val="false"/>
          <w:sz w:val="24"/>
          <w:szCs w:val="24"/>
          <w:lang w:val="ru-RU"/>
        </w:rPr>
        <w:t>поставки продукции</w:t>
      </w:r>
      <w:bookmarkEnd w:id="20"/>
      <w:r>
        <w:rPr>
          <w:i w:val="false"/>
          <w:iCs w:val="false"/>
          <w:sz w:val="24"/>
          <w:szCs w:val="24"/>
          <w:lang w:val="ru-RU"/>
        </w:rPr>
        <w:t xml:space="preserve"> </w:t>
      </w:r>
    </w:p>
    <w:tbl>
      <w:tblPr>
        <w:tblW w:w="9776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130"/>
        <w:gridCol w:w="2550"/>
        <w:gridCol w:w="2979"/>
        <w:gridCol w:w="3116"/>
      </w:tblGrid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 xml:space="preserve">№ </w:t>
            </w:r>
            <w:r>
              <w:rPr>
                <w:i w:val="false"/>
                <w:iCs w:val="false"/>
                <w:sz w:val="24"/>
                <w:szCs w:val="24"/>
              </w:rPr>
              <w:t>п/п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1</w:t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2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3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9"/>
              <w:keepNext w:val="false"/>
              <w:widowControl w:val="false"/>
              <w:spacing w:before="40" w:after="4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i w:val="false"/>
                <w:iCs w:val="false"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ListParagraph"/>
              <w:widowControl w:val="false"/>
              <w:numPr>
                <w:ilvl w:val="0"/>
                <w:numId w:val="9"/>
              </w:numPr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Calibri"/>
                <w:i w:val="false"/>
                <w:iCs w:val="false"/>
                <w:color w:val="000000"/>
                <w:sz w:val="24"/>
                <w:szCs w:val="24"/>
                <w:lang w:eastAsia="x-none"/>
              </w:rPr>
              <w:t>Продукция в соответствии с Таблицей 1.</w:t>
            </w:r>
            <w:r>
              <w:rPr>
                <w:rFonts w:eastAsia="Calibri"/>
                <w:i w:val="false"/>
                <w:iCs w:val="false"/>
                <w:color w:val="000000"/>
                <w:sz w:val="24"/>
                <w:szCs w:val="24"/>
                <w:lang w:eastAsia="x-none"/>
              </w:rPr>
              <w:t xml:space="preserve">1 </w:t>
            </w:r>
            <w:r>
              <w:rPr>
                <w:rFonts w:eastAsia="Calibri"/>
                <w:i w:val="false"/>
                <w:iCs w:val="false"/>
                <w:color w:val="000000"/>
                <w:sz w:val="24"/>
                <w:szCs w:val="24"/>
                <w:lang w:eastAsia="x-none"/>
              </w:rPr>
              <w:t>Технических требований</w:t>
            </w:r>
          </w:p>
        </w:tc>
        <w:tc>
          <w:tcPr>
            <w:tcW w:w="2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С даты подписания договора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  <w:t>В течение 15 календарных дней с даты подписания договора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  <w:r>
        <w:br w:type="page"/>
      </w:r>
    </w:p>
    <w:p>
      <w:pPr>
        <w:pStyle w:val="Heading4"/>
        <w:numPr>
          <w:ilvl w:val="3"/>
          <w:numId w:val="1"/>
        </w:numPr>
        <w:ind w:hanging="0" w:left="0" w:right="0"/>
        <w:rPr>
          <w:i w:val="false"/>
          <w:i w:val="false"/>
          <w:iCs w:val="false"/>
          <w:sz w:val="24"/>
          <w:szCs w:val="24"/>
        </w:rPr>
      </w:pPr>
      <w:bookmarkStart w:id="25" w:name="_Toc51339698"/>
      <w:bookmarkStart w:id="26" w:name="_Toc75446581"/>
      <w:bookmarkStart w:id="27" w:name="_Toc46743511"/>
      <w:bookmarkStart w:id="28" w:name="_Toc467435101"/>
      <w:bookmarkEnd w:id="28"/>
      <w:r>
        <w:rPr>
          <w:i w:val="false"/>
          <w:iCs w:val="false"/>
          <w:sz w:val="24"/>
          <w:szCs w:val="24"/>
        </w:rPr>
        <w:t xml:space="preserve">Требования к </w:t>
      </w:r>
      <w:bookmarkEnd w:id="27"/>
      <w:r>
        <w:rPr>
          <w:i w:val="false"/>
          <w:iCs w:val="false"/>
          <w:sz w:val="24"/>
          <w:szCs w:val="24"/>
          <w:lang w:val="ru-RU"/>
        </w:rPr>
        <w:t>качеству продукции</w:t>
      </w:r>
      <w:bookmarkEnd w:id="26"/>
    </w:p>
    <w:p>
      <w:pPr>
        <w:pStyle w:val="Heading1"/>
        <w:keepLines/>
        <w:numPr>
          <w:ilvl w:val="0"/>
          <w:numId w:val="1"/>
        </w:numPr>
        <w:tabs>
          <w:tab w:val="clear" w:pos="0"/>
        </w:tabs>
        <w:spacing w:before="240" w:after="60"/>
        <w:ind w:hanging="0" w:left="0" w:right="0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  <w:t xml:space="preserve"> </w:t>
      </w:r>
      <w:bookmarkStart w:id="29" w:name="_Toc75446582"/>
      <w:r>
        <w:rPr>
          <w:i w:val="false"/>
          <w:iCs w:val="false"/>
          <w:sz w:val="24"/>
          <w:szCs w:val="24"/>
        </w:rPr>
        <w:t>Таблица </w:t>
      </w:r>
      <w:r>
        <w:rPr>
          <w:i w:val="false"/>
          <w:iCs w:val="false"/>
          <w:sz w:val="24"/>
          <w:szCs w:val="24"/>
          <w:lang w:val="ru-RU"/>
        </w:rPr>
        <w:t>3</w:t>
      </w:r>
      <w:r>
        <w:rPr>
          <w:i w:val="false"/>
          <w:iCs w:val="false"/>
          <w:sz w:val="24"/>
          <w:szCs w:val="24"/>
        </w:rPr>
        <w:t xml:space="preserve">. Требования к </w:t>
      </w:r>
      <w:r>
        <w:rPr>
          <w:i w:val="false"/>
          <w:iCs w:val="false"/>
          <w:sz w:val="24"/>
          <w:szCs w:val="24"/>
        </w:rPr>
        <w:t xml:space="preserve">качеству </w:t>
      </w:r>
      <w:r>
        <w:rPr>
          <w:i w:val="false"/>
          <w:iCs w:val="false"/>
          <w:sz w:val="24"/>
          <w:szCs w:val="24"/>
          <w:lang w:val="ru-RU"/>
        </w:rPr>
        <w:t>продукции</w:t>
      </w:r>
      <w:bookmarkEnd w:id="29"/>
      <w:r>
        <w:rPr>
          <w:i w:val="false"/>
          <w:iCs w:val="false"/>
          <w:sz w:val="24"/>
          <w:szCs w:val="24"/>
        </w:rPr>
        <w:t xml:space="preserve"> </w:t>
      </w:r>
      <w:bookmarkEnd w:id="25"/>
    </w:p>
    <w:p>
      <w:pPr>
        <w:pStyle w:val="Normal"/>
        <w:jc w:val="both"/>
        <w:rPr>
          <w:i w:val="false"/>
          <w:i w:val="false"/>
          <w:iCs w:val="false"/>
          <w:sz w:val="24"/>
          <w:szCs w:val="24"/>
        </w:rPr>
      </w:pPr>
      <w:r>
        <w:rPr>
          <w:b/>
          <w:bCs/>
          <w:i w:val="false"/>
          <w:iCs w:val="false"/>
          <w:sz w:val="24"/>
          <w:szCs w:val="24"/>
        </w:rPr>
        <w:t>Наименование продукции (</w:t>
      </w:r>
      <w:r>
        <w:rPr>
          <w:rFonts w:eastAsia="Calibri"/>
          <w:b/>
          <w:bCs/>
          <w:i w:val="false"/>
          <w:iCs w:val="false"/>
          <w:sz w:val="24"/>
          <w:szCs w:val="24"/>
        </w:rPr>
        <w:t xml:space="preserve">позиция №1 - Таблицы </w:t>
      </w:r>
      <w:r>
        <w:rPr>
          <w:rFonts w:eastAsia="Calibri"/>
          <w:b/>
          <w:bCs/>
          <w:i w:val="false"/>
          <w:iCs w:val="false"/>
          <w:sz w:val="24"/>
          <w:szCs w:val="24"/>
        </w:rPr>
        <w:t>1</w:t>
      </w:r>
      <w:r>
        <w:rPr>
          <w:rFonts w:eastAsia="Calibri"/>
          <w:b/>
          <w:bCs/>
          <w:i w:val="false"/>
          <w:iCs w:val="false"/>
          <w:sz w:val="24"/>
          <w:szCs w:val="24"/>
        </w:rPr>
        <w:t>.1 ТТ)</w:t>
      </w:r>
      <w:r>
        <w:rPr>
          <w:b/>
          <w:bCs/>
          <w:i w:val="false"/>
          <w:iCs w:val="false"/>
          <w:sz w:val="24"/>
          <w:szCs w:val="24"/>
        </w:rPr>
        <w:t>:</w:t>
      </w:r>
      <w:r>
        <w:rPr>
          <w:rFonts w:eastAsia="Calibri"/>
          <w:b/>
          <w:bCs/>
          <w:i w:val="false"/>
          <w:iCs w:val="false"/>
          <w:sz w:val="24"/>
          <w:szCs w:val="24"/>
        </w:rPr>
        <w:t xml:space="preserve"> </w:t>
      </w:r>
      <w:r>
        <w:rPr>
          <w:rFonts w:eastAsia="Calibri"/>
          <w:b w:val="false"/>
          <w:bCs w:val="false"/>
          <w:i w:val="false"/>
          <w:iCs w:val="false"/>
          <w:color w:val="1A1A1A"/>
          <w:sz w:val="24"/>
          <w:szCs w:val="24"/>
        </w:rPr>
        <w:t>ОКПД2 26.30.50.</w:t>
      </w:r>
      <w:r>
        <w:rPr>
          <w:rFonts w:eastAsia="Calibri"/>
          <w:b w:val="false"/>
          <w:bCs w:val="false"/>
          <w:i w:val="false"/>
          <w:iCs w:val="false"/>
          <w:color w:val="1A1A1A"/>
          <w:sz w:val="24"/>
          <w:szCs w:val="24"/>
        </w:rPr>
        <w:t xml:space="preserve">181 Поставка сетевого </w:t>
      </w:r>
      <w:r>
        <w:rPr>
          <w:rFonts w:eastAsia="Calibri"/>
          <w:b w:val="false"/>
          <w:bCs w:val="false"/>
          <w:i w:val="false"/>
          <w:iCs w:val="false"/>
          <w:color w:val="1A1A1A"/>
          <w:sz w:val="24"/>
          <w:szCs w:val="24"/>
          <w:shd w:fill="auto" w:val="clear"/>
        </w:rPr>
        <w:t>контроллер</w:t>
      </w:r>
      <w:r>
        <w:rPr>
          <w:rFonts w:eastAsia="Calibri"/>
          <w:b w:val="false"/>
          <w:bCs w:val="false"/>
          <w:i w:val="false"/>
          <w:iCs w:val="false"/>
          <w:color w:val="1A1A1A"/>
          <w:sz w:val="24"/>
          <w:szCs w:val="24"/>
          <w:shd w:fill="auto" w:val="clear"/>
        </w:rPr>
        <w:t xml:space="preserve">а </w:t>
      </w:r>
      <w:r>
        <w:rPr>
          <w:rFonts w:eastAsia="Calibri"/>
          <w:b w:val="false"/>
          <w:bCs w:val="false"/>
          <w:i w:val="false"/>
          <w:iCs w:val="false"/>
          <w:color w:val="1A1A1A"/>
          <w:sz w:val="24"/>
          <w:szCs w:val="24"/>
          <w:shd w:fill="auto" w:val="clear"/>
        </w:rPr>
        <w:t>СКУД</w:t>
      </w:r>
      <w:r>
        <w:rPr>
          <w:rFonts w:eastAsia="Calibri"/>
          <w:b w:val="false"/>
          <w:bCs w:val="false"/>
          <w:i w:val="false"/>
          <w:iCs w:val="false"/>
          <w:sz w:val="24"/>
          <w:szCs w:val="24"/>
        </w:rPr>
        <w:t xml:space="preserve"> для нужд </w:t>
      </w:r>
      <w:r>
        <w:rPr>
          <w:rFonts w:eastAsia="Calibri"/>
          <w:b w:val="false"/>
          <w:bCs w:val="false"/>
          <w:i w:val="false"/>
          <w:iCs w:val="false"/>
          <w:color w:val="000000"/>
          <w:sz w:val="24"/>
          <w:szCs w:val="24"/>
        </w:rPr>
        <w:t xml:space="preserve">Нижегородского производственного участка Чебоксарского филиала </w:t>
      </w:r>
      <w:r>
        <w:rPr>
          <w:rFonts w:eastAsia="Calibri"/>
          <w:b w:val="false"/>
          <w:bCs w:val="false"/>
          <w:i w:val="false"/>
          <w:iCs w:val="false"/>
          <w:color w:val="000000"/>
          <w:sz w:val="24"/>
          <w:szCs w:val="24"/>
          <w:shd w:fill="auto" w:val="clear"/>
          <w:lang w:eastAsia="x-none"/>
        </w:rPr>
        <w:t>АО «Гидроремонт ВКК» г. Новочебоксарск</w:t>
      </w:r>
    </w:p>
    <w:tbl>
      <w:tblPr>
        <w:tblW w:w="1527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0"/>
        <w:gridCol w:w="3045"/>
        <w:gridCol w:w="2150"/>
        <w:gridCol w:w="6475"/>
        <w:gridCol w:w="1424"/>
      </w:tblGrid>
      <w:tr>
        <w:trPr/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Наименование </w:t>
            </w: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продукции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b/>
                <w:bCs/>
                <w:i w:val="false"/>
                <w:iCs w:val="false"/>
                <w:sz w:val="24"/>
                <w:szCs w:val="24"/>
              </w:rPr>
              <w:t>Соответствие стандартам</w:t>
            </w:r>
          </w:p>
        </w:tc>
      </w:tr>
      <w:tr>
        <w:trPr/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6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suppressAutoHyphens w:val="true"/>
              <w:spacing w:before="60" w:after="60"/>
              <w:contextualSpacing/>
              <w:jc w:val="center"/>
              <w:rPr>
                <w:i w:val="false"/>
                <w:i w:val="false"/>
                <w:iCs w:val="false"/>
                <w:sz w:val="24"/>
                <w:szCs w:val="24"/>
                <w:lang w:eastAsia="x-none"/>
              </w:rPr>
            </w:pPr>
            <w:r>
              <w:rPr>
                <w:i w:val="false"/>
                <w:iCs w:val="false"/>
                <w:sz w:val="24"/>
                <w:szCs w:val="24"/>
                <w:lang w:eastAsia="x-none"/>
              </w:rPr>
            </w:r>
          </w:p>
        </w:tc>
        <w:tc>
          <w:tcPr>
            <w:tcW w:w="13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</w:tr>
      <w:tr>
        <w:trPr/>
        <w:tc>
          <w:tcPr>
            <w:tcW w:w="580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1.1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04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Calibri" w:cs="Times New Roman"/>
                <w:i w:val="false"/>
                <w:iCs w:val="false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Сетевой контроллер СКУД </w:t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Тип контроллера</w:t>
            </w:r>
          </w:p>
        </w:tc>
        <w:tc>
          <w:tcPr>
            <w:tcW w:w="6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Sigur E510 UPS</w:t>
            </w:r>
          </w:p>
        </w:tc>
        <w:tc>
          <w:tcPr>
            <w:tcW w:w="1424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30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Управление устройствами</w:t>
            </w:r>
          </w:p>
        </w:tc>
        <w:tc>
          <w:tcPr>
            <w:tcW w:w="6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4 точки доступа: двери, турникеты, ворота или шлагбаумы в зависимости от настроек и наличия свободных клемм</w:t>
            </w:r>
          </w:p>
        </w:tc>
        <w:tc>
          <w:tcPr>
            <w:tcW w:w="14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</w:tr>
      <w:tr>
        <w:trPr>
          <w:trHeight w:val="317" w:hRule="atLeast"/>
        </w:trPr>
        <w:tc>
          <w:tcPr>
            <w:tcW w:w="5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30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Макс. кол-во автономно хранимых ключей</w:t>
            </w:r>
          </w:p>
        </w:tc>
        <w:tc>
          <w:tcPr>
            <w:tcW w:w="6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до 90 000</w:t>
            </w:r>
          </w:p>
        </w:tc>
        <w:tc>
          <w:tcPr>
            <w:tcW w:w="14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5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30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Интерфейс связи с сервером</w:t>
            </w:r>
          </w:p>
        </w:tc>
        <w:tc>
          <w:tcPr>
            <w:tcW w:w="6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Ethernet</w:t>
            </w:r>
          </w:p>
        </w:tc>
        <w:tc>
          <w:tcPr>
            <w:tcW w:w="14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5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30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Интерфейсы связи со считывателями</w:t>
            </w:r>
          </w:p>
        </w:tc>
        <w:tc>
          <w:tcPr>
            <w:tcW w:w="6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Wiegand-26, 34, 36, 37, 42, 56, 58 Wiegand-4, 6, 8 (для клавиатур) 1-Wire (Dallas Touch Memory) Clock &amp; Data (Omron 5 bit, Magstripe Track II)</w:t>
            </w:r>
          </w:p>
        </w:tc>
        <w:tc>
          <w:tcPr>
            <w:tcW w:w="14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5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30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Кол-во подключаемых считывателей</w:t>
            </w:r>
          </w:p>
        </w:tc>
        <w:tc>
          <w:tcPr>
            <w:tcW w:w="6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4 шт.</w:t>
            </w:r>
          </w:p>
        </w:tc>
        <w:tc>
          <w:tcPr>
            <w:tcW w:w="14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5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30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Кол-во релейных выходов</w:t>
            </w:r>
          </w:p>
        </w:tc>
        <w:tc>
          <w:tcPr>
            <w:tcW w:w="6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4 реле, контактная группа на переключение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14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5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30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Кол-во выходов с открытым коллектором</w:t>
            </w:r>
          </w:p>
        </w:tc>
        <w:tc>
          <w:tcPr>
            <w:tcW w:w="6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13 шт.</w:t>
            </w:r>
          </w:p>
        </w:tc>
        <w:tc>
          <w:tcPr>
            <w:tcW w:w="14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5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30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Кол-во сигнальных входов</w:t>
            </w:r>
          </w:p>
        </w:tc>
        <w:tc>
          <w:tcPr>
            <w:tcW w:w="6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10 шт.</w:t>
            </w:r>
          </w:p>
        </w:tc>
        <w:tc>
          <w:tcPr>
            <w:tcW w:w="14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r>
          </w:p>
        </w:tc>
      </w:tr>
      <w:tr>
        <w:trPr/>
        <w:tc>
          <w:tcPr>
            <w:tcW w:w="5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30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Входное напряжение переменного тока ББП</w:t>
            </w:r>
          </w:p>
        </w:tc>
        <w:tc>
          <w:tcPr>
            <w:tcW w:w="6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230 В</w:t>
            </w:r>
          </w:p>
        </w:tc>
        <w:tc>
          <w:tcPr>
            <w:tcW w:w="14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5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30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Выходное напряжение постоянного тока ББП</w:t>
            </w:r>
          </w:p>
        </w:tc>
        <w:tc>
          <w:tcPr>
            <w:tcW w:w="6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12-15 В</w:t>
            </w:r>
          </w:p>
        </w:tc>
        <w:tc>
          <w:tcPr>
            <w:tcW w:w="14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5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30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Выходная мощность ББП</w:t>
            </w:r>
          </w:p>
        </w:tc>
        <w:tc>
          <w:tcPr>
            <w:tcW w:w="6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96,6 Вт</w:t>
            </w:r>
          </w:p>
        </w:tc>
        <w:tc>
          <w:tcPr>
            <w:tcW w:w="14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5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30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Напряжение питания постоянного тока контроллера</w:t>
            </w:r>
          </w:p>
        </w:tc>
        <w:tc>
          <w:tcPr>
            <w:tcW w:w="6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10-15 В</w:t>
            </w:r>
          </w:p>
        </w:tc>
        <w:tc>
          <w:tcPr>
            <w:tcW w:w="14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5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30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Рабочая температура</w:t>
            </w:r>
          </w:p>
        </w:tc>
        <w:tc>
          <w:tcPr>
            <w:tcW w:w="6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-30+50 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vertAlign w:val="superscript"/>
                <w:lang w:val="ru-RU" w:eastAsia="ru-RU" w:bidi="ar-SA"/>
              </w:rPr>
              <w:t>о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</w:t>
            </w:r>
          </w:p>
        </w:tc>
        <w:tc>
          <w:tcPr>
            <w:tcW w:w="14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580" w:type="dxa"/>
            <w:vMerge w:val="continue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3045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  <w:tc>
          <w:tcPr>
            <w:tcW w:w="21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Габаритные размеры</w:t>
            </w:r>
          </w:p>
        </w:tc>
        <w:tc>
          <w:tcPr>
            <w:tcW w:w="64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400х500х170 мм</w:t>
            </w:r>
          </w:p>
        </w:tc>
        <w:tc>
          <w:tcPr>
            <w:tcW w:w="1424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i w:val="false"/>
                <w:iCs w:val="false"/>
                <w:sz w:val="24"/>
                <w:szCs w:val="24"/>
              </w:rPr>
            </w:r>
          </w:p>
        </w:tc>
      </w:tr>
      <w:tr>
        <w:trPr/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2.</w:t>
            </w:r>
          </w:p>
        </w:tc>
        <w:tc>
          <w:tcPr>
            <w:tcW w:w="13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</w:tr>
      <w:tr>
        <w:trPr/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2.1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en-US" w:eastAsia="ru-RU" w:bidi="ar-SA"/>
              </w:rPr>
              <w:t>Место поставки</w:t>
            </w:r>
          </w:p>
        </w:tc>
        <w:tc>
          <w:tcPr>
            <w:tcW w:w="100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606520, РФ, Нижегородская обл., Городецкий м.о., г. Заволжье, Привокзальная 14</w:t>
            </w:r>
          </w:p>
        </w:tc>
      </w:tr>
      <w:tr>
        <w:trPr/>
        <w:tc>
          <w:tcPr>
            <w:tcW w:w="5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2.2</w:t>
            </w:r>
          </w:p>
        </w:tc>
        <w:tc>
          <w:tcPr>
            <w:tcW w:w="30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en-US" w:eastAsia="ru-RU" w:bidi="ar-SA"/>
              </w:rPr>
              <w:t>Приемка продукции</w:t>
            </w:r>
          </w:p>
        </w:tc>
        <w:tc>
          <w:tcPr>
            <w:tcW w:w="1004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Продукция должна быть поставлена автотранспортом Поставщика, в герметичной таре и защищена от атмосферных осадков. Приемка продукции осуществляется только в рабочие дни с 9-00 до 11-00 и с 13-00 до 16-00.</w:t>
            </w:r>
          </w:p>
        </w:tc>
      </w:tr>
      <w:tr>
        <w:trPr/>
        <w:tc>
          <w:tcPr>
            <w:tcW w:w="5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2.3</w:t>
            </w:r>
          </w:p>
        </w:tc>
        <w:tc>
          <w:tcPr>
            <w:tcW w:w="30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Информация о транспорте</w:t>
            </w:r>
          </w:p>
        </w:tc>
        <w:tc>
          <w:tcPr>
            <w:tcW w:w="1004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Информация о транспорте, на котором осуществляется поставка Продукции, предоставляется Поставщиком не позднее предыдущего рабочего дня до прибытия транспорта.</w:t>
            </w:r>
          </w:p>
        </w:tc>
      </w:tr>
      <w:tr>
        <w:trPr/>
        <w:tc>
          <w:tcPr>
            <w:tcW w:w="5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3.</w:t>
            </w:r>
          </w:p>
        </w:tc>
        <w:tc>
          <w:tcPr>
            <w:tcW w:w="1309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</w:tc>
      </w:tr>
      <w:tr>
        <w:trPr/>
        <w:tc>
          <w:tcPr>
            <w:tcW w:w="5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3.1</w:t>
            </w:r>
          </w:p>
        </w:tc>
        <w:tc>
          <w:tcPr>
            <w:tcW w:w="30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en-US" w:eastAsia="ru-RU" w:bidi="ar-SA"/>
              </w:rPr>
              <w:t>Срок гарантии</w:t>
            </w:r>
          </w:p>
        </w:tc>
        <w:tc>
          <w:tcPr>
            <w:tcW w:w="10049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На Продукцию устанавливается гарантийный срок, равный 36 (тридцати шести) месяцам, исчисляемый с даты ввода Продукции в эксплуатацию, но не более 48 (сорока восьми) месяцев с даты подписания Сторонами товарной накладной по форме ТОРГ-12 или Универсального передаточного документа (УПД), но не менее гарантийного срока изготовителя (производителя) Продукции.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both"/>
              <w:rPr>
                <w:i w:val="false"/>
                <w:i w:val="false"/>
                <w:iCs w:val="false"/>
                <w:sz w:val="24"/>
                <w:szCs w:val="24"/>
              </w:rPr>
            </w:pPr>
            <w:bookmarkStart w:id="30" w:name="_GoBack"/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Условия выполнения гарантийных обязательств поставщика или производителя не должны включать требование привлечения специально аккредитованных производителем организаций или специалистов.</w:t>
            </w:r>
            <w:bookmarkEnd w:id="30"/>
          </w:p>
        </w:tc>
      </w:tr>
      <w:tr>
        <w:trPr/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4.</w:t>
            </w:r>
          </w:p>
        </w:tc>
        <w:tc>
          <w:tcPr>
            <w:tcW w:w="1309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</w:tr>
      <w:tr>
        <w:trPr/>
        <w:tc>
          <w:tcPr>
            <w:tcW w:w="5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4.1</w:t>
            </w:r>
          </w:p>
        </w:tc>
        <w:tc>
          <w:tcPr>
            <w:tcW w:w="3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00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bookmarkStart w:id="31" w:name="_GoBack_Копия_1"/>
            <w:bookmarkEnd w:id="31"/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Поставщик обязан одновременно с передачей Продукции передать Покупателю относящиеся к ней документы, оформленные надлежащим образом: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   • 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Сертификат качества в 1 экз.;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   • 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Технический паспорт на русском языке в 1 экз.;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   • 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Инструкция по эксплуатации (монтажу и т.п.) на русском языке в 1 экз.;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   • 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иные документы (Сертификат соответствия, Сертификат безопасности, Сертификат пожаробезопасности, Сертификат радиологической безопасности, Санитарный сертификат, сертификат о происхождении товара, Лицензии и т.п.) в зависимости от номенклатуры поставляемой Продукции;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   • 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Обязательные первичные документы: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 xml:space="preserve">    • 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Товарно-транспортную накладную формы № 1-Т (для учета товарно-материальных ценностей и расчетов за их перевозки) или Железнодорожную накладную (форма № ГУ-27) в 1 экз.;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hanging="0" w:left="0"/>
              <w:jc w:val="both"/>
              <w:rPr>
                <w:rFonts w:ascii="Times New Roman" w:hAnsi="Times New Roman" w:eastAsia="Times New Roman" w:cs="Times New Roman"/>
                <w:i w:val="false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en-US" w:eastAsia="ru-RU" w:bidi="ar-SA"/>
              </w:rPr>
              <w:t xml:space="preserve">    • </w:t>
            </w: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en-US" w:eastAsia="ru-RU" w:bidi="ar-SA"/>
              </w:rPr>
              <w:t>Товарную накладную по форме ТОРГ-12 или Универсальный передаточный документ (УПД) в 2 экз.</w:t>
            </w:r>
          </w:p>
        </w:tc>
      </w:tr>
      <w:tr>
        <w:trPr/>
        <w:tc>
          <w:tcPr>
            <w:tcW w:w="5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5.</w:t>
            </w:r>
          </w:p>
        </w:tc>
        <w:tc>
          <w:tcPr>
            <w:tcW w:w="1309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Прочие (дополнительные) требования к продукции</w:t>
            </w:r>
          </w:p>
        </w:tc>
      </w:tr>
      <w:tr>
        <w:trPr/>
        <w:tc>
          <w:tcPr>
            <w:tcW w:w="5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5.1</w:t>
            </w:r>
          </w:p>
        </w:tc>
        <w:tc>
          <w:tcPr>
            <w:tcW w:w="1309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Продукция должна быть новой, ранее не использовавшейся</w:t>
            </w:r>
          </w:p>
        </w:tc>
      </w:tr>
      <w:tr>
        <w:trPr/>
        <w:tc>
          <w:tcPr>
            <w:tcW w:w="5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center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5.2</w:t>
            </w:r>
          </w:p>
        </w:tc>
        <w:tc>
          <w:tcPr>
            <w:tcW w:w="13094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ind w:hanging="0" w:left="0" w:right="0"/>
              <w:jc w:val="left"/>
              <w:rPr>
                <w:i w:val="false"/>
                <w:i w:val="false"/>
                <w:iCs w:val="false"/>
                <w:sz w:val="24"/>
                <w:szCs w:val="24"/>
              </w:rPr>
            </w:pPr>
            <w:r>
              <w:rPr>
                <w:rFonts w:eastAsia="Times New Roman" w:cs="Times New Roman"/>
                <w:i w:val="false"/>
                <w:iCs w:val="false"/>
                <w:kern w:val="0"/>
                <w:sz w:val="24"/>
                <w:szCs w:val="24"/>
                <w:lang w:val="ru-RU" w:eastAsia="ru-RU" w:bidi="ar-SA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требованиям, по форме Технического предложения, установленной в документации о закупке.</w:t>
            </w:r>
          </w:p>
        </w:tc>
      </w:tr>
    </w:tbl>
    <w:p>
      <w:pPr>
        <w:pStyle w:val="Normal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p>
      <w:pPr>
        <w:pStyle w:val="Normal"/>
        <w:rPr>
          <w:i w:val="false"/>
          <w:i w:val="false"/>
          <w:iCs w:val="false"/>
          <w:sz w:val="24"/>
          <w:szCs w:val="24"/>
        </w:rPr>
      </w:pPr>
      <w:r>
        <w:rPr>
          <w:i w:val="false"/>
          <w:iCs w:val="false"/>
          <w:sz w:val="24"/>
          <w:szCs w:val="24"/>
        </w:rPr>
      </w:r>
    </w:p>
    <w:sectPr>
      <w:headerReference w:type="default" r:id="rId5"/>
      <w:headerReference w:type="first" r:id="rId6"/>
      <w:type w:val="nextPage"/>
      <w:pgSz w:orient="landscape" w:w="16838" w:h="11906"/>
      <w:pgMar w:left="992" w:right="567" w:gutter="0" w:header="680" w:top="851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3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6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hanging="504" w:left="122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sid w:val="00d561d9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2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0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sid w:val="003879d4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sid w:val="00615ab6"/>
    <w:rPr>
      <w:color w:val="605E5C"/>
      <w:shd w:fill="E1DFDD" w:val="clear"/>
    </w:rPr>
  </w:style>
  <w:style w:type="character" w:styleId="Style14" w:customStyle="1">
    <w:name w:val="Маркеры"/>
    <w:qFormat/>
    <w:rPr>
      <w:rFonts w:ascii="OpenSymbol" w:hAnsi="OpenSymbol" w:eastAsia="OpenSymbol" w:cs="OpenSymbol"/>
    </w:rPr>
  </w:style>
  <w:style w:type="character" w:styleId="Style15" w:customStyle="1">
    <w:name w:val="Символ нумерации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8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9" w:customStyle="1">
    <w:name w:val="Раздел положения"/>
    <w:basedOn w:val="Normal"/>
    <w:autoRedefine/>
    <w:qFormat/>
    <w:rsid w:val="007475ee"/>
    <w:pPr>
      <w:numPr>
        <w:ilvl w:val="0"/>
        <w:numId w:val="2"/>
      </w:numPr>
      <w:spacing w:before="80" w:after="80"/>
      <w:jc w:val="center"/>
    </w:pPr>
    <w:rPr>
      <w:b/>
      <w:sz w:val="32"/>
      <w:szCs w:val="32"/>
    </w:rPr>
  </w:style>
  <w:style w:type="paragraph" w:styleId="Style20" w:customStyle="1">
    <w:name w:val="Подраздел раздела положения"/>
    <w:basedOn w:val="Normal"/>
    <w:autoRedefine/>
    <w:qFormat/>
    <w:rsid w:val="007475ee"/>
    <w:pPr>
      <w:numPr>
        <w:ilvl w:val="1"/>
        <w:numId w:val="2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1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2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c01756"/>
    <w:pPr>
      <w:ind w:hanging="0" w:left="280"/>
    </w:pPr>
    <w:rPr>
      <w:rFonts w:cs="Calibri" w:cstheme="minorHAnsi"/>
      <w:sz w:val="20"/>
      <w:szCs w:val="20"/>
    </w:rPr>
  </w:style>
  <w:style w:type="paragraph" w:styleId="Style23" w:customStyle="1">
    <w:name w:val="Раздел регламента"/>
    <w:basedOn w:val="Normal"/>
    <w:qFormat/>
    <w:rsid w:val="00e228fa"/>
    <w:pPr/>
    <w:rPr/>
  </w:style>
  <w:style w:type="paragraph" w:styleId="Style24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5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6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6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3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3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3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7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8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9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0" w:customStyle="1">
    <w:name w:val="Подподпункт"/>
    <w:basedOn w:val="Style22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1" w:customStyle="1">
    <w:name w:val="УРОВЕНЬ_(а)"/>
    <w:basedOn w:val="ListParagraph"/>
    <w:qFormat/>
    <w:rsid w:val="00b56f46"/>
    <w:pPr>
      <w:numPr>
        <w:ilvl w:val="3"/>
        <w:numId w:val="5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5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5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5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2" w:customStyle="1">
    <w:name w:val="УРОВЕНЬ_Подпись"/>
    <w:basedOn w:val="ListParagraph"/>
    <w:qFormat/>
    <w:rsid w:val="00b56f46"/>
    <w:pPr>
      <w:keepNext w:val="true"/>
      <w:numPr>
        <w:ilvl w:val="5"/>
        <w:numId w:val="5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6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3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Style3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36" w:customStyle="1">
    <w:name w:val="Заголовок таблицы"/>
    <w:basedOn w:val="Style35"/>
    <w:qFormat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numbering" w:styleId="123" w:customStyle="1">
    <w:name w:val="Нумерованный 123"/>
    <w:qFormat/>
  </w:style>
  <w:style w:type="numbering" w:styleId="12565345991" w:customStyle="1">
    <w:name w:val="12565345991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8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E48507-4B4B-4326-86C2-070A96CCF9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7290</TotalTime>
  <Application>AlterOffice/2026.2.0.0$Linux_X86_64 LibreOffice_project/bc4ef1adf80b36c7a6365f8ed6cbf29021361edd</Application>
  <AppVersion>15.0000</AppVersion>
  <Pages>5</Pages>
  <Words>704</Words>
  <Characters>4671</Characters>
  <CharactersWithSpaces>5281</CharactersWithSpaces>
  <Paragraphs>125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2023-01-13T08:52:00Z</dcterms:created>
  <dc:creator>Быстров Олег Геннадьевич</dc:creator>
  <dc:description/>
  <dc:language>ru-RU</dc:language>
  <cp:lastModifiedBy/>
  <dcterms:modified xsi:type="dcterms:W3CDTF">2026-10-21T16:21:54Z</dcterms:modified>
  <cp:revision>68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