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ind w:firstLine="567"/>
        <w:jc w:val="center"/>
        <w:rPr>
          <w:b/>
          <w:sz w:val="26"/>
          <w:szCs w:val="26"/>
          <w:shd w:fill="FFFFFF" w:val="clear"/>
        </w:rPr>
      </w:pPr>
      <w:r>
        <w:rPr>
          <w:b/>
          <w:sz w:val="26"/>
          <w:szCs w:val="26"/>
          <w:shd w:fill="FFFFFF" w:val="clear"/>
        </w:rPr>
        <w:drawing>
          <wp:anchor behindDoc="0" distT="0" distB="4445" distL="114300" distR="114300" simplePos="0" locked="0" layoutInCell="0" allowOverlap="1" relativeHeight="2">
            <wp:simplePos x="0" y="0"/>
            <wp:positionH relativeFrom="column">
              <wp:posOffset>2044065</wp:posOffset>
            </wp:positionH>
            <wp:positionV relativeFrom="paragraph">
              <wp:posOffset>6985</wp:posOffset>
            </wp:positionV>
            <wp:extent cx="1714500" cy="567055"/>
            <wp:effectExtent l="0" t="0" r="0" b="0"/>
            <wp:wrapTight wrapText="bothSides">
              <wp:wrapPolygon edited="0">
                <wp:start x="1339" y="0"/>
                <wp:lineTo x="-315" y="2004"/>
                <wp:lineTo x="-315" y="17710"/>
                <wp:lineTo x="1824" y="20617"/>
                <wp:lineTo x="20075" y="20617"/>
                <wp:lineTo x="21303" y="20617"/>
                <wp:lineTo x="21303" y="14890"/>
                <wp:lineTo x="6683" y="11282"/>
                <wp:lineTo x="15461" y="11282"/>
                <wp:lineTo x="18636" y="8447"/>
                <wp:lineTo x="18391" y="0"/>
                <wp:lineTo x="1339" y="0"/>
              </wp:wrapPolygon>
            </wp:wrapTight>
            <wp:docPr id="1" name="Рисунок 2" descr="C:\Users\portyanaya_vg\Desktop\1_Филиал АЭ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C:\Users\portyanaya_vg\Desktop\1_Филиал АЭС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567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3"/>
        <w:jc w:val="center"/>
        <w:rPr>
          <w:rFonts w:ascii="Times New Roman" w:hAnsi="Times New Roman"/>
          <w:shd w:fill="FFFFFF" w:val="clear"/>
        </w:rPr>
      </w:pPr>
      <w:r>
        <w:rPr>
          <w:rFonts w:ascii="Times New Roman" w:hAnsi="Times New Roman"/>
          <w:shd w:fill="FFFFFF" w:val="clear"/>
        </w:rPr>
      </w:r>
    </w:p>
    <w:p>
      <w:pPr>
        <w:pStyle w:val="Heading3"/>
        <w:jc w:val="center"/>
        <w:rPr>
          <w:highlight w:val="white"/>
        </w:rPr>
      </w:pPr>
      <w:r>
        <w:rPr>
          <w:rFonts w:ascii="Times New Roman" w:hAnsi="Times New Roman"/>
          <w:shd w:fill="FFFFFF" w:val="clear"/>
        </w:rPr>
        <w:t>Акционерное общество</w:t>
      </w:r>
    </w:p>
    <w:p>
      <w:pPr>
        <w:pStyle w:val="Normal"/>
        <w:jc w:val="center"/>
        <w:rPr>
          <w:highlight w:val="white"/>
        </w:rPr>
      </w:pPr>
      <w:r>
        <w:rPr>
          <w:b/>
          <w:sz w:val="30"/>
          <w:shd w:fill="FFFFFF" w:val="clear"/>
        </w:rPr>
        <w:t>«Дальневосточная распределительная сетевая компания»</w:t>
      </w:r>
    </w:p>
    <w:p>
      <w:pPr>
        <w:pStyle w:val="Normal"/>
        <w:jc w:val="center"/>
        <w:rPr>
          <w:highlight w:val="white"/>
        </w:rPr>
      </w:pPr>
      <w:r>
        <w:rPr>
          <w:b/>
          <w:sz w:val="30"/>
          <w:shd w:fill="FFFFFF" w:val="clear"/>
        </w:rPr>
        <w:t>Филиал «Амурские электрические сети»</w:t>
      </w:r>
    </w:p>
    <w:p>
      <w:pPr>
        <w:pStyle w:val="Normal"/>
        <w:jc w:val="center"/>
        <w:rPr>
          <w:highlight w:val="white"/>
        </w:rPr>
      </w:pPr>
      <w:r>
        <w:rPr>
          <w:rFonts w:ascii="Univers" w:hAnsi="Univers"/>
          <w:color w:val="000000"/>
          <w:sz w:val="14"/>
          <w:shd w:fill="FFFFFF" w:val="clear"/>
        </w:rPr>
        <w:t>_____________________________________________________________________________________________</w:t>
      </w:r>
    </w:p>
    <w:p>
      <w:pPr>
        <w:pStyle w:val="Normal"/>
        <w:jc w:val="center"/>
        <w:rPr>
          <w:rFonts w:ascii="Univers" w:hAnsi="Univers"/>
          <w:color w:val="000000"/>
          <w:sz w:val="10"/>
          <w:shd w:fill="FFFFFF" w:val="clear"/>
        </w:rPr>
      </w:pPr>
      <w:r>
        <w:rPr>
          <w:rFonts w:ascii="Univers" w:hAnsi="Univers"/>
          <w:color w:val="000000"/>
          <w:sz w:val="10"/>
          <w:shd w:fill="FFFFFF" w:val="clear"/>
        </w:rPr>
      </w:r>
    </w:p>
    <w:p>
      <w:pPr>
        <w:pStyle w:val="Normal"/>
        <w:jc w:val="center"/>
        <w:rPr>
          <w:highlight w:val="white"/>
        </w:rPr>
      </w:pPr>
      <w:r>
        <w:rPr>
          <w:sz w:val="16"/>
          <w:shd w:fill="FFFFFF" w:val="clear"/>
        </w:rPr>
        <w:t>ул. Шевченко, 28, г. Благовещенск,  675000, Россия  Тел: (4162) 399-359; Факс (4162) 399-289;</w:t>
      </w:r>
    </w:p>
    <w:p>
      <w:pPr>
        <w:pStyle w:val="Normal"/>
        <w:jc w:val="center"/>
        <w:rPr>
          <w:highlight w:val="white"/>
        </w:rPr>
      </w:pPr>
      <w:r>
        <w:rPr>
          <w:sz w:val="16"/>
          <w:shd w:fill="FFFFFF" w:val="clear"/>
          <w:lang w:val="en-US"/>
        </w:rPr>
        <w:t>E</w:t>
      </w:r>
      <w:r>
        <w:rPr>
          <w:sz w:val="16"/>
          <w:shd w:fill="FFFFFF" w:val="clear"/>
        </w:rPr>
        <w:t>-</w:t>
      </w:r>
      <w:r>
        <w:rPr>
          <w:sz w:val="16"/>
          <w:shd w:fill="FFFFFF" w:val="clear"/>
          <w:lang w:val="en-US"/>
        </w:rPr>
        <w:t>mail</w:t>
      </w:r>
      <w:r>
        <w:rPr>
          <w:sz w:val="16"/>
          <w:shd w:fill="FFFFFF" w:val="clear"/>
        </w:rPr>
        <w:t xml:space="preserve">: </w:t>
      </w:r>
      <w:r>
        <w:rPr>
          <w:sz w:val="16"/>
          <w:shd w:fill="FFFFFF" w:val="clear"/>
          <w:lang w:val="en-US"/>
        </w:rPr>
        <w:t>doc</w:t>
      </w:r>
      <w:r>
        <w:rPr>
          <w:sz w:val="16"/>
          <w:shd w:fill="FFFFFF" w:val="clear"/>
        </w:rPr>
        <w:t>@</w:t>
      </w:r>
      <w:r>
        <w:rPr>
          <w:sz w:val="16"/>
          <w:shd w:fill="FFFFFF" w:val="clear"/>
          <w:lang w:val="en-US"/>
        </w:rPr>
        <w:t>amur</w:t>
      </w:r>
      <w:r>
        <w:rPr>
          <w:sz w:val="16"/>
          <w:shd w:fill="FFFFFF" w:val="clear"/>
        </w:rPr>
        <w:t>.</w:t>
      </w:r>
      <w:r>
        <w:rPr>
          <w:sz w:val="16"/>
          <w:shd w:fill="FFFFFF" w:val="clear"/>
          <w:lang w:val="en-US"/>
        </w:rPr>
        <w:t>drsk</w:t>
      </w:r>
      <w:r>
        <w:rPr>
          <w:sz w:val="16"/>
          <w:shd w:fill="FFFFFF" w:val="clear"/>
        </w:rPr>
        <w:t>.</w:t>
      </w:r>
      <w:r>
        <w:rPr>
          <w:sz w:val="16"/>
          <w:shd w:fill="FFFFFF" w:val="clear"/>
          <w:lang w:val="en-US"/>
        </w:rPr>
        <w:t>ru</w:t>
      </w:r>
      <w:r>
        <w:rPr>
          <w:sz w:val="16"/>
          <w:shd w:fill="FFFFFF" w:val="clear"/>
        </w:rPr>
        <w:t xml:space="preserve"> ОКПО 97987579, ОГРН 1052800111308, ИНН/КПП 2801108200/280102003</w:t>
      </w:r>
    </w:p>
    <w:p>
      <w:pPr>
        <w:pStyle w:val="Normal"/>
        <w:jc w:val="right"/>
        <w:rPr>
          <w:b/>
          <w:sz w:val="26"/>
          <w:szCs w:val="26"/>
          <w:shd w:fill="FFFFFF" w:val="clear"/>
        </w:rPr>
      </w:pPr>
      <w:r>
        <w:rPr>
          <w:b/>
          <w:sz w:val="26"/>
          <w:szCs w:val="26"/>
          <w:shd w:fill="FFFFFF" w:val="clear"/>
        </w:rPr>
      </w:r>
    </w:p>
    <w:p>
      <w:pPr>
        <w:pStyle w:val="Normal"/>
        <w:tabs>
          <w:tab w:val="clear" w:pos="708"/>
          <w:tab w:val="left" w:pos="3712" w:leader="none"/>
        </w:tabs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tabs>
          <w:tab w:val="clear" w:pos="708"/>
          <w:tab w:val="left" w:pos="3712" w:leader="none"/>
        </w:tabs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jc w:val="right"/>
        <w:rPr>
          <w:rFonts w:ascii="Liberation Serif" w:hAnsi="Liberation Serif"/>
          <w:b/>
          <w:sz w:val="24"/>
          <w:szCs w:val="24"/>
          <w:shd w:fill="FFFFFF" w:val="clear"/>
        </w:rPr>
      </w:pPr>
      <w:r>
        <w:rPr>
          <w:rFonts w:ascii="Liberation Serif" w:hAnsi="Liberation Serif"/>
          <w:b/>
          <w:sz w:val="24"/>
          <w:szCs w:val="24"/>
          <w:shd w:fill="FFFFFF" w:val="clear"/>
        </w:rPr>
      </w:r>
    </w:p>
    <w:p>
      <w:pPr>
        <w:pStyle w:val="Normal"/>
        <w:tabs>
          <w:tab w:val="clear" w:pos="708"/>
          <w:tab w:val="left" w:pos="3318" w:leader="none"/>
        </w:tabs>
        <w:jc w:val="center"/>
        <w:rPr>
          <w:highlight w:val="white"/>
        </w:rPr>
      </w:pPr>
      <w:r>
        <w:rPr>
          <w:rFonts w:ascii="Liberation Serif" w:hAnsi="Liberation Serif"/>
          <w:b/>
          <w:sz w:val="24"/>
          <w:szCs w:val="24"/>
          <w:shd w:fill="FFFFFF" w:val="clear"/>
        </w:rPr>
        <w:t>ТЕХНИЧЕСКОЕ ЗАДАНИЕ</w:t>
      </w:r>
    </w:p>
    <w:p>
      <w:pPr>
        <w:pStyle w:val="Normal"/>
        <w:keepNext w:val="true"/>
        <w:keepLines/>
        <w:jc w:val="center"/>
        <w:rPr/>
      </w:pPr>
      <w:r>
        <w:rPr>
          <w:rFonts w:eastAsia="Calibri" w:cs="Times New Roman" w:ascii="Liberation Serif" w:hAnsi="Liberation Serif"/>
          <w:b/>
          <w:i w:val="false"/>
          <w:strike w:val="false"/>
          <w:dstrike w:val="false"/>
          <w:outline w:val="false"/>
          <w:shadow w:val="false"/>
          <w:color w:val="00000A"/>
          <w:sz w:val="24"/>
          <w:szCs w:val="24"/>
          <w:highlight w:val="white"/>
          <w:u w:val="none"/>
          <w:shd w:fill="FFFFFF" w:val="clear"/>
          <w:em w:val="none"/>
          <w:lang w:val="ru-RU" w:eastAsia="ru-RU" w:bidi="ar-SA"/>
        </w:rPr>
        <w:t>лот №82701-КС ПИР СМР-2027-ДРСК-АЭС «ОКПД2 74.90.12.123 Выполнение работ по подготовке отчета об оценке размера платы по соглашению об установлении сервитута/публичного сервитута на земельный участок под объектом строительства на территории обслуживания филиала «Амурские электрические сети».</w:t>
      </w:r>
    </w:p>
    <w:p>
      <w:pPr>
        <w:pStyle w:val="Normal"/>
        <w:tabs>
          <w:tab w:val="clear" w:pos="708"/>
          <w:tab w:val="left" w:pos="3318" w:leader="none"/>
        </w:tabs>
        <w:jc w:val="center"/>
        <w:rPr>
          <w:highlight w:val="white"/>
        </w:rPr>
      </w:pPr>
      <w:r>
        <w:rPr>
          <w:rFonts w:eastAsia="Calibri" w:cs="Times New Roman" w:ascii="Liberation Serif" w:hAnsi="Liberation Serif"/>
          <w:b/>
          <w:i/>
          <w:color w:val="00000A"/>
          <w:sz w:val="24"/>
          <w:szCs w:val="24"/>
          <w:shd w:fill="FFFFFF" w:val="clear"/>
          <w:lang w:val="ru-RU" w:eastAsia="ru-RU" w:bidi="ar-SA"/>
        </w:rPr>
        <w:t xml:space="preserve"> </w:t>
      </w:r>
    </w:p>
    <w:p>
      <w:pPr>
        <w:pStyle w:val="Normal"/>
        <w:tabs>
          <w:tab w:val="clear" w:pos="708"/>
          <w:tab w:val="left" w:pos="3318" w:leader="none"/>
        </w:tabs>
        <w:jc w:val="center"/>
        <w:rPr>
          <w:rFonts w:ascii="Liberation Serif" w:hAnsi="Liberation Serif"/>
          <w:b/>
          <w:sz w:val="24"/>
          <w:szCs w:val="24"/>
          <w:shd w:fill="FFFFFF" w:val="clear"/>
        </w:rPr>
      </w:pPr>
      <w:r>
        <w:rPr>
          <w:rFonts w:ascii="Liberation Serif" w:hAnsi="Liberation Serif"/>
          <w:b/>
          <w:sz w:val="24"/>
          <w:szCs w:val="24"/>
          <w:shd w:fill="FFFFFF" w:val="clear"/>
        </w:rPr>
      </w:r>
    </w:p>
    <w:p>
      <w:pPr>
        <w:pStyle w:val="BodyText3"/>
        <w:widowControl/>
        <w:numPr>
          <w:ilvl w:val="0"/>
          <w:numId w:val="2"/>
        </w:numPr>
        <w:suppressAutoHyphens w:val="true"/>
        <w:bidi w:val="0"/>
        <w:spacing w:lineRule="auto" w:line="240" w:before="0" w:after="0"/>
        <w:ind w:hanging="0" w:left="794" w:right="0"/>
        <w:jc w:val="left"/>
        <w:rPr>
          <w:highlight w:val="white"/>
        </w:rPr>
      </w:pPr>
      <w:r>
        <w:rPr>
          <w:rFonts w:ascii="Liberation Serif" w:hAnsi="Liberation Serif"/>
          <w:b/>
          <w:bCs/>
          <w:sz w:val="24"/>
          <w:szCs w:val="24"/>
          <w:shd w:fill="FFFFFF" w:val="clear"/>
        </w:rPr>
        <w:t>Основание для выполнения работ:</w:t>
      </w:r>
    </w:p>
    <w:p>
      <w:pPr>
        <w:pStyle w:val="Normal"/>
        <w:tabs>
          <w:tab w:val="clear" w:pos="708"/>
          <w:tab w:val="left" w:pos="3318" w:leader="none"/>
        </w:tabs>
        <w:ind w:firstLine="708"/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>- Инвестиционная программа АО «Дальневосточная распределительная сетевая компания» на 202</w:t>
      </w:r>
      <w:r>
        <w:rPr>
          <w:rFonts w:ascii="Liberation Serif" w:hAnsi="Liberation Serif"/>
          <w:sz w:val="24"/>
          <w:szCs w:val="24"/>
          <w:shd w:fill="FFFFFF" w:val="clear"/>
        </w:rPr>
        <w:t>7</w:t>
      </w:r>
      <w:r>
        <w:rPr>
          <w:rFonts w:ascii="Liberation Serif" w:hAnsi="Liberation Serif"/>
          <w:sz w:val="24"/>
          <w:szCs w:val="24"/>
          <w:shd w:fill="FFFFFF" w:val="clear"/>
        </w:rPr>
        <w:t xml:space="preserve"> г.;</w:t>
      </w:r>
    </w:p>
    <w:p>
      <w:pPr>
        <w:pStyle w:val="Normal"/>
        <w:tabs>
          <w:tab w:val="clear" w:pos="708"/>
          <w:tab w:val="left" w:pos="3318" w:leader="none"/>
        </w:tabs>
        <w:ind w:firstLine="708"/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>- Решение органа публичной власти об установлении публичного сервитута.</w:t>
      </w:r>
    </w:p>
    <w:p>
      <w:pPr>
        <w:pStyle w:val="Normal"/>
        <w:ind w:firstLine="567"/>
        <w:jc w:val="both"/>
        <w:rPr>
          <w:rFonts w:ascii="Liberation Serif" w:hAnsi="Liberation Serif"/>
          <w:sz w:val="24"/>
          <w:szCs w:val="24"/>
          <w:shd w:fill="FFFFFF" w:val="clear"/>
        </w:rPr>
      </w:pPr>
      <w:r>
        <w:rPr>
          <w:rFonts w:ascii="Liberation Serif" w:hAnsi="Liberation Serif"/>
          <w:sz w:val="24"/>
          <w:szCs w:val="24"/>
          <w:shd w:fill="FFFFFF" w:val="clear"/>
        </w:rPr>
      </w:r>
    </w:p>
    <w:p>
      <w:pPr>
        <w:pStyle w:val="BodyText3"/>
        <w:numPr>
          <w:ilvl w:val="0"/>
          <w:numId w:val="2"/>
        </w:numPr>
        <w:tabs>
          <w:tab w:val="clear" w:pos="708"/>
          <w:tab w:val="left" w:pos="851" w:leader="none"/>
        </w:tabs>
        <w:spacing w:before="0" w:after="0"/>
        <w:jc w:val="both"/>
        <w:rPr>
          <w:highlight w:val="white"/>
        </w:rPr>
      </w:pPr>
      <w:r>
        <w:rPr>
          <w:rFonts w:ascii="Liberation Serif" w:hAnsi="Liberation Serif"/>
          <w:b/>
          <w:bCs/>
          <w:sz w:val="24"/>
          <w:szCs w:val="24"/>
          <w:shd w:fill="FFFFFF" w:val="clear"/>
        </w:rPr>
        <w:t>Цель оказания услуг:</w:t>
      </w:r>
    </w:p>
    <w:p>
      <w:pPr>
        <w:pStyle w:val="Normal"/>
        <w:ind w:firstLine="567"/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 xml:space="preserve">Подготовка </w:t>
      </w:r>
      <w:r>
        <w:rPr>
          <w:rFonts w:eastAsia="Calibri" w:ascii="Liberation Serif" w:hAnsi="Liberation Serif" w:eastAsiaTheme="minorHAnsi"/>
          <w:sz w:val="24"/>
          <w:szCs w:val="24"/>
          <w:shd w:fill="FFFFFF" w:val="clear"/>
          <w:lang w:eastAsia="en-US"/>
        </w:rPr>
        <w:t>отчета об оценке размера платы по соглашению об установлении сервитута/публичного сервитута на земельный участок под объектом строительства на территории обслуживания филиала «Амурские электрические сети».</w:t>
      </w:r>
    </w:p>
    <w:p>
      <w:pPr>
        <w:pStyle w:val="BodyText3"/>
        <w:spacing w:before="0" w:after="0"/>
        <w:ind w:firstLine="567"/>
        <w:jc w:val="both"/>
        <w:rPr>
          <w:rFonts w:ascii="Liberation Serif" w:hAnsi="Liberation Serif"/>
          <w:sz w:val="24"/>
          <w:szCs w:val="24"/>
          <w:shd w:fill="FFFFFF" w:val="clear"/>
        </w:rPr>
      </w:pPr>
      <w:r>
        <w:rPr>
          <w:rFonts w:ascii="Liberation Serif" w:hAnsi="Liberation Serif"/>
          <w:sz w:val="24"/>
          <w:szCs w:val="24"/>
          <w:shd w:fill="FFFFFF" w:val="clear"/>
        </w:rPr>
      </w:r>
    </w:p>
    <w:p>
      <w:pPr>
        <w:pStyle w:val="BodyText3"/>
        <w:spacing w:before="0" w:after="0"/>
        <w:ind w:firstLine="567"/>
        <w:rPr>
          <w:highlight w:val="white"/>
        </w:rPr>
      </w:pPr>
      <w:r>
        <w:rPr>
          <w:rFonts w:ascii="Liberation Serif" w:hAnsi="Liberation Serif"/>
          <w:b/>
          <w:bCs/>
          <w:sz w:val="24"/>
          <w:szCs w:val="24"/>
          <w:shd w:fill="FFFFFF" w:val="clear"/>
        </w:rPr>
        <w:t>3. Объект оценки:</w:t>
      </w:r>
    </w:p>
    <w:p>
      <w:pPr>
        <w:pStyle w:val="Normal"/>
        <w:ind w:firstLine="567"/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>Земельные участки, предназначенные для строительства/реконструкции, в том числе объектов в рамках обязательств по технологическому присоединению заявителей к электрическим сетям Общества.</w:t>
      </w:r>
    </w:p>
    <w:p>
      <w:pPr>
        <w:pStyle w:val="Normal"/>
        <w:ind w:firstLine="567"/>
        <w:jc w:val="both"/>
        <w:rPr>
          <w:rFonts w:ascii="Liberation Serif" w:hAnsi="Liberation Serif"/>
          <w:sz w:val="24"/>
          <w:szCs w:val="24"/>
          <w:shd w:fill="FFFFFF" w:val="clear"/>
        </w:rPr>
      </w:pPr>
      <w:r>
        <w:rPr>
          <w:rFonts w:ascii="Liberation Serif" w:hAnsi="Liberation Serif"/>
          <w:sz w:val="24"/>
          <w:szCs w:val="24"/>
          <w:shd w:fill="FFFFFF" w:val="clear"/>
        </w:rPr>
      </w:r>
    </w:p>
    <w:p>
      <w:pPr>
        <w:pStyle w:val="Normal"/>
        <w:shd w:val="clear" w:color="auto" w:fill="FFFFFF"/>
        <w:tabs>
          <w:tab w:val="clear" w:pos="708"/>
          <w:tab w:val="left" w:pos="1003" w:leader="none"/>
        </w:tabs>
        <w:ind w:firstLine="709"/>
        <w:jc w:val="both"/>
        <w:rPr>
          <w:highlight w:val="white"/>
        </w:rPr>
      </w:pPr>
      <w:r>
        <w:rPr>
          <w:rFonts w:ascii="Liberation Serif" w:hAnsi="Liberation Serif"/>
          <w:b/>
          <w:spacing w:val="-12"/>
          <w:sz w:val="24"/>
          <w:szCs w:val="24"/>
          <w:shd w:fill="FFFFFF" w:val="clear"/>
        </w:rPr>
        <w:t>4.</w:t>
      </w:r>
      <w:r>
        <w:rPr>
          <w:rFonts w:ascii="Liberation Serif" w:hAnsi="Liberation Serif"/>
          <w:b/>
          <w:sz w:val="24"/>
          <w:szCs w:val="24"/>
          <w:shd w:fill="FFFFFF" w:val="clear"/>
        </w:rPr>
        <w:tab/>
      </w:r>
      <w:r>
        <w:rPr>
          <w:rFonts w:ascii="Liberation Serif" w:hAnsi="Liberation Serif"/>
          <w:b/>
          <w:bCs/>
          <w:sz w:val="24"/>
          <w:szCs w:val="24"/>
          <w:shd w:fill="FFFFFF" w:val="clear"/>
        </w:rPr>
        <w:t>Основные положения:</w:t>
      </w:r>
    </w:p>
    <w:p>
      <w:pPr>
        <w:pStyle w:val="Normal"/>
        <w:shd w:val="clear" w:color="auto" w:fill="FFFFFF"/>
        <w:tabs>
          <w:tab w:val="clear" w:pos="708"/>
          <w:tab w:val="left" w:pos="709" w:leader="none"/>
        </w:tabs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ab/>
        <w:t xml:space="preserve">4.1. Настоящие техническое задание составлено для заключения договора на выполнение работ по подготовке отчета </w:t>
      </w:r>
      <w:r>
        <w:rPr>
          <w:rFonts w:ascii="Liberation Serif" w:hAnsi="Liberation Serif"/>
          <w:sz w:val="24"/>
          <w:szCs w:val="24"/>
          <w:highlight w:val="white"/>
          <w:shd w:fill="FFFFFF" w:val="clear"/>
        </w:rPr>
        <w:t>об оценке размера платы по соглашению об установлении сервитута/публичного сервитута на земельный участок под объектом строительства на территории обслуживания филиала «Амурские электрические сети».</w:t>
      </w:r>
    </w:p>
    <w:p>
      <w:pPr>
        <w:pStyle w:val="Normal"/>
        <w:ind w:firstLine="540"/>
        <w:jc w:val="both"/>
        <w:rPr/>
      </w:pPr>
      <w:r>
        <w:rPr>
          <w:rFonts w:ascii="Liberation Serif" w:hAnsi="Liberation Serif"/>
          <w:sz w:val="24"/>
          <w:szCs w:val="24"/>
          <w:shd w:fill="FFFFFF" w:val="clear"/>
        </w:rPr>
        <w:t>4.2. Цена договора составит 400 000,00 рублей без учета НДС на весь срок действия договора. Конкретные объёмы выполняемых работ определяются дополнительными соглашениями к заключенному договору, оформляемыми Заказчиком по мере возникновения потребности в выполнении работ.</w:t>
      </w:r>
    </w:p>
    <w:p>
      <w:pPr>
        <w:pStyle w:val="Normal"/>
        <w:ind w:firstLine="540"/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>4.3. Стоимость работ в оформляемых дополнительных соглашениях определяется уточненным расчётом, выполненным на основании стоимости работ, заявленных участником на этапе закупочной процедуры.</w:t>
      </w:r>
    </w:p>
    <w:p>
      <w:pPr>
        <w:pStyle w:val="Normal"/>
        <w:ind w:firstLine="540"/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 xml:space="preserve">4.4. Участником в коммерческом предложении стоимость работ рассчитывается по 4.1 настоящего Технического задания. </w:t>
      </w:r>
    </w:p>
    <w:p>
      <w:pPr>
        <w:pStyle w:val="Normal"/>
        <w:ind w:firstLine="540"/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 xml:space="preserve">4.5. Единицей измерения для работ, предусмотренных пунктом 4.1. настоящего Технического задания </w:t>
      </w:r>
      <w:r>
        <w:rPr>
          <w:rFonts w:ascii="Liberation Serif" w:hAnsi="Liberation Serif"/>
          <w:b/>
          <w:bCs/>
          <w:i/>
          <w:iCs/>
          <w:sz w:val="24"/>
          <w:szCs w:val="24"/>
          <w:shd w:fill="FFFFFF" w:val="clear"/>
        </w:rPr>
        <w:t>является стоимость одного отчета</w:t>
      </w:r>
      <w:r>
        <w:rPr>
          <w:rFonts w:ascii="Liberation Serif" w:hAnsi="Liberation Serif"/>
          <w:sz w:val="24"/>
          <w:szCs w:val="24"/>
          <w:shd w:fill="FFFFFF" w:val="clear"/>
        </w:rPr>
        <w:t>.</w:t>
      </w:r>
    </w:p>
    <w:p>
      <w:pPr>
        <w:pStyle w:val="Normal"/>
        <w:ind w:firstLine="540"/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 xml:space="preserve">4.6. Общая стоимость работ по договору является </w:t>
      </w:r>
      <w:r>
        <w:rPr>
          <w:rFonts w:ascii="Liberation Serif" w:hAnsi="Liberation Serif"/>
          <w:color w:val="000000"/>
          <w:sz w:val="24"/>
          <w:szCs w:val="24"/>
          <w:shd w:fill="FFFFFF" w:val="clear"/>
        </w:rPr>
        <w:t>предельной</w:t>
      </w:r>
      <w:r>
        <w:rPr>
          <w:rFonts w:ascii="Liberation Serif" w:hAnsi="Liberation Serif"/>
          <w:sz w:val="24"/>
          <w:szCs w:val="24"/>
          <w:shd w:fill="FFFFFF" w:val="clear"/>
        </w:rPr>
        <w:t xml:space="preserve"> ценой и не подлежит корректировке до конца срока окончания работ.</w:t>
      </w:r>
    </w:p>
    <w:p>
      <w:pPr>
        <w:pStyle w:val="Normal"/>
        <w:shd w:val="clear" w:color="auto" w:fill="FFFFFF"/>
        <w:tabs>
          <w:tab w:val="clear" w:pos="708"/>
          <w:tab w:val="left" w:pos="567" w:leader="none"/>
        </w:tabs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ab/>
        <w:t>4.7. Конкретный перечень объектов оценки и объемов работ будет установлен в дополнительных соглашениях, которые подписываются на основании уточненного Задания на оценку, подготовленного Заказчиком.</w:t>
      </w:r>
    </w:p>
    <w:p>
      <w:pPr>
        <w:pStyle w:val="Normal"/>
        <w:shd w:val="clear" w:color="auto" w:fill="FFFFFF"/>
        <w:tabs>
          <w:tab w:val="clear" w:pos="708"/>
          <w:tab w:val="left" w:pos="567" w:leader="none"/>
        </w:tabs>
        <w:jc w:val="both"/>
        <w:rPr>
          <w:rFonts w:ascii="Liberation Serif" w:hAnsi="Liberation Serif"/>
          <w:sz w:val="24"/>
          <w:szCs w:val="24"/>
          <w:shd w:fill="FFFFFF" w:val="clear"/>
        </w:rPr>
      </w:pPr>
      <w:r>
        <w:rPr>
          <w:rFonts w:ascii="Liberation Serif" w:hAnsi="Liberation Serif"/>
          <w:sz w:val="24"/>
          <w:szCs w:val="24"/>
          <w:shd w:fill="FFFFFF" w:val="clear"/>
        </w:rPr>
      </w:r>
    </w:p>
    <w:p>
      <w:pPr>
        <w:pStyle w:val="Normal"/>
        <w:tabs>
          <w:tab w:val="clear" w:pos="708"/>
          <w:tab w:val="left" w:pos="3318" w:leader="none"/>
        </w:tabs>
        <w:ind w:firstLine="708"/>
        <w:jc w:val="both"/>
        <w:rPr>
          <w:highlight w:val="white"/>
        </w:rPr>
      </w:pPr>
      <w:r>
        <w:rPr>
          <w:rFonts w:ascii="Liberation Serif" w:hAnsi="Liberation Serif"/>
          <w:b/>
          <w:sz w:val="24"/>
          <w:szCs w:val="24"/>
          <w:shd w:fill="FFFFFF" w:val="clear"/>
        </w:rPr>
        <w:t xml:space="preserve">5.  </w:t>
      </w:r>
      <w:r>
        <w:rPr>
          <w:rFonts w:ascii="Liberation Serif" w:hAnsi="Liberation Serif"/>
          <w:b/>
          <w:spacing w:val="-1"/>
          <w:sz w:val="24"/>
          <w:szCs w:val="24"/>
          <w:shd w:fill="FFFFFF" w:val="clear"/>
        </w:rPr>
        <w:t>Требования к Участнику. Перечень документов, подтверждающих соответствие Участника закупки установленным требованиям</w:t>
      </w:r>
      <w:r>
        <w:rPr>
          <w:rFonts w:ascii="Liberation Serif" w:hAnsi="Liberation Serif"/>
          <w:b/>
          <w:bCs/>
          <w:sz w:val="24"/>
          <w:szCs w:val="24"/>
          <w:shd w:fill="FFFFFF" w:val="clear"/>
        </w:rPr>
        <w:t>:</w:t>
      </w:r>
    </w:p>
    <w:p>
      <w:pPr>
        <w:pStyle w:val="Normal"/>
        <w:tabs>
          <w:tab w:val="clear" w:pos="708"/>
          <w:tab w:val="left" w:pos="3318" w:leader="none"/>
        </w:tabs>
        <w:ind w:firstLine="709"/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>5.1.</w:t>
      </w:r>
      <w:r>
        <w:rPr>
          <w:rFonts w:ascii="Liberation Serif" w:hAnsi="Liberation Serif"/>
          <w:spacing w:val="-1"/>
          <w:sz w:val="24"/>
          <w:szCs w:val="24"/>
          <w:shd w:fill="FFFFFF" w:val="clear"/>
        </w:rPr>
        <w:t xml:space="preserve"> Участник выступает в качестве юридического лица и индивидуального предпринимателя.</w:t>
      </w:r>
    </w:p>
    <w:p>
      <w:pPr>
        <w:pStyle w:val="Normal"/>
        <w:tabs>
          <w:tab w:val="clear" w:pos="708"/>
          <w:tab w:val="left" w:pos="3318" w:leader="none"/>
        </w:tabs>
        <w:ind w:firstLine="709"/>
        <w:jc w:val="both"/>
        <w:rPr/>
      </w:pPr>
      <w:r>
        <w:rPr>
          <w:rFonts w:ascii="Liberation Serif" w:hAnsi="Liberation Serif"/>
          <w:sz w:val="24"/>
          <w:szCs w:val="24"/>
          <w:shd w:fill="FFFFFF" w:val="clear"/>
        </w:rPr>
        <w:t xml:space="preserve">5.2. Если Участник выступает в качестве юридического лица, то в штате организации должны быть специалисты, но не менее 2 (двух), которые вправе осуществлять оценочную деятельность (в соответствии с Федеральным </w:t>
      </w:r>
      <w:hyperlink r:id="rId3">
        <w:r>
          <w:rPr>
            <w:rStyle w:val="Hyperlink"/>
            <w:rFonts w:ascii="Liberation Serif" w:hAnsi="Liberation Serif"/>
            <w:sz w:val="24"/>
            <w:szCs w:val="24"/>
            <w:highlight w:val="white"/>
          </w:rPr>
          <w:t>закон</w:t>
        </w:r>
      </w:hyperlink>
      <w:r>
        <w:rPr>
          <w:rFonts w:ascii="Liberation Serif" w:hAnsi="Liberation Serif"/>
          <w:sz w:val="24"/>
          <w:szCs w:val="24"/>
          <w:shd w:fill="FFFFFF" w:val="clear"/>
        </w:rPr>
        <w:t>ом от 29 июля 1998 года № 135-ФЗ «Об оценочной деятельности в Российской Федерации») и являться членами саморегулируемой организации оценщиков.</w:t>
      </w:r>
    </w:p>
    <w:p>
      <w:pPr>
        <w:pStyle w:val="Normal"/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 xml:space="preserve">           </w:t>
      </w:r>
      <w:r>
        <w:rPr>
          <w:rFonts w:ascii="Liberation Serif" w:hAnsi="Liberation Serif"/>
          <w:sz w:val="24"/>
          <w:szCs w:val="24"/>
          <w:shd w:fill="FFFFFF" w:val="clear"/>
        </w:rPr>
        <w:t xml:space="preserve">5.3. Деятельность участника юридического лица должна быть застрахована </w:t>
      </w:r>
      <w:r>
        <w:rPr>
          <w:rFonts w:eastAsia="Calibri" w:ascii="Liberation Serif" w:hAnsi="Liberation Serif" w:eastAsiaTheme="minorHAnsi"/>
          <w:sz w:val="24"/>
          <w:szCs w:val="24"/>
          <w:shd w:fill="FFFFFF" w:val="clear"/>
          <w:lang w:eastAsia="en-US"/>
        </w:rPr>
        <w:t>в части ответственности за нарушение договора на проведение оценки и ответственность за причинение вреда имуществу третьих лиц в результате нарушения требований Федерального закона</w:t>
      </w:r>
      <w:r>
        <w:rPr>
          <w:rFonts w:ascii="Liberation Serif" w:hAnsi="Liberation Serif"/>
          <w:sz w:val="24"/>
          <w:szCs w:val="24"/>
          <w:shd w:fill="FFFFFF" w:val="clear"/>
        </w:rPr>
        <w:t xml:space="preserve"> от 29 июля 1998 года № 135-ФЗ «Об оценочной деятельности в Российской Федерации»</w:t>
      </w:r>
      <w:r>
        <w:rPr>
          <w:rFonts w:eastAsia="Calibri" w:ascii="Liberation Serif" w:hAnsi="Liberation Serif" w:eastAsiaTheme="minorHAnsi"/>
          <w:sz w:val="24"/>
          <w:szCs w:val="24"/>
          <w:shd w:fill="FFFFFF" w:val="clear"/>
          <w:lang w:eastAsia="en-US"/>
        </w:rPr>
        <w:t xml:space="preserve">, федеральных стандартов оценки, иных нормативных правовых актов Российской Федерации в области оценочной деятельности, стандартов и правил оценочной деятельности на срок не менее чем один год. </w:t>
      </w:r>
    </w:p>
    <w:p>
      <w:pPr>
        <w:pStyle w:val="Normal"/>
        <w:tabs>
          <w:tab w:val="clear" w:pos="708"/>
          <w:tab w:val="left" w:pos="3318" w:leader="none"/>
        </w:tabs>
        <w:ind w:firstLine="709"/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 xml:space="preserve">Соответствие установленному требованию подтверждается путем предоставления участником закупки в составе заявки «Справки о кадровых ресурсах», оформленной по форме, приведенной в Документации о закупке, с обязательным приложением информации о членстве в СРО оценщиков (копию выписки из реестра СРО или сведения в иной форме, содержащие информацию, позволяющую установить наличие оценщика в реестре членов СРО), </w:t>
      </w:r>
      <w:r>
        <w:rPr>
          <w:rFonts w:ascii="Liberation Serif" w:hAnsi="Liberation Serif"/>
          <w:color w:val="000000"/>
          <w:sz w:val="24"/>
          <w:szCs w:val="24"/>
          <w:shd w:fill="FFFFFF" w:val="clear"/>
        </w:rPr>
        <w:t>полис страхования.</w:t>
      </w:r>
      <w:r>
        <w:rPr>
          <w:rFonts w:ascii="Liberation Serif" w:hAnsi="Liberation Serif"/>
          <w:sz w:val="24"/>
          <w:szCs w:val="24"/>
          <w:shd w:fill="FFFFFF" w:val="clear"/>
        </w:rPr>
        <w:t xml:space="preserve">          </w:t>
      </w:r>
    </w:p>
    <w:p>
      <w:pPr>
        <w:pStyle w:val="Normal"/>
        <w:tabs>
          <w:tab w:val="clear" w:pos="708"/>
          <w:tab w:val="left" w:pos="3318" w:leader="none"/>
        </w:tabs>
        <w:ind w:firstLine="709"/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>5.4. Если участник выступает в качестве индивидуального предпринимателя (оценщик, занимающийся частной практикой), то он должен быть зарегистрирован в этом качестве в установленном законодательством Российской Федерации порядке.</w:t>
      </w:r>
    </w:p>
    <w:p>
      <w:pPr>
        <w:pStyle w:val="Normal"/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 xml:space="preserve">          </w:t>
      </w:r>
      <w:r>
        <w:rPr>
          <w:rFonts w:ascii="Liberation Serif" w:hAnsi="Liberation Serif"/>
          <w:sz w:val="24"/>
          <w:szCs w:val="24"/>
          <w:shd w:fill="FFFFFF" w:val="clear"/>
        </w:rPr>
        <w:t xml:space="preserve">5.5. Участник, выступающий в качестве индивидуального предпринимателя  должен быть членом СРО оценщиков  и  быть застрахованным в части  </w:t>
      </w:r>
      <w:r>
        <w:rPr>
          <w:rFonts w:eastAsia="Calibri" w:ascii="Liberation Serif" w:hAnsi="Liberation Serif" w:eastAsiaTheme="minorHAnsi"/>
          <w:sz w:val="24"/>
          <w:szCs w:val="24"/>
          <w:shd w:fill="FFFFFF" w:val="clear"/>
          <w:lang w:eastAsia="en-US"/>
        </w:rPr>
        <w:t>ответственности за нарушение договора на проведение оценки и ответственность за причинение вреда имуществу третьих лиц в результате нарушения требований Федерального закона</w:t>
      </w:r>
      <w:r>
        <w:rPr>
          <w:rFonts w:ascii="Liberation Serif" w:hAnsi="Liberation Serif"/>
          <w:sz w:val="24"/>
          <w:szCs w:val="24"/>
          <w:shd w:fill="FFFFFF" w:val="clear"/>
        </w:rPr>
        <w:t xml:space="preserve"> от 29 июля 1998 года № 135-ФЗ «Об оценочной деятельности в Российской Федерации»</w:t>
      </w:r>
      <w:r>
        <w:rPr>
          <w:rFonts w:eastAsia="Calibri" w:ascii="Liberation Serif" w:hAnsi="Liberation Serif" w:eastAsiaTheme="minorHAnsi"/>
          <w:sz w:val="24"/>
          <w:szCs w:val="24"/>
          <w:shd w:fill="FFFFFF" w:val="clear"/>
          <w:lang w:eastAsia="en-US"/>
        </w:rPr>
        <w:t xml:space="preserve">, федеральных стандартов оценки, иных нормативных правовых актов Российской Федерации в области оценочной деятельности, стандартов и правил оценочной деятельности на срок не менее чем один год. </w:t>
      </w:r>
    </w:p>
    <w:p>
      <w:pPr>
        <w:pStyle w:val="Normal"/>
        <w:tabs>
          <w:tab w:val="clear" w:pos="708"/>
          <w:tab w:val="left" w:pos="3318" w:leader="none"/>
        </w:tabs>
        <w:ind w:firstLine="709"/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>Соответствие установленному требованию подтверждается путем предоставления участником закупки информации о членстве в СРО оценщиков (копию выписки из реестра СРО или сведения в иной форме, содержащие информацию, позволяющую установить наличие оценщика в реестре членов СРО), полис страхования.</w:t>
      </w:r>
    </w:p>
    <w:p>
      <w:pPr>
        <w:pStyle w:val="ConsPlusNormal"/>
        <w:tabs>
          <w:tab w:val="clear" w:pos="708"/>
          <w:tab w:val="left" w:pos="0" w:leader="none"/>
        </w:tabs>
        <w:jc w:val="both"/>
        <w:rPr>
          <w:rFonts w:ascii="Liberation Serif" w:hAnsi="Liberation Serif" w:cs="Times New Roman"/>
          <w:bCs/>
          <w:sz w:val="24"/>
          <w:szCs w:val="24"/>
          <w:shd w:fill="FFFFFF" w:val="clear"/>
        </w:rPr>
      </w:pPr>
      <w:r>
        <w:rPr>
          <w:rFonts w:cs="Times New Roman" w:ascii="Liberation Serif" w:hAnsi="Liberation Serif"/>
          <w:bCs/>
          <w:sz w:val="24"/>
          <w:szCs w:val="24"/>
          <w:shd w:fill="FFFFFF" w:val="clear"/>
        </w:rPr>
      </w:r>
    </w:p>
    <w:p>
      <w:pPr>
        <w:pStyle w:val="BodyText3"/>
        <w:spacing w:before="0" w:after="0"/>
        <w:ind w:firstLine="567"/>
        <w:rPr>
          <w:highlight w:val="white"/>
        </w:rPr>
      </w:pPr>
      <w:r>
        <w:rPr>
          <w:rFonts w:ascii="Liberation Serif" w:hAnsi="Liberation Serif"/>
          <w:b/>
          <w:bCs/>
          <w:sz w:val="24"/>
          <w:szCs w:val="24"/>
          <w:shd w:fill="FFFFFF" w:val="clear"/>
        </w:rPr>
        <w:t>6. Исходные данные для оказания услуг:</w:t>
      </w:r>
    </w:p>
    <w:p>
      <w:pPr>
        <w:pStyle w:val="BodyText3"/>
        <w:spacing w:before="0" w:after="0"/>
        <w:ind w:firstLine="567"/>
        <w:jc w:val="both"/>
        <w:rPr>
          <w:highlight w:val="white"/>
        </w:rPr>
      </w:pPr>
      <w:r>
        <w:rPr>
          <w:rFonts w:ascii="Liberation Serif" w:hAnsi="Liberation Serif"/>
          <w:b w:val="false"/>
          <w:bCs w:val="false"/>
          <w:sz w:val="24"/>
          <w:szCs w:val="24"/>
          <w:shd w:fill="FFFFFF" w:val="clear"/>
        </w:rPr>
        <w:t>Заказчик для исполнения договора будет передавать Исполнителю следующие исходные документы (при наличии):</w:t>
      </w:r>
      <w:r>
        <w:rPr>
          <w:rFonts w:ascii="Liberation Serif" w:hAnsi="Liberation Serif"/>
          <w:b/>
          <w:bCs/>
          <w:sz w:val="24"/>
          <w:szCs w:val="24"/>
          <w:shd w:fill="FFFFFF" w:val="clear"/>
        </w:rPr>
        <w:t xml:space="preserve"> </w:t>
      </w:r>
    </w:p>
    <w:p>
      <w:pPr>
        <w:pStyle w:val="BodyText3"/>
        <w:spacing w:before="0" w:after="0"/>
        <w:ind w:firstLine="567"/>
        <w:jc w:val="both"/>
        <w:rPr>
          <w:highlight w:val="white"/>
        </w:rPr>
      </w:pPr>
      <w:r>
        <w:rPr>
          <w:rFonts w:eastAsia="Calibri" w:ascii="Liberation Serif" w:hAnsi="Liberation Serif" w:eastAsiaTheme="minorHAnsi"/>
          <w:sz w:val="24"/>
          <w:szCs w:val="24"/>
          <w:shd w:fill="FFFFFF" w:val="clear"/>
          <w:lang w:eastAsia="en-US"/>
        </w:rPr>
        <w:t>6.1. Выписка из Единого государственного реестра недвижимости об основных характеристиках и зарегистрированных правах на объект недвижимости;</w:t>
      </w:r>
    </w:p>
    <w:p>
      <w:pPr>
        <w:pStyle w:val="BodyText3"/>
        <w:spacing w:before="0" w:after="0"/>
        <w:ind w:firstLine="567"/>
        <w:jc w:val="both"/>
        <w:rPr>
          <w:highlight w:val="white"/>
        </w:rPr>
      </w:pPr>
      <w:r>
        <w:rPr>
          <w:rFonts w:eastAsia="Calibri" w:ascii="Liberation Serif" w:hAnsi="Liberation Serif" w:eastAsiaTheme="minorHAnsi"/>
          <w:sz w:val="24"/>
          <w:szCs w:val="24"/>
          <w:shd w:fill="FFFFFF" w:val="clear"/>
          <w:lang w:eastAsia="en-US"/>
        </w:rPr>
        <w:t>6.2. Схема границ сервитута на кадастровом плане территории либо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координат;</w:t>
      </w:r>
    </w:p>
    <w:p>
      <w:pPr>
        <w:pStyle w:val="BodyText3"/>
        <w:spacing w:before="0" w:after="0"/>
        <w:ind w:firstLine="567"/>
        <w:jc w:val="both"/>
        <w:rPr>
          <w:highlight w:val="white"/>
        </w:rPr>
      </w:pPr>
      <w:r>
        <w:rPr>
          <w:rFonts w:eastAsia="Calibri" w:ascii="Liberation Serif" w:hAnsi="Liberation Serif" w:eastAsiaTheme="minorHAnsi"/>
          <w:sz w:val="24"/>
          <w:szCs w:val="24"/>
          <w:shd w:fill="FFFFFF" w:val="clear"/>
          <w:lang w:eastAsia="en-US"/>
        </w:rPr>
        <w:t>6.3. Правоустанавливающие документы на земельные участки.</w:t>
      </w:r>
    </w:p>
    <w:p>
      <w:pPr>
        <w:pStyle w:val="BodyText3"/>
        <w:spacing w:before="0" w:after="0"/>
        <w:ind w:firstLine="567"/>
        <w:rPr>
          <w:rFonts w:ascii="Liberation Serif" w:hAnsi="Liberation Serif"/>
          <w:b/>
          <w:bCs/>
          <w:sz w:val="24"/>
          <w:szCs w:val="24"/>
          <w:shd w:fill="FFFFFF" w:val="clear"/>
        </w:rPr>
      </w:pPr>
      <w:r>
        <w:rPr>
          <w:rFonts w:ascii="Liberation Serif" w:hAnsi="Liberation Serif"/>
          <w:b/>
          <w:bCs/>
          <w:sz w:val="24"/>
          <w:szCs w:val="24"/>
          <w:shd w:fill="FFFFFF" w:val="clear"/>
        </w:rPr>
      </w:r>
    </w:p>
    <w:p>
      <w:pPr>
        <w:pStyle w:val="BodyText3"/>
        <w:spacing w:before="0" w:after="0"/>
        <w:ind w:firstLine="567"/>
        <w:rPr>
          <w:highlight w:val="white"/>
        </w:rPr>
      </w:pPr>
      <w:r>
        <w:rPr>
          <w:rFonts w:ascii="Liberation Serif" w:hAnsi="Liberation Serif"/>
          <w:b/>
          <w:bCs/>
          <w:sz w:val="24"/>
          <w:szCs w:val="24"/>
          <w:shd w:fill="FFFFFF" w:val="clear"/>
        </w:rPr>
        <w:t>7. Требования к выполнению работ:</w:t>
      </w:r>
    </w:p>
    <w:p>
      <w:pPr>
        <w:pStyle w:val="Normal"/>
        <w:ind w:firstLine="540"/>
        <w:jc w:val="both"/>
        <w:rPr>
          <w:highlight w:val="white"/>
        </w:rPr>
      </w:pPr>
      <w:r>
        <w:rPr>
          <w:rFonts w:ascii="Liberation Serif" w:hAnsi="Liberation Serif"/>
          <w:b/>
          <w:bCs/>
          <w:sz w:val="24"/>
          <w:szCs w:val="24"/>
          <w:shd w:fill="FFFFFF" w:val="clear"/>
        </w:rPr>
        <w:t>7.1. Выполнение работ по подготовке отчета об оценке размера платы по соглашению об установлении сервитута/публичного сервитута на земельный участок под объектом строительства, включая убытки, причиненные правообладателю земельного участка на территории обслуживания филиала "Амурские электрические сети"</w:t>
      </w:r>
    </w:p>
    <w:p>
      <w:pPr>
        <w:pStyle w:val="Normal"/>
        <w:ind w:firstLine="540"/>
        <w:jc w:val="both"/>
        <w:rPr>
          <w:highlight w:val="white"/>
        </w:rPr>
      </w:pPr>
      <w:r>
        <w:rPr>
          <w:rFonts w:ascii="Liberation Serif" w:hAnsi="Liberation Serif"/>
          <w:b w:val="false"/>
          <w:bCs w:val="false"/>
          <w:sz w:val="24"/>
          <w:szCs w:val="24"/>
          <w:shd w:fill="FFFFFF" w:val="clear"/>
        </w:rPr>
        <w:t>7.1.1. В зависимости от требуемой квалификации, опыта оказания аналогичных услуг, а также фактической загрузки Оценщика / Оценщиков на дату начала оказания Услуг, Исполнитель выбирает для оказания Услуг Оценщика / Оценщиков из указанных в Перечне работников Исполнителя, имеющих право на проведение оценки, содержащем также сведения об обязательном страховании гражданской ответственности и о саморегулируемых организациях оценщиков, членами которых являются Оценщики.</w:t>
      </w:r>
    </w:p>
    <w:p>
      <w:pPr>
        <w:pStyle w:val="Normal"/>
        <w:ind w:firstLine="540"/>
        <w:jc w:val="both"/>
        <w:rPr>
          <w:highlight w:val="white"/>
        </w:rPr>
      </w:pPr>
      <w:r>
        <w:rPr>
          <w:rFonts w:ascii="Liberation Serif" w:hAnsi="Liberation Serif"/>
          <w:b w:val="false"/>
          <w:bCs w:val="false"/>
          <w:sz w:val="24"/>
          <w:szCs w:val="24"/>
          <w:shd w:fill="FFFFFF" w:val="clear"/>
        </w:rPr>
        <w:t>7.1.2. Оценка Объекта оценки осуществляется по состоянию на дату (далее по тексту – «Дата оценки»), указанную в  дополнительных соглашениях, которые подписываются на основании уточненного Задания на оценку, подготовленного Заказчиком.</w:t>
      </w:r>
    </w:p>
    <w:p>
      <w:pPr>
        <w:pStyle w:val="Normal"/>
        <w:ind w:firstLine="540"/>
        <w:jc w:val="both"/>
        <w:rPr>
          <w:highlight w:val="white"/>
        </w:rPr>
      </w:pPr>
      <w:r>
        <w:rPr>
          <w:rFonts w:ascii="Liberation Serif" w:hAnsi="Liberation Serif"/>
          <w:b w:val="false"/>
          <w:bCs w:val="false"/>
          <w:sz w:val="24"/>
          <w:szCs w:val="24"/>
          <w:shd w:fill="FFFFFF" w:val="clear"/>
        </w:rPr>
        <w:t>7.1.3. Оценка рыночной стоимости должна проводиться в соответствии с Федеральным законом от 29.07.1998 № 135-ФЗ «Об оценочной деятельности в Российской Федерации» и федеральными стандартами оценки, указанными в пункте 9 настоящего Технического задания.</w:t>
      </w:r>
    </w:p>
    <w:p>
      <w:pPr>
        <w:pStyle w:val="Normal"/>
        <w:ind w:firstLine="540"/>
        <w:jc w:val="both"/>
        <w:rPr>
          <w:highlight w:val="white"/>
        </w:rPr>
      </w:pPr>
      <w:r>
        <w:rPr>
          <w:rFonts w:ascii="Liberation Serif" w:hAnsi="Liberation Serif"/>
          <w:b w:val="false"/>
          <w:bCs w:val="false"/>
          <w:sz w:val="24"/>
          <w:szCs w:val="24"/>
          <w:shd w:fill="FFFFFF" w:val="clear"/>
        </w:rPr>
        <w:t xml:space="preserve">7.1.4. В случае необходимости актуализации рыночной стоимости Объекта оценки по состоянию на более поздние даты Исполнитель по требованию Заказчика в рамках Договора обязан провести актуализацию оценки. Взаимоотношения Сторон в части порядка, сроков и стоимости услуг по актуализации оценки оформляются путем заключения дополнительного соглашения к Договору. </w:t>
      </w:r>
    </w:p>
    <w:p>
      <w:pPr>
        <w:pStyle w:val="Normal"/>
        <w:ind w:firstLine="540"/>
        <w:jc w:val="both"/>
        <w:rPr>
          <w:highlight w:val="white"/>
        </w:rPr>
      </w:pPr>
      <w:r>
        <w:rPr>
          <w:rFonts w:ascii="Liberation Serif" w:hAnsi="Liberation Serif"/>
          <w:b w:val="false"/>
          <w:bCs w:val="false"/>
          <w:sz w:val="24"/>
          <w:szCs w:val="24"/>
          <w:shd w:fill="FFFFFF" w:val="clear"/>
        </w:rPr>
        <w:t>В случае необходимости актуализации даты составления Отчета об оценке (по истечении 6 (шести) месяцев с даты его составления) Исполнитель по требованию Заказчика в рамках Договора обязан подготовить и направить Заказчику Отчет об оценке со скорректированной датой составления без дополнительной оплаты.</w:t>
      </w:r>
    </w:p>
    <w:p>
      <w:pPr>
        <w:pStyle w:val="Normal"/>
        <w:ind w:firstLine="540"/>
        <w:jc w:val="both"/>
        <w:rPr>
          <w:highlight w:val="white"/>
        </w:rPr>
      </w:pPr>
      <w:r>
        <w:rPr>
          <w:rFonts w:ascii="Liberation Serif" w:hAnsi="Liberation Serif"/>
          <w:b w:val="false"/>
          <w:bCs w:val="false"/>
          <w:sz w:val="24"/>
          <w:szCs w:val="24"/>
          <w:shd w:fill="FFFFFF" w:val="clear"/>
        </w:rPr>
        <w:t>7.1.5. Отчет об оценке не должен допускать неоднозначного толкования или вводить в заблуждение. В Отчете об оценке в обязательном порядке указываются дата проведения оценки Объекта оценки, используемые Стандарты оценки, цели и задачи проведения оценки Объекта оценки, а также приводятся иные сведения, которые необходимы для полного и недвусмысленного толкования результатов проведения оценки Объекта оценки, отраженных в Отчете об оценке.</w:t>
      </w:r>
    </w:p>
    <w:p>
      <w:pPr>
        <w:pStyle w:val="Normal"/>
        <w:ind w:firstLine="540"/>
        <w:jc w:val="both"/>
        <w:rPr>
          <w:shd w:fill="FFFFFF" w:val="clear"/>
        </w:rPr>
      </w:pPr>
      <w:r>
        <w:rPr>
          <w:shd w:fill="FFFFFF" w:val="clear"/>
        </w:rPr>
      </w:r>
    </w:p>
    <w:p>
      <w:pPr>
        <w:pStyle w:val="Normal"/>
        <w:tabs>
          <w:tab w:val="clear" w:pos="708"/>
          <w:tab w:val="left" w:pos="3318" w:leader="none"/>
        </w:tabs>
        <w:ind w:firstLine="567"/>
        <w:jc w:val="both"/>
        <w:rPr>
          <w:highlight w:val="white"/>
        </w:rPr>
      </w:pPr>
      <w:r>
        <w:rPr>
          <w:rFonts w:ascii="Liberation Serif" w:hAnsi="Liberation Serif"/>
          <w:b/>
          <w:bCs/>
          <w:sz w:val="24"/>
          <w:szCs w:val="24"/>
          <w:shd w:fill="FFFFFF" w:val="clear"/>
        </w:rPr>
        <w:t xml:space="preserve">8. </w:t>
      </w:r>
      <w:r>
        <w:rPr>
          <w:rFonts w:ascii="Liberation Serif" w:hAnsi="Liberation Serif"/>
          <w:b/>
          <w:sz w:val="24"/>
          <w:szCs w:val="24"/>
          <w:shd w:fill="FFFFFF" w:val="clear"/>
        </w:rPr>
        <w:t>Приёмка оказанных услуг (выполненных работ) их оплата:</w:t>
      </w:r>
    </w:p>
    <w:p>
      <w:pPr>
        <w:pStyle w:val="Normal"/>
        <w:tabs>
          <w:tab w:val="clear" w:pos="708"/>
          <w:tab w:val="left" w:pos="3318" w:leader="none"/>
        </w:tabs>
        <w:ind w:firstLine="709"/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>8.1 Приёмка оказанных услуг (выполненных работ) осуществляется в соответствии с актом об оказании услуг (выполненных работ), по форме предусмотренной договором, предоставляемым Исполнителем, с приложением к нему комплекта документации:</w:t>
      </w:r>
    </w:p>
    <w:p>
      <w:pPr>
        <w:pStyle w:val="Normal"/>
        <w:tabs>
          <w:tab w:val="clear" w:pos="708"/>
          <w:tab w:val="left" w:pos="3318" w:leader="none"/>
        </w:tabs>
        <w:ind w:firstLine="709"/>
        <w:jc w:val="both"/>
        <w:rPr>
          <w:highlight w:val="white"/>
        </w:rPr>
      </w:pPr>
      <w:r>
        <w:rPr>
          <w:rFonts w:ascii="Liberation Serif" w:hAnsi="Liberation Serif"/>
          <w:b w:val="false"/>
          <w:bCs w:val="false"/>
          <w:sz w:val="24"/>
          <w:szCs w:val="24"/>
          <w:shd w:fill="FFFFFF" w:val="clear"/>
        </w:rPr>
        <w:t>- Отчет об оценке;</w:t>
      </w:r>
    </w:p>
    <w:p>
      <w:pPr>
        <w:pStyle w:val="BodyTextIndent"/>
        <w:spacing w:before="0" w:after="0"/>
        <w:ind w:firstLine="709" w:left="0"/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>8.1.2. Результаты работ предоставляются Заказчику в бумажном или электроном виде по каждому объекту оценки, количество и формат результата выполнения работ предусмотренного пунктом 7.1. настоящего Задания будет установлен в дополнительных соглашениях, которые подписываются на основании уточненного Задания на оценку, подготовленного Заказчиком.</w:t>
      </w:r>
    </w:p>
    <w:p>
      <w:pPr>
        <w:pStyle w:val="Normal"/>
        <w:tabs>
          <w:tab w:val="clear" w:pos="708"/>
          <w:tab w:val="left" w:pos="3318" w:leader="none"/>
        </w:tabs>
        <w:ind w:firstLine="709"/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>8.2. Приемка результата работ осуществляется в соответствии с требованиями раздела 5 проекта договора.</w:t>
      </w:r>
    </w:p>
    <w:p>
      <w:pPr>
        <w:pStyle w:val="Normal"/>
        <w:tabs>
          <w:tab w:val="clear" w:pos="708"/>
          <w:tab w:val="left" w:pos="3318" w:leader="none"/>
        </w:tabs>
        <w:ind w:firstLine="709"/>
        <w:jc w:val="both"/>
        <w:rPr>
          <w:rFonts w:ascii="Liberation Serif" w:hAnsi="Liberation Serif"/>
          <w:sz w:val="24"/>
          <w:szCs w:val="24"/>
          <w:shd w:fill="FFFFFF" w:val="clear"/>
        </w:rPr>
      </w:pPr>
      <w:r>
        <w:rPr>
          <w:rFonts w:ascii="Liberation Serif" w:hAnsi="Liberation Serif"/>
          <w:sz w:val="24"/>
          <w:szCs w:val="24"/>
          <w:shd w:fill="FFFFFF" w:val="clear"/>
        </w:rPr>
      </w:r>
    </w:p>
    <w:p>
      <w:pPr>
        <w:pStyle w:val="BodyText3"/>
        <w:jc w:val="center"/>
        <w:rPr>
          <w:highlight w:val="white"/>
        </w:rPr>
      </w:pPr>
      <w:r>
        <w:rPr>
          <w:rFonts w:ascii="Liberation Serif" w:hAnsi="Liberation Serif"/>
          <w:b/>
          <w:sz w:val="24"/>
          <w:szCs w:val="24"/>
          <w:shd w:fill="FFFFFF" w:val="clear"/>
        </w:rPr>
        <w:t>9.</w:t>
      </w:r>
      <w:r>
        <w:rPr>
          <w:rFonts w:ascii="Liberation Serif" w:hAnsi="Liberation Serif"/>
          <w:sz w:val="24"/>
          <w:szCs w:val="24"/>
          <w:shd w:fill="FFFFFF" w:val="clear"/>
        </w:rPr>
        <w:t xml:space="preserve"> </w:t>
      </w:r>
      <w:r>
        <w:rPr>
          <w:rFonts w:ascii="Liberation Serif" w:hAnsi="Liberation Serif"/>
          <w:b/>
          <w:bCs/>
          <w:sz w:val="24"/>
          <w:szCs w:val="24"/>
          <w:shd w:fill="FFFFFF" w:val="clear"/>
        </w:rPr>
        <w:t>Основные требования к услугам и представляемой документации:</w:t>
      </w:r>
    </w:p>
    <w:p>
      <w:pPr>
        <w:pStyle w:val="BodyText3"/>
        <w:spacing w:before="0" w:after="0"/>
        <w:ind w:firstLine="708"/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>9.1. Оценка рыночной стоимости акций должна проводиться в соответствии с Федеральным законом от 29.07.1998№ 135-ФЗ «Об оценочной деятельности в Российской Федерации» и федеральными стандартами оценки:</w:t>
      </w:r>
    </w:p>
    <w:p>
      <w:pPr>
        <w:pStyle w:val="BodyText3"/>
        <w:spacing w:before="0" w:after="0"/>
        <w:ind w:firstLine="708"/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>- Федеральный стандарт оценки «Структура федеральных стандартов оценки и основные понятия, используемые в федеральных стандартах оценки (ФСО I)», утвержденный приказом Минэкономразвития России от 14 апреля 2022 г. № 200 (далее – ФСО I);</w:t>
      </w:r>
    </w:p>
    <w:p>
      <w:pPr>
        <w:pStyle w:val="BodyText3"/>
        <w:spacing w:before="0" w:after="0"/>
        <w:ind w:firstLine="708"/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>- Федеральный стандарт оценки «Виды стоимости (ФСО II)», утвержденный приказом Минэкономразвития России от 14 апреля 2022 г. № 200 (далее – ФСО II);</w:t>
      </w:r>
    </w:p>
    <w:p>
      <w:pPr>
        <w:pStyle w:val="BodyText3"/>
        <w:spacing w:before="0" w:after="0"/>
        <w:ind w:firstLine="708"/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>- Федеральный стандарт оценки «Процесс оценки (ФСО III)», утвержденный приказом Минэкономразвития России от 14 апреля 2022 г. № 200 (далее – ФСО III);</w:t>
      </w:r>
    </w:p>
    <w:p>
      <w:pPr>
        <w:pStyle w:val="BodyText3"/>
        <w:spacing w:before="0" w:after="0"/>
        <w:ind w:firstLine="708"/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>- Федеральный стандарт оценки «Задание на оценку (ФСО IV)», утвержденный приказом Минэкономразвития России от 14 апреля 2022 г. № 200 (далее – ФСО IV);</w:t>
      </w:r>
    </w:p>
    <w:p>
      <w:pPr>
        <w:pStyle w:val="BodyText3"/>
        <w:spacing w:before="0" w:after="0"/>
        <w:ind w:firstLine="708"/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>- Федеральный стандарт оценки «Подходы и методы оценки (ФСО V)», утвержденный приказом Минэкономразвития России от 14 апреля 2022 г. № 200 (далее – ФСО V);</w:t>
      </w:r>
    </w:p>
    <w:p>
      <w:pPr>
        <w:pStyle w:val="BodyText3"/>
        <w:spacing w:before="0" w:after="0"/>
        <w:ind w:firstLine="708"/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>- Федеральный стандарт оценки «Отчет об оценке (ФСО VI)», утвержденный приказом Минэкономразвития России от 14 апреля 2022 г. № 200 (далее – ФСО VI);</w:t>
      </w:r>
    </w:p>
    <w:p>
      <w:pPr>
        <w:pStyle w:val="BodyText3"/>
        <w:spacing w:before="0" w:after="0"/>
        <w:ind w:firstLine="708"/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 xml:space="preserve">    • </w:t>
      </w:r>
      <w:r>
        <w:rPr>
          <w:rFonts w:ascii="Liberation Serif" w:hAnsi="Liberation Serif"/>
          <w:sz w:val="24"/>
          <w:szCs w:val="24"/>
          <w:shd w:fill="FFFFFF" w:val="clear"/>
        </w:rPr>
        <w:t>Федеральный стандарт оценки, утвержденный приказом Минэкономразвития России от 04.07.2011 № 328 «Об утверждении федерального стандарта оценки «Виды экспертизы, порядок ее проведения, требования к экспертному заключению и порядку его утверждения (ФСО № 5)»;</w:t>
      </w:r>
    </w:p>
    <w:p>
      <w:pPr>
        <w:pStyle w:val="BodyText3"/>
        <w:spacing w:before="0" w:after="0"/>
        <w:ind w:firstLine="708"/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 xml:space="preserve">    • </w:t>
      </w:r>
      <w:r>
        <w:rPr>
          <w:rFonts w:ascii="Liberation Serif" w:hAnsi="Liberation Serif"/>
          <w:sz w:val="24"/>
          <w:szCs w:val="24"/>
          <w:shd w:fill="FFFFFF" w:val="clear"/>
        </w:rPr>
        <w:t>Федеральный стандарт оценки, утвержденный приказом Минэкономразвития России от 25.09.2014 № 611 «Об утверждении федерального стандарта оценки «Оценка недвижимости (ФСО № 7)»;</w:t>
      </w:r>
    </w:p>
    <w:p>
      <w:pPr>
        <w:pStyle w:val="BodyText3"/>
        <w:spacing w:before="0" w:after="0"/>
        <w:ind w:firstLine="708"/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 xml:space="preserve">    • </w:t>
      </w:r>
      <w:r>
        <w:rPr>
          <w:rFonts w:ascii="Liberation Serif" w:hAnsi="Liberation Serif"/>
          <w:sz w:val="24"/>
          <w:szCs w:val="24"/>
          <w:shd w:fill="FFFFFF" w:val="clear"/>
        </w:rPr>
        <w:t>Федеральный стандарт оценки, утвержденный приказом Минэкономразвития России от 01.06.2015 № 326 «Об утверждении федерального стандарта оценки «Оценка бизнеса (ФСО № 8)»;</w:t>
      </w:r>
    </w:p>
    <w:p>
      <w:pPr>
        <w:pStyle w:val="BodyText3"/>
        <w:spacing w:before="0" w:after="0"/>
        <w:ind w:firstLine="708"/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 xml:space="preserve">    • </w:t>
      </w:r>
      <w:r>
        <w:rPr>
          <w:rFonts w:ascii="Liberation Serif" w:hAnsi="Liberation Serif"/>
          <w:sz w:val="24"/>
          <w:szCs w:val="24"/>
          <w:shd w:fill="FFFFFF" w:val="clear"/>
        </w:rPr>
        <w:t>Федеральный стандарт оценки, утвержденный приказом Минэкономразвития России от 01.06.2015 № 328 «Об утверждении федерального стандарта оценки «Оценка стоимости машин и оборудования (ФСО № 10)»;</w:t>
      </w:r>
    </w:p>
    <w:p>
      <w:pPr>
        <w:pStyle w:val="BodyText3"/>
        <w:spacing w:before="0" w:after="0"/>
        <w:ind w:firstLine="708"/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 xml:space="preserve">    • </w:t>
      </w:r>
      <w:r>
        <w:rPr>
          <w:rFonts w:ascii="Liberation Serif" w:hAnsi="Liberation Serif"/>
          <w:sz w:val="24"/>
          <w:szCs w:val="24"/>
          <w:shd w:fill="FFFFFF" w:val="clear"/>
        </w:rPr>
        <w:t>Федеральный стандарт оценки, утвержденный приказом Минэкономразвития России от 30.11.2022 № 659 «Об утверждении федерального стандарта оценки «Оценка интеллектуальной собственности и нематериальных активов (ФСО № XI)».</w:t>
      </w:r>
    </w:p>
    <w:p>
      <w:pPr>
        <w:pStyle w:val="Normal"/>
        <w:rPr>
          <w:rFonts w:ascii="Liberation Serif" w:hAnsi="Liberation Serif"/>
          <w:sz w:val="24"/>
          <w:szCs w:val="24"/>
          <w:shd w:fill="FFFFFF" w:val="clear"/>
        </w:rPr>
      </w:pPr>
      <w:r>
        <w:rPr>
          <w:rFonts w:ascii="Liberation Serif" w:hAnsi="Liberation Serif"/>
          <w:sz w:val="24"/>
          <w:szCs w:val="24"/>
          <w:shd w:fill="FFFFFF" w:val="clear"/>
        </w:rPr>
      </w:r>
    </w:p>
    <w:p>
      <w:pPr>
        <w:pStyle w:val="Normal"/>
        <w:tabs>
          <w:tab w:val="clear" w:pos="708"/>
          <w:tab w:val="left" w:pos="3318" w:leader="none"/>
        </w:tabs>
        <w:ind w:firstLine="709"/>
        <w:jc w:val="both"/>
        <w:rPr>
          <w:highlight w:val="white"/>
        </w:rPr>
      </w:pPr>
      <w:r>
        <w:rPr>
          <w:rFonts w:ascii="Liberation Serif" w:hAnsi="Liberation Serif"/>
          <w:b/>
          <w:sz w:val="24"/>
          <w:szCs w:val="24"/>
          <w:shd w:fill="FFFFFF" w:val="clear"/>
        </w:rPr>
        <w:t>10. Срок оказания услуг:</w:t>
      </w:r>
    </w:p>
    <w:p>
      <w:pPr>
        <w:pStyle w:val="Normal"/>
        <w:tabs>
          <w:tab w:val="clear" w:pos="708"/>
          <w:tab w:val="left" w:pos="3318" w:leader="none"/>
        </w:tabs>
        <w:ind w:firstLine="709"/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>Начало работ – с момента заключения договора.</w:t>
      </w:r>
    </w:p>
    <w:p>
      <w:pPr>
        <w:pStyle w:val="Normal"/>
        <w:tabs>
          <w:tab w:val="clear" w:pos="708"/>
          <w:tab w:val="left" w:pos="3318" w:leader="none"/>
        </w:tabs>
        <w:ind w:firstLine="709"/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>Окончание работ – 31.12.2027.</w:t>
      </w:r>
    </w:p>
    <w:p>
      <w:pPr>
        <w:pStyle w:val="ConsNormal"/>
        <w:tabs>
          <w:tab w:val="clear" w:pos="708"/>
          <w:tab w:val="left" w:pos="567" w:leader="none"/>
          <w:tab w:val="left" w:pos="709" w:leader="none"/>
          <w:tab w:val="left" w:pos="851" w:leader="none"/>
          <w:tab w:val="left" w:pos="1276" w:leader="none"/>
        </w:tabs>
        <w:ind w:firstLine="720" w:right="0"/>
        <w:jc w:val="both"/>
        <w:rPr>
          <w:rFonts w:ascii="Liberation Serif" w:hAnsi="Liberation Serif" w:cs="Times New Roman"/>
          <w:sz w:val="24"/>
          <w:szCs w:val="24"/>
          <w:shd w:fill="FFFFFF" w:val="clear"/>
        </w:rPr>
      </w:pPr>
      <w:r>
        <w:rPr>
          <w:rFonts w:cs="Times New Roman" w:ascii="Liberation Serif" w:hAnsi="Liberation Serif"/>
          <w:sz w:val="24"/>
          <w:szCs w:val="24"/>
          <w:shd w:fill="FFFFFF" w:val="clear"/>
        </w:rPr>
      </w:r>
    </w:p>
    <w:p>
      <w:pPr>
        <w:pStyle w:val="Normal"/>
        <w:tabs>
          <w:tab w:val="clear" w:pos="708"/>
          <w:tab w:val="left" w:pos="3318" w:leader="none"/>
        </w:tabs>
        <w:ind w:firstLine="709"/>
        <w:jc w:val="both"/>
        <w:rPr>
          <w:highlight w:val="white"/>
        </w:rPr>
      </w:pPr>
      <w:r>
        <w:rPr>
          <w:rFonts w:ascii="Liberation Serif" w:hAnsi="Liberation Serif"/>
          <w:b/>
          <w:sz w:val="24"/>
          <w:szCs w:val="24"/>
          <w:shd w:fill="FFFFFF" w:val="clear"/>
        </w:rPr>
        <w:t>11. Гарантия Исполнителя:</w:t>
      </w:r>
    </w:p>
    <w:p>
      <w:pPr>
        <w:pStyle w:val="Normal"/>
        <w:tabs>
          <w:tab w:val="clear" w:pos="708"/>
          <w:tab w:val="left" w:pos="3318" w:leader="none"/>
        </w:tabs>
        <w:ind w:firstLine="709"/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>11.1. Срок гарантии качества оказания услуг составляет 6 (шесть) месяцев со дня их приемки Заказчиком.</w:t>
      </w:r>
    </w:p>
    <w:p>
      <w:pPr>
        <w:pStyle w:val="Normal"/>
        <w:tabs>
          <w:tab w:val="clear" w:pos="708"/>
          <w:tab w:val="left" w:pos="3318" w:leader="none"/>
        </w:tabs>
        <w:ind w:firstLine="709"/>
        <w:jc w:val="both"/>
        <w:rPr>
          <w:highlight w:val="white"/>
        </w:rPr>
      </w:pPr>
      <w:r>
        <w:rPr>
          <w:rFonts w:ascii="Liberation Serif" w:hAnsi="Liberation Serif"/>
          <w:sz w:val="24"/>
          <w:szCs w:val="24"/>
          <w:shd w:fill="FFFFFF" w:val="clear"/>
        </w:rPr>
        <w:t>11.2. Ошибки, допущенные при оказании услуг, неточности или несоответствия техническим требованиям, обнаруженные в течение гарантийного срока и не выявленные на момент приемки, должны исправляться без дополнительной оплаты.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  <w:shd w:fill="FFFFFF" w:val="clear"/>
        </w:rPr>
      </w:pPr>
      <w:r>
        <w:rPr>
          <w:rFonts w:ascii="Liberation Serif" w:hAnsi="Liberation Serif"/>
          <w:sz w:val="24"/>
          <w:szCs w:val="24"/>
          <w:shd w:fill="FFFFFF" w:val="clear"/>
        </w:rPr>
      </w:r>
    </w:p>
    <w:p>
      <w:pPr>
        <w:pStyle w:val="Normal"/>
        <w:jc w:val="both"/>
        <w:rPr/>
      </w:pPr>
      <w:r>
        <w:rPr/>
      </w:r>
    </w:p>
    <w:sectPr>
      <w:type w:val="nextPage"/>
      <w:pgSz w:w="11906" w:h="16838"/>
      <w:pgMar w:left="1701" w:right="850" w:gutter="0" w:header="0" w:top="709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Univers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66cd4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ru-RU" w:eastAsia="ru-RU" w:bidi="ar-SA"/>
    </w:rPr>
  </w:style>
  <w:style w:type="paragraph" w:styleId="Heading3">
    <w:name w:val="Heading 3"/>
    <w:basedOn w:val="Normal"/>
    <w:semiHidden/>
    <w:unhideWhenUsed/>
    <w:qFormat/>
    <w:rsid w:val="00b961ca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rsid w:val="00a66cd4"/>
    <w:rPr>
      <w:color w:val="0000FF"/>
      <w:u w:val="single"/>
    </w:rPr>
  </w:style>
  <w:style w:type="character" w:styleId="Style8" w:customStyle="1">
    <w:name w:val="Текст выноски Знак"/>
    <w:basedOn w:val="DefaultParagraphFont"/>
    <w:uiPriority w:val="99"/>
    <w:semiHidden/>
    <w:qFormat/>
    <w:rsid w:val="00bf00ab"/>
    <w:rPr>
      <w:rFonts w:ascii="Tahoma" w:hAnsi="Tahoma" w:eastAsia="Times New Roman" w:cs="Tahoma"/>
      <w:sz w:val="16"/>
      <w:szCs w:val="16"/>
      <w:lang w:eastAsia="ru-RU"/>
    </w:rPr>
  </w:style>
  <w:style w:type="character" w:styleId="Style9" w:customStyle="1">
    <w:name w:val="Основной текст с отступом Знак"/>
    <w:basedOn w:val="DefaultParagraphFont"/>
    <w:qFormat/>
    <w:rsid w:val="00d90e0a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3" w:customStyle="1">
    <w:name w:val="Основной текст 3 Знак"/>
    <w:basedOn w:val="DefaultParagraphFont"/>
    <w:semiHidden/>
    <w:qFormat/>
    <w:rsid w:val="00d90e0a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1" w:customStyle="1">
    <w:name w:val="Заголовок 3 Знак"/>
    <w:basedOn w:val="DefaultParagraphFont"/>
    <w:semiHidden/>
    <w:qFormat/>
    <w:rsid w:val="00b961ca"/>
    <w:rPr>
      <w:rFonts w:ascii="Cambria" w:hAnsi="Cambria" w:eastAsia="Times New Roman" w:cs="Times New Roman"/>
      <w:b/>
      <w:bCs/>
      <w:sz w:val="26"/>
      <w:szCs w:val="26"/>
      <w:lang w:eastAsia="ru-RU"/>
    </w:rPr>
  </w:style>
  <w:style w:type="character" w:styleId="Strong">
    <w:name w:val="Strong"/>
    <w:basedOn w:val="DefaultParagraphFont"/>
    <w:uiPriority w:val="22"/>
    <w:qFormat/>
    <w:rsid w:val="005f6400"/>
    <w:rPr>
      <w:b/>
      <w:bCs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cs="Lohit Devanagari"/>
    </w:rPr>
  </w:style>
  <w:style w:type="paragraph" w:styleId="ConsPlusNormal" w:customStyle="1">
    <w:name w:val="ConsPlusNormal"/>
    <w:qFormat/>
    <w:rsid w:val="00a66cd4"/>
    <w:pPr>
      <w:widowControl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00000A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uiPriority w:val="99"/>
    <w:semiHidden/>
    <w:unhideWhenUsed/>
    <w:qFormat/>
    <w:rsid w:val="00bf00ab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41e9"/>
    <w:pPr>
      <w:ind w:hanging="0" w:left="708"/>
    </w:pPr>
    <w:rPr/>
  </w:style>
  <w:style w:type="paragraph" w:styleId="ConsNormal" w:customStyle="1">
    <w:name w:val="ConsNormal"/>
    <w:qFormat/>
    <w:rsid w:val="00d90e0a"/>
    <w:pPr>
      <w:widowControl w:val="false"/>
      <w:suppressAutoHyphens w:val="true"/>
      <w:bidi w:val="0"/>
      <w:spacing w:lineRule="auto" w:line="240" w:before="0" w:after="0"/>
      <w:ind w:firstLine="720" w:right="19772"/>
      <w:jc w:val="left"/>
    </w:pPr>
    <w:rPr>
      <w:rFonts w:ascii="Arial" w:hAnsi="Arial" w:eastAsia="Times New Roman" w:cs="Arial"/>
      <w:color w:val="00000A"/>
      <w:kern w:val="0"/>
      <w:sz w:val="20"/>
      <w:szCs w:val="20"/>
      <w:lang w:val="ru-RU" w:eastAsia="ru-RU" w:bidi="ar-SA"/>
    </w:rPr>
  </w:style>
  <w:style w:type="paragraph" w:styleId="BodyTextIndent">
    <w:name w:val="Body Text Indent"/>
    <w:basedOn w:val="Normal"/>
    <w:rsid w:val="00d90e0a"/>
    <w:pPr>
      <w:spacing w:before="0" w:after="120"/>
      <w:ind w:hanging="0" w:left="283"/>
    </w:pPr>
    <w:rPr/>
  </w:style>
  <w:style w:type="paragraph" w:styleId="BodyText3">
    <w:name w:val="Body Text 3"/>
    <w:basedOn w:val="Normal"/>
    <w:semiHidden/>
    <w:unhideWhenUsed/>
    <w:qFormat/>
    <w:rsid w:val="00d90e0a"/>
    <w:pPr>
      <w:spacing w:before="0" w:after="120"/>
    </w:pPr>
    <w:rPr>
      <w:sz w:val="16"/>
      <w:szCs w:val="16"/>
    </w:rPr>
  </w:style>
  <w:style w:type="paragraph" w:styleId="Textbody" w:customStyle="1">
    <w:name w:val="Text body"/>
    <w:basedOn w:val="Normal"/>
    <w:qFormat/>
    <w:rsid w:val="008b26cb"/>
    <w:pPr>
      <w:widowControl w:val="false"/>
      <w:tabs>
        <w:tab w:val="left" w:pos="708" w:leader="none"/>
      </w:tabs>
      <w:suppressAutoHyphens w:val="true"/>
      <w:spacing w:lineRule="atLeast" w:line="276" w:before="0" w:after="200"/>
      <w:jc w:val="both"/>
    </w:pPr>
    <w:rPr>
      <w:rFonts w:eastAsia="Arial" w:cs="Calibri"/>
      <w:sz w:val="28"/>
      <w:szCs w:val="20"/>
      <w:lang w:eastAsia="zh-CN"/>
    </w:rPr>
  </w:style>
  <w:style w:type="paragraph" w:styleId="Textbodyindent" w:customStyle="1">
    <w:name w:val="Text body indent"/>
    <w:basedOn w:val="Normal"/>
    <w:qFormat/>
    <w:rsid w:val="008b26cb"/>
    <w:pPr>
      <w:widowControl w:val="false"/>
      <w:tabs>
        <w:tab w:val="left" w:pos="708" w:leader="none"/>
      </w:tabs>
      <w:suppressAutoHyphens w:val="true"/>
      <w:spacing w:lineRule="atLeast" w:line="276" w:before="80" w:after="0"/>
      <w:ind w:hanging="0" w:left="567"/>
      <w:jc w:val="both"/>
    </w:pPr>
    <w:rPr>
      <w:rFonts w:ascii="Arial" w:hAnsi="Arial" w:eastAsia="Arial" w:cs="Calibri"/>
      <w:sz w:val="20"/>
      <w:szCs w:val="20"/>
      <w:lang w:eastAsia="zh-C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9F8B01309D2EB280C9238CCDA7DB344F5D1FA41066259D6FF9E63E76B4GBv1H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45E28-C8B4-417D-940C-FA1209CD0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2156</TotalTime>
  <Application>AlterOffice/2026.2.0.0$Linux_X86_64 LibreOffice_project/bc4ef1adf80b36c7a6365f8ed6cbf29021361edd</Application>
  <AppVersion>15.0000</AppVersion>
  <Pages>4</Pages>
  <Words>1471</Words>
  <Characters>10355</Characters>
  <CharactersWithSpaces>11832</CharactersWithSpaces>
  <Paragraphs>69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2023-10-27T05:58:00Z</dcterms:created>
  <dc:creator>Куницын Игорь Валерьевич</dc:creator>
  <dc:description/>
  <dc:language>ru-RU</dc:language>
  <cp:lastModifiedBy>kulikov_ap</cp:lastModifiedBy>
  <cp:lastPrinted>2025-10-21T17:08:58Z</cp:lastPrinted>
  <dcterms:modified xsi:type="dcterms:W3CDTF">2026-10-15T11:31:22Z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