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jc w:val="right"/>
        <w:rPr>
          <w:b w:val="false"/>
          <w:bCs w:val="false"/>
          <w:i w:val="false"/>
          <w:i w:val="false"/>
          <w:iCs w:val="false"/>
          <w:sz w:val="24"/>
          <w:szCs w:val="24"/>
        </w:rPr>
      </w:pPr>
      <w:r>
        <w:rPr>
          <w:b w:val="false"/>
          <w:bCs w:val="false"/>
          <w:i w:val="false"/>
          <w:iCs w:val="false"/>
          <w:sz w:val="24"/>
          <w:szCs w:val="24"/>
        </w:rPr>
      </w:r>
    </w:p>
    <w:p>
      <w:pPr>
        <w:pStyle w:val="Normal"/>
        <w:jc w:val="center"/>
        <w:rPr>
          <w:i w:val="false"/>
          <w:i w:val="false"/>
          <w:iCs w:val="false"/>
        </w:rPr>
      </w:pPr>
      <w:r>
        <w:rPr>
          <w:rFonts w:eastAsia="Times New Roman"/>
          <w:b/>
          <w:bCs/>
          <w:i w:val="false"/>
          <w:iCs w:val="false"/>
          <w:sz w:val="24"/>
          <w:szCs w:val="24"/>
        </w:rPr>
        <w:t>Технические требования к продукции</w:t>
      </w:r>
    </w:p>
    <w:p>
      <w:pPr>
        <w:pStyle w:val="Normal"/>
        <w:jc w:val="center"/>
        <w:rPr>
          <w:i w:val="false"/>
          <w:i w:val="false"/>
          <w:iCs w:val="false"/>
        </w:rPr>
      </w:pPr>
      <w:r>
        <w:rPr/>
      </w:r>
    </w:p>
    <w:p>
      <w:pPr>
        <w:pStyle w:val="Normal"/>
        <w:ind w:firstLine="720"/>
        <w:rPr>
          <w:rFonts w:eastAsia="Times New Roman"/>
          <w:sz w:val="24"/>
          <w:szCs w:val="24"/>
        </w:rPr>
      </w:pPr>
      <w:r>
        <w:rPr>
          <w:sz w:val="24"/>
          <w:szCs w:val="24"/>
        </w:rPr>
        <w:t>1. Заказчик – Исполнительный аппарат АО «ДРСК» (</w:t>
      </w:r>
      <w:r>
        <w:rPr>
          <w:bCs/>
          <w:iCs/>
          <w:sz w:val="24"/>
          <w:szCs w:val="24"/>
        </w:rPr>
        <w:t>Россия, 675004, г.Благовещенск,                   ул. Шевченко, 32</w:t>
      </w:r>
      <w:r>
        <w:rPr>
          <w:sz w:val="24"/>
          <w:szCs w:val="24"/>
        </w:rPr>
        <w:t>), проводит конкурентную закупочную процедуру и в связи с этим приглашает юридических лиц и индивидуальных предпринимателей (далее – Поставщики) подавать свои предложения по поставке следующей продукции:</w:t>
      </w:r>
    </w:p>
    <w:p>
      <w:pPr>
        <w:pStyle w:val="Normal"/>
        <w:ind w:firstLine="720"/>
        <w:rPr>
          <w:rFonts w:eastAsia="Times New Roman"/>
          <w:sz w:val="24"/>
          <w:szCs w:val="24"/>
        </w:rPr>
      </w:pPr>
      <w:r>
        <w:rPr>
          <w:sz w:val="26"/>
          <w:szCs w:val="26"/>
        </w:rPr>
      </w:r>
    </w:p>
    <w:tbl>
      <w:tblPr>
        <w:tblW w:w="10348" w:type="dxa"/>
        <w:jc w:val="left"/>
        <w:tblInd w:w="-10" w:type="dxa"/>
        <w:tblLayout w:type="fixed"/>
        <w:tblCellMar>
          <w:top w:w="0" w:type="dxa"/>
          <w:left w:w="108" w:type="dxa"/>
          <w:bottom w:w="0" w:type="dxa"/>
          <w:right w:w="108" w:type="dxa"/>
        </w:tblCellMar>
      </w:tblPr>
      <w:tblGrid>
        <w:gridCol w:w="450"/>
        <w:gridCol w:w="2717"/>
        <w:gridCol w:w="4366"/>
        <w:gridCol w:w="2815"/>
      </w:tblGrid>
      <w:tr>
        <w:trPr>
          <w:trHeight w:val="627" w:hRule="atLeast"/>
        </w:trPr>
        <w:tc>
          <w:tcPr>
            <w:tcW w:w="450" w:type="dxa"/>
            <w:tcBorders>
              <w:top w:val="single" w:sz="4" w:space="0" w:color="00000A"/>
              <w:left w:val="single" w:sz="4" w:space="0" w:color="00000A"/>
              <w:bottom w:val="single" w:sz="4" w:space="0" w:color="00000A"/>
              <w:right w:val="single" w:sz="4" w:space="0" w:color="00000A"/>
            </w:tcBorders>
            <w:shd w:fill="FFFFFF" w:val="clear"/>
          </w:tcPr>
          <w:p>
            <w:pPr>
              <w:pStyle w:val="Normal"/>
              <w:ind w:hanging="0" w:left="-108" w:right="-108"/>
              <w:jc w:val="center"/>
              <w:rPr>
                <w:b/>
                <w:sz w:val="26"/>
                <w:szCs w:val="26"/>
              </w:rPr>
            </w:pPr>
            <w:r>
              <w:rPr>
                <w:b/>
                <w:sz w:val="26"/>
                <w:szCs w:val="26"/>
              </w:rPr>
              <w:t xml:space="preserve">№ </w:t>
            </w:r>
            <w:r>
              <w:rPr>
                <w:b/>
                <w:sz w:val="26"/>
                <w:szCs w:val="26"/>
              </w:rPr>
              <w:t>п/п</w:t>
            </w:r>
          </w:p>
        </w:tc>
        <w:tc>
          <w:tcPr>
            <w:tcW w:w="2717" w:type="dxa"/>
            <w:tcBorders>
              <w:top w:val="single" w:sz="4" w:space="0" w:color="00000A"/>
              <w:left w:val="single" w:sz="4" w:space="0" w:color="00000A"/>
              <w:bottom w:val="single" w:sz="4" w:space="0" w:color="00000A"/>
              <w:right w:val="single" w:sz="4" w:space="0" w:color="00000A"/>
            </w:tcBorders>
            <w:shd w:fill="FFFFFF" w:val="clear"/>
          </w:tcPr>
          <w:p>
            <w:pPr>
              <w:pStyle w:val="Normal"/>
              <w:ind w:hanging="0" w:left="0" w:right="-108"/>
              <w:rPr>
                <w:b/>
                <w:sz w:val="26"/>
                <w:szCs w:val="26"/>
              </w:rPr>
            </w:pPr>
            <w:r>
              <w:rPr>
                <w:b/>
                <w:sz w:val="26"/>
                <w:szCs w:val="26"/>
              </w:rPr>
              <w:t>Номенклатура</w:t>
            </w:r>
          </w:p>
        </w:tc>
        <w:tc>
          <w:tcPr>
            <w:tcW w:w="4366" w:type="dxa"/>
            <w:tcBorders>
              <w:top w:val="single" w:sz="4" w:space="0" w:color="00000A"/>
              <w:left w:val="single" w:sz="4" w:space="0" w:color="00000A"/>
              <w:bottom w:val="single" w:sz="4" w:space="0" w:color="00000A"/>
              <w:right w:val="single" w:sz="4" w:space="0" w:color="00000A"/>
            </w:tcBorders>
            <w:shd w:fill="FFFFFF" w:val="clear"/>
          </w:tcPr>
          <w:p>
            <w:pPr>
              <w:pStyle w:val="Normal"/>
              <w:ind w:hanging="0" w:left="0" w:right="-108"/>
              <w:jc w:val="center"/>
              <w:rPr>
                <w:b/>
                <w:sz w:val="26"/>
                <w:szCs w:val="26"/>
              </w:rPr>
            </w:pPr>
            <w:r>
              <w:rPr>
                <w:b/>
                <w:sz w:val="26"/>
                <w:szCs w:val="26"/>
              </w:rPr>
              <w:t>Характеристика</w:t>
            </w:r>
          </w:p>
        </w:tc>
        <w:tc>
          <w:tcPr>
            <w:tcW w:w="2815" w:type="dxa"/>
            <w:tcBorders>
              <w:top w:val="single" w:sz="4" w:space="0" w:color="00000A"/>
              <w:left w:val="single" w:sz="4" w:space="0" w:color="00000A"/>
              <w:bottom w:val="single" w:sz="4" w:space="0" w:color="00000A"/>
              <w:right w:val="single" w:sz="4" w:space="0" w:color="00000A"/>
            </w:tcBorders>
            <w:shd w:fill="FFFFFF" w:val="clear"/>
          </w:tcPr>
          <w:p>
            <w:pPr>
              <w:pStyle w:val="Normal"/>
              <w:jc w:val="center"/>
              <w:rPr>
                <w:b/>
                <w:sz w:val="26"/>
                <w:szCs w:val="26"/>
              </w:rPr>
            </w:pPr>
            <w:r>
              <w:rPr>
                <w:b/>
                <w:sz w:val="26"/>
                <w:szCs w:val="26"/>
              </w:rPr>
              <w:t>Ед.</w:t>
            </w:r>
          </w:p>
        </w:tc>
      </w:tr>
    </w:tbl>
    <w:tbl>
      <w:tblPr>
        <w:tblW w:w="10350" w:type="dxa"/>
        <w:jc w:val="left"/>
        <w:tblInd w:w="-6" w:type="dxa"/>
        <w:tblLayout w:type="fixed"/>
        <w:tblCellMar>
          <w:top w:w="0" w:type="dxa"/>
          <w:left w:w="108" w:type="dxa"/>
          <w:bottom w:w="0" w:type="dxa"/>
          <w:right w:w="108" w:type="dxa"/>
        </w:tblCellMar>
      </w:tblPr>
      <w:tblGrid>
        <w:gridCol w:w="450"/>
        <w:gridCol w:w="2717"/>
        <w:gridCol w:w="4366"/>
        <w:gridCol w:w="2817"/>
      </w:tblGrid>
      <w:tr>
        <w:trPr>
          <w:trHeight w:val="3400" w:hRule="atLeast"/>
        </w:trPr>
        <w:tc>
          <w:tcPr>
            <w:tcW w:w="450" w:type="dxa"/>
            <w:tcBorders>
              <w:top w:val="single" w:sz="4" w:space="0" w:color="00000A"/>
              <w:left w:val="single" w:sz="4" w:space="0" w:color="00000A"/>
              <w:bottom w:val="single" w:sz="4" w:space="0" w:color="00000A"/>
              <w:right w:val="single" w:sz="4" w:space="0" w:color="00000A"/>
            </w:tcBorders>
            <w:shd w:fill="FFFFFF" w:val="clear"/>
          </w:tcPr>
          <w:p>
            <w:pPr>
              <w:pStyle w:val="Normal"/>
              <w:ind w:hanging="0" w:left="-108" w:right="-108"/>
              <w:jc w:val="both"/>
              <w:rPr>
                <w:b/>
                <w:sz w:val="26"/>
                <w:szCs w:val="26"/>
              </w:rPr>
            </w:pPr>
            <w:r>
              <w:rPr>
                <w:b/>
                <w:sz w:val="26"/>
                <w:szCs w:val="26"/>
              </w:rPr>
              <w:t>1.</w:t>
            </w:r>
          </w:p>
        </w:tc>
        <w:tc>
          <w:tcPr>
            <w:tcW w:w="2717"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tabs>
                <w:tab w:val="clear" w:pos="708"/>
                <w:tab w:val="left" w:pos="2600" w:leader="none"/>
              </w:tabs>
              <w:bidi w:val="0"/>
              <w:ind w:hanging="0" w:left="0" w:right="0"/>
              <w:jc w:val="both"/>
              <w:rPr>
                <w:b/>
                <w:sz w:val="26"/>
                <w:szCs w:val="26"/>
              </w:rPr>
            </w:pPr>
            <w:r>
              <w:rPr>
                <w:b/>
                <w:sz w:val="26"/>
                <w:szCs w:val="26"/>
              </w:rPr>
              <w:t>Комплексное информационное обслуживание (радио, телевидение, наружная реклама) в Амурской области</w:t>
            </w:r>
            <w:r>
              <w:rPr>
                <w:b/>
                <w:sz w:val="26"/>
                <w:szCs w:val="26"/>
              </w:rPr>
              <w:t>.</w:t>
            </w:r>
          </w:p>
        </w:tc>
        <w:tc>
          <w:tcPr>
            <w:tcW w:w="4366"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numPr>
                <w:ilvl w:val="0"/>
                <w:numId w:val="0"/>
              </w:numPr>
              <w:bidi w:val="0"/>
              <w:ind w:hanging="0" w:left="113" w:right="0"/>
              <w:jc w:val="left"/>
              <w:rPr/>
            </w:pPr>
            <w:r>
              <w:rPr>
                <w:b w:val="false"/>
                <w:bCs w:val="false"/>
                <w:sz w:val="26"/>
                <w:szCs w:val="26"/>
              </w:rPr>
              <w:t>1</w:t>
            </w:r>
            <w:r>
              <w:rPr>
                <w:b w:val="false"/>
                <w:bCs w:val="false"/>
                <w:sz w:val="26"/>
                <w:szCs w:val="26"/>
              </w:rPr>
              <w:t xml:space="preserve">. Услуги по размещению информации о деятельности компании </w:t>
            </w:r>
            <w:r>
              <w:rPr>
                <w:b w:val="false"/>
                <w:bCs w:val="false"/>
                <w:sz w:val="26"/>
                <w:szCs w:val="26"/>
              </w:rPr>
              <w:t>на интернет-сайтах Амурской области, ТВ, изготовление наружной рекламы, и наличие в собственности металлоконструкций).</w:t>
            </w:r>
          </w:p>
        </w:tc>
        <w:tc>
          <w:tcPr>
            <w:tcW w:w="2817" w:type="dxa"/>
            <w:tcBorders>
              <w:top w:val="single" w:sz="4" w:space="0" w:color="00000A"/>
              <w:left w:val="single" w:sz="4" w:space="0" w:color="00000A"/>
              <w:bottom w:val="single" w:sz="4" w:space="0" w:color="00000A"/>
              <w:right w:val="single" w:sz="4" w:space="0" w:color="00000A"/>
            </w:tcBorders>
            <w:shd w:fill="FFFFFF" w:val="clear"/>
          </w:tcPr>
          <w:p>
            <w:pPr>
              <w:pStyle w:val="Normal"/>
              <w:jc w:val="both"/>
              <w:rPr>
                <w:b w:val="false"/>
                <w:bCs w:val="false"/>
                <w:sz w:val="26"/>
                <w:szCs w:val="26"/>
              </w:rPr>
            </w:pPr>
            <w:r>
              <w:rPr>
                <w:b w:val="false"/>
                <w:bCs w:val="false"/>
                <w:sz w:val="26"/>
                <w:szCs w:val="26"/>
              </w:rPr>
              <w:t>По заявке Заказчика, согласно договора</w:t>
            </w:r>
          </w:p>
        </w:tc>
      </w:tr>
    </w:tbl>
    <w:p>
      <w:pPr>
        <w:pStyle w:val="Normal"/>
        <w:numPr>
          <w:ilvl w:val="0"/>
          <w:numId w:val="3"/>
        </w:numPr>
        <w:rPr/>
      </w:pPr>
      <w:r>
        <w:rPr/>
        <w:t xml:space="preserve">   </w:t>
      </w:r>
      <w:r>
        <w:rPr/>
        <w:t>Срок оказания услуг:</w:t>
      </w:r>
      <w:r>
        <w:rPr>
          <w:i/>
          <w:iCs/>
        </w:rPr>
        <w:t xml:space="preserve"> </w:t>
      </w:r>
      <w:r>
        <w:rPr>
          <w:b/>
          <w:i/>
          <w:iCs/>
        </w:rPr>
        <w:t xml:space="preserve">с </w:t>
      </w:r>
      <w:r>
        <w:rPr>
          <w:b/>
          <w:i/>
          <w:iCs/>
        </w:rPr>
        <w:t>01.01.202</w:t>
      </w:r>
      <w:r>
        <w:rPr>
          <w:b/>
          <w:i/>
          <w:iCs/>
        </w:rPr>
        <w:t>7</w:t>
      </w:r>
      <w:r>
        <w:rPr>
          <w:b/>
          <w:i/>
          <w:iCs/>
        </w:rPr>
        <w:t xml:space="preserve"> по 31.12.202</w:t>
      </w:r>
      <w:r>
        <w:rPr>
          <w:b/>
          <w:i/>
          <w:iCs/>
        </w:rPr>
        <w:t>7</w:t>
      </w:r>
      <w:r>
        <w:rPr>
          <w:i/>
          <w:iCs/>
        </w:rPr>
        <w:t>.</w:t>
      </w:r>
    </w:p>
    <w:p>
      <w:pPr>
        <w:pStyle w:val="BodyText2"/>
        <w:widowControl/>
        <w:numPr>
          <w:ilvl w:val="0"/>
          <w:numId w:val="3"/>
        </w:numPr>
        <w:tabs>
          <w:tab w:val="clear" w:pos="708"/>
          <w:tab w:val="left" w:pos="617" w:leader="none"/>
          <w:tab w:val="left" w:pos="800" w:leader="none"/>
        </w:tabs>
        <w:bidi w:val="0"/>
        <w:ind w:firstLine="454" w:left="113" w:right="0"/>
        <w:jc w:val="both"/>
        <w:rPr/>
      </w:pPr>
      <w:r>
        <w:rPr>
          <w:szCs w:val="26"/>
        </w:rPr>
        <w:t xml:space="preserve">     </w:t>
      </w:r>
      <w:r>
        <w:rPr>
          <w:szCs w:val="26"/>
        </w:rPr>
        <w:t>Исполнитель имеет право подать только одно ценовое предложение. В случае подачи Исполнителем нескольких предложений все они будут отклонены без рассмотрения, по существу.</w:t>
      </w:r>
    </w:p>
    <w:p>
      <w:pPr>
        <w:pStyle w:val="Normal"/>
        <w:widowControl/>
        <w:numPr>
          <w:ilvl w:val="0"/>
          <w:numId w:val="0"/>
        </w:numPr>
        <w:bidi w:val="0"/>
        <w:ind w:hanging="0" w:left="0" w:right="0"/>
        <w:jc w:val="both"/>
        <w:rPr/>
      </w:pPr>
      <w:r>
        <w:rPr/>
        <w:t xml:space="preserve">              </w:t>
      </w:r>
      <w:r>
        <w:rPr/>
        <w:t>5.</w:t>
      </w:r>
      <w:r>
        <w:rPr>
          <w:szCs w:val="26"/>
        </w:rPr>
        <w:t xml:space="preserve">    Предложение должно быть подписано лицом, имеющим право в соответствии с законодательством Российской Федерации действовать от лица Исполнителя. Предложение также должно быть скреплено печатью подрядчика.</w:t>
      </w:r>
    </w:p>
    <w:p>
      <w:pPr>
        <w:pStyle w:val="BodyTextIndent"/>
        <w:widowControl/>
        <w:numPr>
          <w:ilvl w:val="0"/>
          <w:numId w:val="3"/>
        </w:numPr>
        <w:bidi w:val="0"/>
        <w:spacing w:lineRule="auto" w:line="240"/>
        <w:ind w:firstLine="567" w:left="0" w:right="0"/>
        <w:jc w:val="both"/>
        <w:rPr/>
      </w:pPr>
      <w:r>
        <w:rPr>
          <w:sz w:val="26"/>
          <w:szCs w:val="26"/>
        </w:rPr>
        <w:t xml:space="preserve">   </w:t>
      </w:r>
      <w:r>
        <w:rPr>
          <w:sz w:val="26"/>
          <w:szCs w:val="26"/>
        </w:rPr>
        <w:t>Предлагаемая цена оказания услуг должна быть указана с учетом НДС (либо указано «НДС не начисляется»)</w:t>
      </w:r>
      <w:r>
        <w:rPr>
          <w:b/>
          <w:bCs/>
          <w:i/>
          <w:iCs/>
          <w:sz w:val="26"/>
          <w:szCs w:val="26"/>
        </w:rPr>
        <w:t xml:space="preserve"> </w:t>
      </w:r>
      <w:r>
        <w:rPr>
          <w:sz w:val="26"/>
          <w:szCs w:val="26"/>
        </w:rPr>
        <w:t>в текущих ценах 202</w:t>
      </w:r>
      <w:r>
        <w:rPr>
          <w:sz w:val="26"/>
          <w:szCs w:val="26"/>
        </w:rPr>
        <w:t>6</w:t>
      </w:r>
      <w:r>
        <w:rPr>
          <w:sz w:val="26"/>
          <w:szCs w:val="26"/>
        </w:rPr>
        <w:t xml:space="preserve"> года, а так</w:t>
      </w:r>
      <w:r>
        <w:rPr>
          <w:sz w:val="26"/>
          <w:szCs w:val="26"/>
        </w:rPr>
        <w:t>же</w:t>
      </w:r>
      <w:r>
        <w:rPr>
          <w:sz w:val="26"/>
          <w:szCs w:val="26"/>
        </w:rPr>
        <w:t xml:space="preserve"> должна включать другие обязательные платежи, стоимость всех сопутствующих услуг, все скидки, предлагаемые Исполнителем.</w:t>
      </w:r>
    </w:p>
    <w:p>
      <w:pPr>
        <w:pStyle w:val="BodyTextIndent"/>
        <w:widowControl/>
        <w:numPr>
          <w:ilvl w:val="0"/>
          <w:numId w:val="3"/>
        </w:numPr>
        <w:bidi w:val="0"/>
        <w:spacing w:lineRule="auto" w:line="240"/>
        <w:ind w:firstLine="567" w:left="0" w:right="0"/>
        <w:jc w:val="both"/>
        <w:rPr/>
      </w:pPr>
      <w:r>
        <w:rPr>
          <w:sz w:val="26"/>
          <w:szCs w:val="26"/>
        </w:rPr>
        <w:t xml:space="preserve">    </w:t>
      </w:r>
      <w:r>
        <w:rPr>
          <w:sz w:val="26"/>
          <w:szCs w:val="26"/>
        </w:rPr>
        <w:t xml:space="preserve">Начальная (максимальная) цена договора: </w:t>
      </w:r>
      <w:r>
        <w:rPr>
          <w:sz w:val="26"/>
          <w:szCs w:val="26"/>
        </w:rPr>
        <w:t>3</w:t>
      </w:r>
      <w:r>
        <w:rPr>
          <w:sz w:val="26"/>
          <w:szCs w:val="26"/>
        </w:rPr>
        <w:t>6</w:t>
      </w:r>
      <w:r>
        <w:rPr>
          <w:sz w:val="26"/>
          <w:szCs w:val="26"/>
        </w:rPr>
        <w:t xml:space="preserve">0 </w:t>
      </w:r>
      <w:r>
        <w:rPr>
          <w:sz w:val="26"/>
          <w:szCs w:val="26"/>
        </w:rPr>
        <w:t>000 (</w:t>
      </w:r>
      <w:r>
        <w:rPr>
          <w:sz w:val="26"/>
          <w:szCs w:val="26"/>
        </w:rPr>
        <w:t xml:space="preserve">триста </w:t>
      </w:r>
      <w:r>
        <w:rPr>
          <w:sz w:val="26"/>
          <w:szCs w:val="26"/>
        </w:rPr>
        <w:t>шестьдесят</w:t>
      </w:r>
      <w:r>
        <w:rPr>
          <w:sz w:val="26"/>
          <w:szCs w:val="26"/>
        </w:rPr>
        <w:t xml:space="preserve"> </w:t>
      </w:r>
      <w:r>
        <w:rPr>
          <w:sz w:val="26"/>
          <w:szCs w:val="26"/>
        </w:rPr>
        <w:t xml:space="preserve">тысяч) </w:t>
      </w:r>
      <w:r>
        <w:rPr>
          <w:sz w:val="26"/>
          <w:szCs w:val="26"/>
        </w:rPr>
        <w:t xml:space="preserve">рублей </w:t>
      </w:r>
      <w:r>
        <w:rPr>
          <w:sz w:val="26"/>
          <w:szCs w:val="26"/>
        </w:rPr>
        <w:t>в т.ч.</w:t>
      </w:r>
      <w:r>
        <w:rPr>
          <w:sz w:val="26"/>
          <w:szCs w:val="26"/>
        </w:rPr>
        <w:t xml:space="preserve"> НДС.</w:t>
      </w:r>
    </w:p>
    <w:p>
      <w:pPr>
        <w:pStyle w:val="BodyTextIndent"/>
        <w:widowControl/>
        <w:numPr>
          <w:ilvl w:val="0"/>
          <w:numId w:val="3"/>
        </w:numPr>
        <w:bidi w:val="0"/>
        <w:spacing w:lineRule="auto" w:line="240"/>
        <w:ind w:firstLine="567" w:left="0" w:right="0"/>
        <w:jc w:val="both"/>
        <w:rPr>
          <w:sz w:val="26"/>
          <w:szCs w:val="26"/>
        </w:rPr>
      </w:pPr>
      <w:r>
        <w:rPr>
          <w:sz w:val="26"/>
          <w:szCs w:val="26"/>
        </w:rPr>
        <w:t>Единственным критерием выбора контрагента, с которым впоследствии будет заключен договор при условии соответствия технико-коммерческого предложения поставщика установленным требованиям Заказчика, является цена договора (без учета НДС).</w:t>
      </w:r>
    </w:p>
    <w:p>
      <w:pPr>
        <w:pStyle w:val="BodyTextIndent"/>
        <w:widowControl/>
        <w:numPr>
          <w:ilvl w:val="0"/>
          <w:numId w:val="3"/>
        </w:numPr>
        <w:bidi w:val="0"/>
        <w:ind w:firstLine="567" w:left="0" w:right="0"/>
        <w:jc w:val="both"/>
        <w:rPr>
          <w:szCs w:val="26"/>
        </w:rPr>
      </w:pPr>
      <w:r>
        <w:rPr>
          <w:szCs w:val="26"/>
        </w:rPr>
        <w:t>Предложение должно быть подано на русском языке. Все цены должны быть выражены в российских рублях.</w:t>
      </w:r>
    </w:p>
    <w:p>
      <w:pPr>
        <w:pStyle w:val="BodyTextIndent"/>
        <w:widowControl/>
        <w:numPr>
          <w:ilvl w:val="0"/>
          <w:numId w:val="3"/>
        </w:numPr>
        <w:bidi w:val="0"/>
        <w:ind w:firstLine="510" w:left="0" w:right="0"/>
        <w:jc w:val="both"/>
        <w:rPr/>
      </w:pPr>
      <w:r>
        <w:rPr>
          <w:sz w:val="26"/>
          <w:szCs w:val="26"/>
        </w:rPr>
        <w:t xml:space="preserve"> </w:t>
      </w:r>
      <w:r>
        <w:rPr/>
        <w:t>Заказчик отклоняет все предложения, полученные после окончания установленного срока их подачи.</w:t>
      </w:r>
    </w:p>
    <w:p>
      <w:pPr>
        <w:pStyle w:val="Normal"/>
        <w:widowControl/>
        <w:numPr>
          <w:ilvl w:val="0"/>
          <w:numId w:val="3"/>
        </w:numPr>
        <w:bidi w:val="0"/>
        <w:ind w:firstLine="567" w:left="0" w:right="0"/>
        <w:jc w:val="both"/>
        <w:rPr/>
      </w:pPr>
      <w:r>
        <w:rPr>
          <w:sz w:val="26"/>
          <w:szCs w:val="26"/>
        </w:rPr>
        <w:t>Настоящий запрос не является офертой или публичной офертой Заказчика. Данная процедура запроса не является процедурой проведения конкурса. Заказчик имеет право отказаться от всех полученных предложений по любой причине, не неся при этом никакой ответственности перед Исполнителями.</w:t>
      </w:r>
    </w:p>
    <w:p>
      <w:pPr>
        <w:pStyle w:val="Normal"/>
        <w:widowControl/>
        <w:bidi w:val="0"/>
        <w:ind w:firstLine="567" w:left="0" w:right="0"/>
        <w:jc w:val="both"/>
        <w:rPr>
          <w:sz w:val="26"/>
          <w:szCs w:val="26"/>
        </w:rPr>
      </w:pPr>
      <w:r>
        <w:rPr>
          <w:sz w:val="26"/>
          <w:szCs w:val="26"/>
        </w:rPr>
      </w:r>
    </w:p>
    <w:p>
      <w:pPr>
        <w:pStyle w:val="Normal"/>
        <w:widowControl/>
        <w:bidi w:val="0"/>
        <w:ind w:firstLine="567" w:left="0" w:right="0"/>
        <w:jc w:val="both"/>
        <w:rPr>
          <w:rFonts w:eastAsia="Times New Roman"/>
          <w:b/>
          <w:bCs/>
          <w:i w:val="false"/>
          <w:i w:val="false"/>
          <w:iCs w:val="false"/>
          <w:sz w:val="24"/>
          <w:szCs w:val="24"/>
        </w:rPr>
      </w:pPr>
      <w:r>
        <w:rPr>
          <w:sz w:val="26"/>
          <w:szCs w:val="26"/>
        </w:rPr>
      </w:r>
    </w:p>
    <w:p>
      <w:pPr>
        <w:pStyle w:val="Normal"/>
        <w:jc w:val="center"/>
        <w:rPr>
          <w:rFonts w:eastAsia="Times New Roman"/>
          <w:b/>
          <w:bCs/>
          <w:i/>
          <w:i/>
          <w:iCs/>
          <w:sz w:val="24"/>
          <w:szCs w:val="24"/>
        </w:rPr>
      </w:pPr>
      <w:r>
        <w:rPr>
          <w:rFonts w:eastAsia="Times New Roman"/>
          <w:sz w:val="24"/>
          <w:szCs w:val="24"/>
        </w:rPr>
      </w:r>
    </w:p>
    <w:sectPr>
      <w:headerReference w:type="first" r:id="rId2"/>
      <w:footerReference w:type="default" r:id="rId3"/>
      <w:type w:val="nextPage"/>
      <w:pgSz w:w="11906" w:h="16838"/>
      <w:pgMar w:left="1134" w:right="567" w:gutter="0" w:header="142" w:top="1134" w:footer="709" w:bottom="766"/>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Cambria">
    <w:charset w:val="01"/>
    <w:family w:val="roman"/>
    <w:pitch w:val="variable"/>
  </w:font>
  <w:font w:name="Tahoma">
    <w:charset w:val="01"/>
    <w:family w:val="roman"/>
    <w:pitch w:val="variable"/>
  </w:font>
  <w:font w:name="OpenSymbol">
    <w:altName w:val="Arial Unicode MS"/>
    <w:charset w:val="02"/>
    <w:family w:val="auto"/>
    <w:pitch w:val="default"/>
  </w:font>
  <w:font w:name="Liberation Sans">
    <w:altName w:val="Arial"/>
    <w:charset w:val="01"/>
    <w:family w:val="roman"/>
    <w:pitch w:val="variable"/>
  </w:font>
  <w:font w:name="Arial">
    <w:charset w:val="01"/>
    <w:family w:val="roman"/>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Arial" w:hAnsi="Arial" w:cs="Arial"/>
        <w:sz w:val="20"/>
        <w:szCs w:val="20"/>
      </w:rPr>
    </w:pPr>
    <w:r>
      <w:rPr>
        <w:rFonts w:cs="Arial" w:ascii="Arial" w:hAnsi="Arial"/>
        <w:sz w:val="20"/>
        <w:szCs w:val="20"/>
      </w:rPr>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2"/>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04fa1"/>
    <w:pPr>
      <w:widowControl/>
      <w:suppressAutoHyphens w:val="true"/>
      <w:bidi w:val="0"/>
      <w:spacing w:before="0" w:after="0"/>
      <w:jc w:val="both"/>
    </w:pPr>
    <w:rPr>
      <w:rFonts w:ascii="Times New Roman" w:hAnsi="Times New Roman" w:eastAsia="Calibri" w:cs="Times New Roman"/>
      <w:color w:val="auto"/>
      <w:kern w:val="0"/>
      <w:sz w:val="26"/>
      <w:szCs w:val="26"/>
      <w:lang w:val="ru-RU" w:eastAsia="ru-RU" w:bidi="ar-SA"/>
    </w:rPr>
  </w:style>
  <w:style w:type="paragraph" w:styleId="Heading1">
    <w:name w:val="Heading 1"/>
    <w:basedOn w:val="Normal"/>
    <w:next w:val="Normal"/>
    <w:link w:val="1"/>
    <w:qFormat/>
    <w:rsid w:val="00c809e9"/>
    <w:pPr>
      <w:keepNext w:val="true"/>
      <w:spacing w:before="240" w:after="60"/>
      <w:outlineLvl w:val="0"/>
    </w:pPr>
    <w:rPr>
      <w:rFonts w:ascii="Cambria" w:hAnsi="Cambria" w:eastAsia="" w:cs="" w:asciiTheme="majorHAnsi" w:cstheme="majorBidi" w:eastAsiaTheme="majorEastAsia" w:hAnsiTheme="majorHAnsi"/>
      <w:b/>
      <w:bCs/>
      <w:kern w:val="2"/>
      <w:sz w:val="32"/>
      <w:szCs w:val="32"/>
      <w:lang w:eastAsia="en-US"/>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c809e9"/>
    <w:rPr>
      <w:rFonts w:ascii="Cambria" w:hAnsi="Cambria" w:eastAsia="" w:cs="" w:asciiTheme="majorHAnsi" w:cstheme="majorBidi" w:eastAsiaTheme="majorEastAsia" w:hAnsiTheme="majorHAnsi"/>
      <w:b/>
      <w:bCs/>
      <w:kern w:val="2"/>
      <w:sz w:val="32"/>
      <w:szCs w:val="32"/>
    </w:rPr>
  </w:style>
  <w:style w:type="character" w:styleId="Hyperlink">
    <w:name w:val="Hyperlink"/>
    <w:basedOn w:val="DefaultParagraphFont"/>
    <w:uiPriority w:val="99"/>
    <w:unhideWhenUsed/>
    <w:rsid w:val="00704fa1"/>
    <w:rPr>
      <w:color w:val="0000FF" w:themeColor="hyperlink"/>
      <w:u w:val="single"/>
    </w:rPr>
  </w:style>
  <w:style w:type="character" w:styleId="Style8" w:customStyle="1">
    <w:name w:val="Верхний колонтитул Знак"/>
    <w:basedOn w:val="DefaultParagraphFont"/>
    <w:uiPriority w:val="99"/>
    <w:qFormat/>
    <w:rsid w:val="00704fa1"/>
    <w:rPr>
      <w:rFonts w:eastAsia="Calibri"/>
      <w:sz w:val="26"/>
      <w:szCs w:val="26"/>
      <w:lang w:eastAsia="ru-RU"/>
    </w:rPr>
  </w:style>
  <w:style w:type="character" w:styleId="Style9" w:customStyle="1">
    <w:name w:val="Нижний колонтитул Знак"/>
    <w:basedOn w:val="DefaultParagraphFont"/>
    <w:uiPriority w:val="99"/>
    <w:qFormat/>
    <w:rsid w:val="00704fa1"/>
    <w:rPr>
      <w:rFonts w:eastAsia="Calibri"/>
      <w:sz w:val="26"/>
      <w:szCs w:val="26"/>
      <w:lang w:eastAsia="ru-RU"/>
    </w:rPr>
  </w:style>
  <w:style w:type="character" w:styleId="Style10" w:customStyle="1">
    <w:name w:val="Текст выноски Знак"/>
    <w:basedOn w:val="DefaultParagraphFont"/>
    <w:link w:val="BalloonText"/>
    <w:uiPriority w:val="99"/>
    <w:semiHidden/>
    <w:qFormat/>
    <w:rsid w:val="0071707c"/>
    <w:rPr>
      <w:rFonts w:ascii="Tahoma" w:hAnsi="Tahoma" w:eastAsia="Calibri" w:cs="Tahoma"/>
      <w:sz w:val="16"/>
      <w:szCs w:val="16"/>
      <w:lang w:eastAsia="ru-RU"/>
    </w:rPr>
  </w:style>
  <w:style w:type="character" w:styleId="Style11">
    <w:name w:val="Маркеры"/>
    <w:qFormat/>
    <w:rPr>
      <w:rFonts w:ascii="OpenSymbol" w:hAnsi="OpenSymbol" w:eastAsia="OpenSymbol" w:cs="OpenSymbol"/>
    </w:rPr>
  </w:style>
  <w:style w:type="paragraph" w:styleId="Style12">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3">
    <w:name w:val="Указатель"/>
    <w:basedOn w:val="Normal"/>
    <w:qFormat/>
    <w:pPr>
      <w:suppressLineNumbers/>
    </w:pPr>
    <w:rPr>
      <w:rFonts w:cs="Lohit Devanagari"/>
    </w:rPr>
  </w:style>
  <w:style w:type="paragraph" w:styleId="ListParagraph">
    <w:name w:val="List Paragraph"/>
    <w:basedOn w:val="Normal"/>
    <w:uiPriority w:val="34"/>
    <w:qFormat/>
    <w:rsid w:val="00c809e9"/>
    <w:pPr>
      <w:spacing w:before="0" w:after="0"/>
      <w:ind w:hanging="0" w:left="720"/>
      <w:contextualSpacing/>
    </w:pPr>
    <w:rPr/>
  </w:style>
  <w:style w:type="paragraph" w:styleId="IndexHeading">
    <w:name w:val="Index Heading"/>
    <w:basedOn w:val="Style12"/>
    <w:pPr/>
    <w:rPr/>
  </w:style>
  <w:style w:type="paragraph" w:styleId="TOCHeading">
    <w:name w:val="TOC Heading"/>
    <w:basedOn w:val="Heading1"/>
    <w:next w:val="Normal"/>
    <w:uiPriority w:val="39"/>
    <w:semiHidden/>
    <w:unhideWhenUsed/>
    <w:qFormat/>
    <w:rsid w:val="00c809e9"/>
    <w:pPr>
      <w:keepLines/>
      <w:spacing w:lineRule="auto" w:line="276" w:before="480" w:after="0"/>
      <w:outlineLvl w:val="9"/>
    </w:pPr>
    <w:rPr>
      <w:color w:val="365F91"/>
      <w:kern w:val="0"/>
      <w:sz w:val="28"/>
      <w:szCs w:val="28"/>
      <w:lang w:eastAsia="ru-RU"/>
    </w:rPr>
  </w:style>
  <w:style w:type="paragraph" w:styleId="Style14">
    <w:name w:val="Колонтитул"/>
    <w:basedOn w:val="Normal"/>
    <w:qFormat/>
    <w:pPr/>
    <w:rPr/>
  </w:style>
  <w:style w:type="paragraph" w:styleId="Header">
    <w:name w:val="Header"/>
    <w:basedOn w:val="Normal"/>
    <w:link w:val="Style8"/>
    <w:uiPriority w:val="99"/>
    <w:unhideWhenUsed/>
    <w:rsid w:val="00704fa1"/>
    <w:pPr>
      <w:tabs>
        <w:tab w:val="clear" w:pos="708"/>
        <w:tab w:val="center" w:pos="4677" w:leader="none"/>
        <w:tab w:val="right" w:pos="9355" w:leader="none"/>
      </w:tabs>
    </w:pPr>
    <w:rPr/>
  </w:style>
  <w:style w:type="paragraph" w:styleId="Footer">
    <w:name w:val="Footer"/>
    <w:basedOn w:val="Normal"/>
    <w:link w:val="Style9"/>
    <w:uiPriority w:val="99"/>
    <w:unhideWhenUsed/>
    <w:rsid w:val="00704fa1"/>
    <w:pPr>
      <w:tabs>
        <w:tab w:val="clear" w:pos="708"/>
        <w:tab w:val="center" w:pos="4677" w:leader="none"/>
        <w:tab w:val="right" w:pos="9355" w:leader="none"/>
      </w:tabs>
    </w:pPr>
    <w:rPr/>
  </w:style>
  <w:style w:type="paragraph" w:styleId="BalloonText">
    <w:name w:val="Balloon Text"/>
    <w:basedOn w:val="Normal"/>
    <w:link w:val="Style10"/>
    <w:uiPriority w:val="99"/>
    <w:semiHidden/>
    <w:unhideWhenUsed/>
    <w:qFormat/>
    <w:rsid w:val="0071707c"/>
    <w:pPr/>
    <w:rPr>
      <w:rFonts w:ascii="Tahoma" w:hAnsi="Tahoma" w:cs="Tahoma"/>
      <w:sz w:val="16"/>
      <w:szCs w:val="16"/>
    </w:rPr>
  </w:style>
  <w:style w:type="paragraph" w:styleId="Style15">
    <w:name w:val="Содержимое врезки"/>
    <w:basedOn w:val="Normal"/>
    <w:qFormat/>
    <w:pPr/>
    <w:rPr/>
  </w:style>
  <w:style w:type="paragraph" w:styleId="Style16">
    <w:name w:val="Содержимое таблицы"/>
    <w:basedOn w:val="Normal"/>
    <w:qFormat/>
    <w:pPr>
      <w:widowControl w:val="false"/>
      <w:suppressLineNumbers/>
    </w:pPr>
    <w:rPr/>
  </w:style>
  <w:style w:type="paragraph" w:styleId="Style17">
    <w:name w:val="Заголовок таблицы"/>
    <w:basedOn w:val="Style16"/>
    <w:qFormat/>
    <w:pPr>
      <w:suppressLineNumbers/>
      <w:jc w:val="center"/>
    </w:pPr>
    <w:rPr>
      <w:b/>
      <w:bCs/>
    </w:rPr>
  </w:style>
  <w:style w:type="paragraph" w:styleId="BodyText2">
    <w:name w:val="Body Text 2"/>
    <w:basedOn w:val="Normal"/>
    <w:qFormat/>
    <w:pPr/>
    <w:rPr>
      <w:rFonts w:eastAsia="Times New Roman"/>
      <w:szCs w:val="24"/>
    </w:rPr>
  </w:style>
  <w:style w:type="paragraph" w:styleId="BodyTextIndent">
    <w:name w:val="Body Text Indent"/>
    <w:basedOn w:val="Normal"/>
    <w:pPr>
      <w:ind w:firstLine="709" w:left="0" w:right="0"/>
    </w:pPr>
    <w:rPr>
      <w:rFonts w:eastAsia="Times New Roman"/>
      <w:szCs w:val="24"/>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a">
    <w:name w:val="Table Grid"/>
    <w:basedOn w:val="a1"/>
    <w:uiPriority w:val="59"/>
    <w:rsid w:val="00704fa1"/>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
    <w:name w:val="Сетка таблицы1"/>
    <w:basedOn w:val="a1"/>
    <w:uiPriority w:val="59"/>
    <w:rsid w:val="00163abd"/>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CF243B-D712-4513-BEEC-1C545DDEA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Application>AlterOffice/2026.2.0.0$Linux_X86_64 LibreOffice_project/bc4ef1adf80b36c7a6365f8ed6cbf29021361edd</Application>
  <AppVersion>15.0000</AppVersion>
  <Pages>1</Pages>
  <Words>280</Words>
  <Characters>1926</Characters>
  <CharactersWithSpaces>2231</CharactersWithSpaces>
  <Paragraphs>19</Paragraphs>
  <Company>ОА ДРСК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2023-10-20T06:27:00Z</dcterms:created>
  <dc:creator>Портяная Валентина Геннадьевна</dc:creator>
  <dc:description/>
  <dc:language>ru-RU</dc:language>
  <cp:lastModifiedBy>bregadze_sv</cp:lastModifiedBy>
  <cp:lastPrinted>2025-10-27T09:04:50Z</cp:lastPrinted>
  <dcterms:modified xsi:type="dcterms:W3CDTF">2026-10-22T11:06:36Z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file>