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1"/>
      <w:bookmarkStart w:id="1" w:name="_Toc1416967041"/>
      <w:bookmarkStart w:id="2" w:name="_Toc1398562871"/>
      <w:bookmarkStart w:id="3" w:name="_Toc1375545841"/>
      <w:bookmarkStart w:id="4" w:name="_Toc1416967041"/>
      <w:bookmarkStart w:id="5" w:name="_Toc1398562871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1A1A1A"/>
          <w:sz w:val="24"/>
          <w:szCs w:val="24"/>
        </w:rPr>
        <w:t xml:space="preserve">ОКПД2 26.30.50.133 </w:t>
      </w:r>
      <w:r>
        <w:rPr>
          <w:i w:val="false"/>
          <w:iCs w:val="false"/>
          <w:color w:val="1A1A1A"/>
          <w:sz w:val="24"/>
          <w:szCs w:val="24"/>
        </w:rPr>
        <w:t>П</w:t>
      </w:r>
      <w:r>
        <w:rPr>
          <w:i w:val="false"/>
          <w:iCs w:val="false"/>
          <w:color w:val="1A1A1A"/>
          <w:sz w:val="24"/>
          <w:szCs w:val="24"/>
        </w:rPr>
        <w:t>оставк</w:t>
      </w:r>
      <w:r>
        <w:rPr>
          <w:i w:val="false"/>
          <w:iCs w:val="false"/>
          <w:color w:val="1A1A1A"/>
          <w:sz w:val="24"/>
          <w:szCs w:val="24"/>
        </w:rPr>
        <w:t>а</w:t>
      </w:r>
      <w:r>
        <w:rPr>
          <w:i w:val="false"/>
          <w:iCs w:val="false"/>
          <w:color w:val="1A1A1A"/>
          <w:sz w:val="24"/>
          <w:szCs w:val="24"/>
        </w:rPr>
        <w:t xml:space="preserve"> считывателей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 xml:space="preserve"> систем контроля доступа (СКУД)</w:t>
      </w:r>
      <w:r>
        <w:rPr>
          <w:i w:val="false"/>
          <w:iCs w:val="false"/>
          <w:sz w:val="24"/>
          <w:szCs w:val="24"/>
        </w:rPr>
        <w:t xml:space="preserve"> для нужд </w:t>
      </w:r>
      <w:r>
        <w:rPr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  <w:t>АО «Гидроремонт ВКК» г. Новочебоксарск</w:t>
      </w:r>
    </w:p>
    <w:p>
      <w:pPr>
        <w:pStyle w:val="Normal"/>
        <w:jc w:val="center"/>
        <w:rPr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>Лот №_______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6" w:name="_Toc46743506"/>
      <w:bookmarkStart w:id="7" w:name="_Toc75446568"/>
      <w:r>
        <w:rPr>
          <w:i w:val="false"/>
          <w:iCs w:val="false"/>
          <w:sz w:val="24"/>
          <w:szCs w:val="24"/>
        </w:rPr>
        <w:t>Наименование закупаемой продукции</w:t>
      </w:r>
      <w:bookmarkEnd w:id="6"/>
      <w:bookmarkEnd w:id="7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1A1A1A"/>
          <w:sz w:val="24"/>
          <w:szCs w:val="24"/>
        </w:rPr>
        <w:t xml:space="preserve">ОКПД2 26.30.50.133 </w:t>
      </w:r>
      <w:r>
        <w:rPr>
          <w:i w:val="false"/>
          <w:iCs w:val="false"/>
          <w:color w:val="1A1A1A"/>
          <w:sz w:val="24"/>
          <w:szCs w:val="24"/>
        </w:rPr>
        <w:t>П</w:t>
      </w:r>
      <w:r>
        <w:rPr>
          <w:i w:val="false"/>
          <w:iCs w:val="false"/>
          <w:color w:val="1A1A1A"/>
          <w:sz w:val="24"/>
          <w:szCs w:val="24"/>
        </w:rPr>
        <w:t>оставк</w:t>
      </w:r>
      <w:r>
        <w:rPr>
          <w:i w:val="false"/>
          <w:iCs w:val="false"/>
          <w:color w:val="1A1A1A"/>
          <w:sz w:val="24"/>
          <w:szCs w:val="24"/>
        </w:rPr>
        <w:t>а</w:t>
      </w:r>
      <w:r>
        <w:rPr>
          <w:i w:val="false"/>
          <w:iCs w:val="false"/>
          <w:color w:val="1A1A1A"/>
          <w:sz w:val="24"/>
          <w:szCs w:val="24"/>
        </w:rPr>
        <w:t xml:space="preserve"> считывателей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 xml:space="preserve"> систем контроля доступа (СКУД)</w:t>
      </w:r>
      <w:r>
        <w:rPr>
          <w:i w:val="false"/>
          <w:iCs w:val="false"/>
          <w:sz w:val="24"/>
          <w:szCs w:val="24"/>
        </w:rPr>
        <w:t xml:space="preserve"> для нужд </w:t>
      </w:r>
      <w:r>
        <w:rPr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  <w:r>
        <w:rPr>
          <w:rFonts w:eastAsia="Calibri"/>
          <w:i w:val="false"/>
          <w:iCs w:val="false"/>
          <w:color w:val="000000"/>
          <w:sz w:val="24"/>
          <w:szCs w:val="24"/>
          <w:lang w:eastAsia="x-none"/>
        </w:rPr>
        <w:t>АО «Гидроремонт ВКК» г. Новочебоксарск</w:t>
      </w:r>
    </w:p>
    <w:p>
      <w:pPr>
        <w:pStyle w:val="Heading4"/>
        <w:numPr>
          <w:ilvl w:val="1"/>
          <w:numId w:val="4"/>
        </w:numPr>
        <w:spacing w:before="240" w:after="60"/>
        <w:ind w:hanging="431" w:left="431"/>
        <w:rPr>
          <w:i w:val="false"/>
          <w:i w:val="false"/>
          <w:iCs w:val="false"/>
          <w:sz w:val="24"/>
          <w:szCs w:val="24"/>
        </w:rPr>
      </w:pPr>
      <w:bookmarkStart w:id="8" w:name="_Toc75446569"/>
      <w:bookmarkStart w:id="9" w:name="_Toc46743507"/>
      <w:r>
        <w:rPr>
          <w:i w:val="false"/>
          <w:iCs w:val="false"/>
          <w:sz w:val="24"/>
          <w:szCs w:val="24"/>
        </w:rPr>
        <w:t xml:space="preserve">Цель </w:t>
      </w:r>
      <w:bookmarkEnd w:id="9"/>
      <w:r>
        <w:rPr>
          <w:i w:val="false"/>
          <w:iCs w:val="false"/>
          <w:sz w:val="24"/>
          <w:szCs w:val="24"/>
          <w:lang w:val="ru-RU"/>
        </w:rPr>
        <w:t xml:space="preserve">использования закупаемой продукции </w:t>
      </w:r>
      <w:bookmarkEnd w:id="8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shd w:fill="auto" w:val="clear"/>
          <w:lang w:eastAsia="x-none"/>
        </w:rPr>
        <w:t>Исполнение приказа №П-133 от 08.06.2026г «</w:t>
      </w:r>
      <w:r>
        <w:rPr>
          <w:rFonts w:cs="Times New Roman"/>
          <w:i w:val="false"/>
          <w:iCs w:val="false"/>
          <w:color w:val="000000"/>
          <w:sz w:val="24"/>
          <w:szCs w:val="24"/>
          <w:shd w:fill="auto" w:val="clear"/>
          <w:lang w:val="ru-RU" w:eastAsia="x-none"/>
        </w:rPr>
        <w:t xml:space="preserve">О реализации пилотного проекта по внедрению </w:t>
      </w:r>
      <w:r>
        <w:rPr>
          <w:rFonts w:cs="Times New Roman"/>
          <w:i w:val="false"/>
          <w:iCs w:val="false"/>
          <w:color w:val="000000"/>
          <w:sz w:val="24"/>
          <w:szCs w:val="24"/>
          <w:shd w:fill="auto" w:val="clear"/>
          <w:lang w:val="ru-RU" w:eastAsia="x-none"/>
        </w:rPr>
        <w:t xml:space="preserve">автономной системы контроля доступа (СКУД) и электронного табеля учета рабочего времени (ЭТУРВ) на объектах филиала ПАО «РусГидро» </w:t>
      </w:r>
      <w:r>
        <w:rPr>
          <w:rFonts w:cs="Times New Roman"/>
          <w:i w:val="false"/>
          <w:iCs w:val="false"/>
          <w:color w:val="000000"/>
          <w:sz w:val="24"/>
          <w:szCs w:val="24"/>
          <w:shd w:fill="auto" w:val="clear"/>
          <w:lang w:val="ru-RU" w:eastAsia="x-none"/>
        </w:rPr>
        <w:t>— «Нижегородская ГЭС».</w:t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>
          <w:i w:val="false"/>
          <w:i w:val="false"/>
          <w:iCs w:val="false"/>
          <w:sz w:val="24"/>
          <w:szCs w:val="24"/>
        </w:rPr>
      </w:pPr>
      <w:bookmarkStart w:id="10" w:name="_Toc75446573"/>
      <w:bookmarkStart w:id="11" w:name="_Toc51339693"/>
      <w:bookmarkStart w:id="12" w:name="_Toc50125126"/>
      <w:bookmarkStart w:id="13" w:name="_Toc46743510"/>
      <w:bookmarkEnd w:id="12"/>
      <w:bookmarkEnd w:id="13"/>
      <w:r>
        <w:rPr>
          <w:i w:val="false"/>
          <w:iCs w:val="false"/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14" w:name="_Toc75446574"/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  <w:bookmarkEnd w:id="14"/>
    </w:p>
    <w:p>
      <w:pPr>
        <w:pStyle w:val="Heading3"/>
        <w:numPr>
          <w:ilvl w:val="2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15" w:name="_Toc75446575"/>
      <w:r>
        <w:rPr>
          <w:i w:val="false"/>
          <w:iCs w:val="false"/>
          <w:sz w:val="24"/>
          <w:szCs w:val="24"/>
          <w:lang w:val="ru-RU"/>
        </w:rPr>
        <w:t>Перечень и объем закупаемой продукции</w:t>
      </w:r>
      <w:bookmarkEnd w:id="15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bookmarkStart w:id="16" w:name="_Toc75446576"/>
      <w:bookmarkStart w:id="17" w:name="_Toc51339695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1.1</w:t>
      </w:r>
      <w:r>
        <w:rPr>
          <w:i w:val="false"/>
          <w:iCs w:val="false"/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  <w:lang w:val="ru-RU"/>
        </w:rPr>
        <w:t xml:space="preserve">Перечень </w:t>
      </w:r>
      <w:bookmarkEnd w:id="17"/>
      <w:r>
        <w:rPr>
          <w:i w:val="false"/>
          <w:iCs w:val="false"/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141"/>
        <w:gridCol w:w="1426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Считыватель MR100 v2 Lite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Считыватель MR100 USB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18" w:name="_Toc75446578"/>
      <w:bookmarkStart w:id="19" w:name="_Toc51339696"/>
      <w:r>
        <w:rPr>
          <w:i w:val="false"/>
          <w:iCs w:val="false"/>
          <w:sz w:val="24"/>
          <w:szCs w:val="24"/>
          <w:lang w:val="ru-RU"/>
        </w:rPr>
        <w:t xml:space="preserve">Требования </w:t>
      </w:r>
      <w:bookmarkEnd w:id="19"/>
      <w:r>
        <w:rPr>
          <w:i w:val="false"/>
          <w:iCs w:val="false"/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bookmarkStart w:id="20" w:name="_Toc75446579"/>
      <w:bookmarkStart w:id="21" w:name="_Toc50125127"/>
      <w:bookmarkStart w:id="22" w:name="_Toc51339697"/>
      <w:bookmarkStart w:id="23" w:name="_Toc501251261"/>
      <w:bookmarkEnd w:id="23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0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>Продукция в соответствии с Таблицей 1.</w:t>
            </w: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>1</w:t>
            </w: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 xml:space="preserve"> Технических требований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В течение 15 </w:t>
            </w:r>
            <w:r>
              <w:rPr>
                <w:i w:val="false"/>
                <w:iCs w:val="false"/>
                <w:sz w:val="24"/>
                <w:szCs w:val="24"/>
              </w:rPr>
              <w:t>рабочих</w:t>
            </w:r>
            <w:r>
              <w:rPr>
                <w:i w:val="false"/>
                <w:iCs w:val="false"/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p>
      <w:pPr>
        <w:pStyle w:val="Heading4"/>
        <w:numPr>
          <w:ilvl w:val="3"/>
          <w:numId w:val="1"/>
        </w:numPr>
        <w:ind w:hanging="0" w:left="0" w:right="0"/>
        <w:rPr>
          <w:i w:val="false"/>
          <w:i w:val="false"/>
          <w:iCs w:val="false"/>
          <w:sz w:val="24"/>
          <w:szCs w:val="24"/>
        </w:rPr>
      </w:pPr>
      <w:bookmarkStart w:id="25" w:name="_Toc51339698"/>
      <w:bookmarkStart w:id="26" w:name="_Toc75446581"/>
      <w:bookmarkStart w:id="27" w:name="_Toc46743511"/>
      <w:bookmarkStart w:id="28" w:name="_Toc467435101"/>
      <w:bookmarkEnd w:id="28"/>
      <w:r>
        <w:rPr>
          <w:i w:val="false"/>
          <w:iCs w:val="false"/>
          <w:sz w:val="24"/>
          <w:szCs w:val="24"/>
        </w:rPr>
        <w:t xml:space="preserve">Требования к </w:t>
      </w:r>
      <w:bookmarkEnd w:id="27"/>
      <w:r>
        <w:rPr>
          <w:i w:val="false"/>
          <w:iCs w:val="false"/>
          <w:sz w:val="24"/>
          <w:szCs w:val="24"/>
          <w:lang w:val="ru-RU"/>
        </w:rPr>
        <w:t>качеству продукции</w:t>
      </w:r>
      <w:bookmarkEnd w:id="26"/>
    </w:p>
    <w:p>
      <w:pPr>
        <w:pStyle w:val="Heading1"/>
        <w:keepLines/>
        <w:numPr>
          <w:ilvl w:val="0"/>
          <w:numId w:val="1"/>
        </w:numPr>
        <w:tabs>
          <w:tab w:val="clear" w:pos="0"/>
        </w:tabs>
        <w:spacing w:before="240" w:after="60"/>
        <w:ind w:hanging="0" w:left="0" w:righ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 </w:t>
      </w:r>
      <w:bookmarkStart w:id="29" w:name="_Toc75446582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29"/>
      <w:r>
        <w:rPr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>Наименование продукции: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 xml:space="preserve"> 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 xml:space="preserve">ОКПД2 26.30.50.133 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>П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>оставк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>а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 xml:space="preserve"> считывателей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  <w:shd w:fill="auto" w:val="clear"/>
        </w:rPr>
        <w:t xml:space="preserve"> систем контроля доступа (СКУД)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 xml:space="preserve"> для нужд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eastAsia="x-none"/>
        </w:rPr>
        <w:t>АО «Гидроремонт ВКК» г. Новочебоксарск</w:t>
      </w:r>
    </w:p>
    <w:tbl>
      <w:tblPr>
        <w:tblW w:w="152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2358"/>
        <w:gridCol w:w="3300"/>
        <w:gridCol w:w="7436"/>
      </w:tblGrid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Наименование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7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center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1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5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23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Считыватель MR100 v2 Lite</w:t>
            </w:r>
          </w:p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 считывателя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Sigur MR100 v2 Lite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 поддерживаемых идентификаторов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Mifare (Ultralight, Classic, Mini, ID, DESFire, Plus), включая защищённые режимы SL1 и SL3 семейства Mifare Plus, защищённый режим семейства Mifare DESFire EV1 и семейства Mifare Classic. Бесконтактные банковские карты MasterCard, Visa, МИР в режиме чтения UID при наличии статического UID / в защищённом режиме при наличии эмуляции Mifare Classic или Plus, соответствующей документу «AN10833 MIFARE Type Identification» компании NXP. Все идентификаторы стандарта ISO14443-A в режиме чтения UID. Em-Marine, HID ProxCard II (125 kHz).</w:t>
            </w:r>
          </w:p>
        </w:tc>
      </w:tr>
      <w:tr>
        <w:trPr>
          <w:trHeight w:val="105" w:hRule="atLeast"/>
        </w:trPr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Интерфейс связи с контроллером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Wiegand (26, 34, 58) OSDP (RS-485)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Дальность чтения карт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До 9 см (в зависимости от карты, режима работы и места установки)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Индикация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Светодиодный RGB-индикатор Широкополосный звук (PCM 16 bit, 44.1 kHz, Mono) 3 входа управления индикацией (при подключении считывателей по Wiegand) Управление индикацией по OSDP (при подключении считывателей по OSDP)</w:t>
            </w:r>
          </w:p>
        </w:tc>
      </w:tr>
      <w:tr>
        <w:trPr>
          <w:trHeight w:val="662" w:hRule="atLeast"/>
        </w:trPr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Средства диагностики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Встроенные средства самопроверки Датчик снятия считывателя с настенной панели Датчик температуры Оцифровка напряжения питания</w:t>
            </w:r>
          </w:p>
        </w:tc>
      </w:tr>
      <w:tr>
        <w:trPr>
          <w:trHeight w:val="114" w:hRule="atLeast"/>
        </w:trPr>
        <w:tc>
          <w:tcPr>
            <w:tcW w:w="5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1.2</w:t>
            </w:r>
          </w:p>
        </w:tc>
        <w:tc>
          <w:tcPr>
            <w:tcW w:w="23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Считыватель MR100 USB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 считывателя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Sigur MR100 USB</w:t>
            </w:r>
          </w:p>
        </w:tc>
      </w:tr>
      <w:tr>
        <w:trPr>
          <w:trHeight w:val="116" w:hRule="atLeast"/>
        </w:trPr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 поддерживаемых идентификаторов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Mifare (Ultralight, Classic, Mini, ID, DESFire, Plus), включая защищённые режимы SL1 и SL3 семейства Mifare Plus, защищённый режим семейства Mifare DESFire EV1 и семейства Mifare Classic. Бесконтактные банковские карты MasterCard, Visa, МИР в режиме чтения UID при наличии статического UID / в защищённом режиме при наличии эмуляции Mifare Classic или Plus, соответствующей документу «AN10833 MIFARE Type Identification» компании NXP. Все идентификаторы стандарта ISO14443-A в режиме чтения UID. Смартфоны (Android, iOS) по технологии BLE (при наличии Bluetooth 4.0 и выше). Смартфоны Android c NFC модулем по технологии HCE. PAN-номер банковской карты по технологии EMV (MasterCard, Visa, МИР, в т. ч. добавленные в электронные кошельки: МИР Pay, Google Pay, Apple Wallet, Samsung Pay) Em-Marine, HID ProxCard II (125 kHz).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Режимы работы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USB PC/SC USB HID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Дальность чтения карт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До 9 см (в зависимости от карты, режима работы и места установки)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Индикация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Светодиодный RGB-индикатор Широкополосный звук (PCM 16 bit, 44,1 kHz, Mono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Средства диагностики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Встроенные средства самопроверки Датчик снятия считывателя с настенной панели Датчик температуры Оцифровка напряжения питания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Питание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От USB порта компьютера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 порта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USB-A 2.0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3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Габаритные размеры</w:t>
            </w:r>
          </w:p>
        </w:tc>
        <w:tc>
          <w:tcPr>
            <w:tcW w:w="7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90х90х36 мм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10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606520, РФ, Нижегородская обл., Городецкий м.о., г. Заволжье, Привокзальная 14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Приемка продукции</w:t>
            </w:r>
          </w:p>
        </w:tc>
        <w:tc>
          <w:tcPr>
            <w:tcW w:w="107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</w:t>
            </w:r>
          </w:p>
        </w:tc>
        <w:tc>
          <w:tcPr>
            <w:tcW w:w="107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30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107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подписания Сторонами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bookmarkStart w:id="30" w:name="_GoBack"/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специалистов.</w:t>
            </w:r>
            <w:bookmarkEnd w:id="30"/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1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0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bookmarkStart w:id="31" w:name="_GoBack_Копия_1"/>
            <w:bookmarkEnd w:id="31"/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Сертификат качества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Обязательные первичные документы: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Товарную накладную по форме ТОРГ-12 или Универсальный передаточный документ (УПД) в 2 экз.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130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130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130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</w:tr>
    </w:tbl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15ab6"/>
    <w:rPr>
      <w:color w:val="605E5C"/>
      <w:shd w:fill="E1DFDD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12565345991" w:customStyle="1">
    <w:name w:val="125653459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48507-4B4B-4326-86C2-070A96CC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7347</TotalTime>
  <Application>AlterOffice/2026.2.0.0$Linux_X86_64 LibreOffice_project/bc4ef1adf80b36c7a6365f8ed6cbf29021361edd</Application>
  <AppVersion>15.0000</AppVersion>
  <Pages>5</Pages>
  <Words>958</Words>
  <Characters>6409</Characters>
  <CharactersWithSpaces>7266</CharactersWithSpaces>
  <Paragraphs>129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2023-01-13T08:52:00Z</dcterms:created>
  <dc:creator>Быстров Олег Геннадьевич</dc:creator>
  <dc:description/>
  <dc:language>ru-RU</dc:language>
  <cp:lastModifiedBy/>
  <dcterms:modified xsi:type="dcterms:W3CDTF">2026-10-22T13:43:22Z</dcterms:modified>
  <cp:revision>71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