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B7225" w14:textId="77777777" w:rsidR="0022554A" w:rsidRDefault="0000000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1D698B3F" w14:textId="043233C4" w:rsidR="00DF4C14" w:rsidRPr="00754CC8" w:rsidRDefault="00000000" w:rsidP="00521701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проведению аудита бухгалтерской (финансовой) отчетности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2D777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г., </w:t>
      </w:r>
      <w:r w:rsidR="00DF4C14" w:rsidRPr="00754CC8">
        <w:rPr>
          <w:rFonts w:ascii="Times New Roman" w:hAnsi="Times New Roman"/>
          <w:sz w:val="24"/>
          <w:szCs w:val="24"/>
        </w:rPr>
        <w:t>подготовленной в соответствии с законодательством Российской Федерации</w:t>
      </w:r>
      <w:r w:rsidR="00DF4C14">
        <w:rPr>
          <w:rFonts w:ascii="Times New Roman" w:hAnsi="Times New Roman"/>
          <w:sz w:val="24"/>
          <w:szCs w:val="24"/>
        </w:rPr>
        <w:t xml:space="preserve"> </w:t>
      </w:r>
      <w:r w:rsidR="00D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«бухгалтерская отчетность», «аудит», «аудиторская проверка», «Услуги» соответственно) </w:t>
      </w:r>
    </w:p>
    <w:p w14:paraId="50B1FDB0" w14:textId="77777777" w:rsidR="0022554A" w:rsidRDefault="0022554A" w:rsidP="0043021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08577F" w14:textId="62F42A83" w:rsidR="0022554A" w:rsidRDefault="00000000" w:rsidP="0059141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аудита: </w:t>
      </w:r>
      <w:bookmarkStart w:id="0" w:name="_Toc145849796"/>
      <w:bookmarkStart w:id="1" w:name="_Toc145849795"/>
      <w:bookmarkStart w:id="2" w:name="_Toc517966156"/>
      <w:r w:rsidR="00B95C3F" w:rsidRPr="00754CC8">
        <w:rPr>
          <w:rFonts w:ascii="Times New Roman" w:hAnsi="Times New Roman"/>
          <w:sz w:val="24"/>
          <w:szCs w:val="24"/>
        </w:rPr>
        <w:t xml:space="preserve">по адресу: г. Москва, ул. Красная Пресня, д. 22 и по месту нахождения </w:t>
      </w:r>
      <w:r w:rsidR="00894237">
        <w:rPr>
          <w:rFonts w:ascii="Times New Roman" w:hAnsi="Times New Roman"/>
          <w:sz w:val="24"/>
          <w:szCs w:val="24"/>
        </w:rPr>
        <w:t>аудитора</w:t>
      </w:r>
      <w:r w:rsidR="00B95C3F" w:rsidRPr="00754CC8">
        <w:rPr>
          <w:rFonts w:ascii="Times New Roman" w:hAnsi="Times New Roman"/>
          <w:sz w:val="24"/>
          <w:szCs w:val="24"/>
        </w:rPr>
        <w:t>.</w:t>
      </w:r>
    </w:p>
    <w:p w14:paraId="650698C6" w14:textId="255781F8" w:rsidR="0022554A" w:rsidRDefault="00000000">
      <w:pPr>
        <w:pStyle w:val="1"/>
        <w:numPr>
          <w:ilvl w:val="0"/>
          <w:numId w:val="1"/>
        </w:numPr>
        <w:shd w:val="clear" w:color="auto" w:fill="FFFFFF"/>
        <w:spacing w:before="390" w:after="150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Настоящее техническое задание на проведение аудита бухгалтерской (финансовой) отчетности (далее - аудит)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Общество с ограниченной ответственностью «</w:t>
      </w:r>
      <w:r w:rsidR="0089423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Пан Турс»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(ООО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«</w:t>
      </w:r>
      <w:r w:rsidR="00894237">
        <w:rPr>
          <w:rFonts w:ascii="Times New Roman" w:hAnsi="Times New Roman" w:cs="Times New Roman"/>
          <w:bCs/>
          <w:color w:val="auto"/>
          <w:sz w:val="24"/>
          <w:szCs w:val="24"/>
        </w:rPr>
        <w:t>Пан Турс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»)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(далее – Заказчик) определяет состав задач и подзадач, необходимых для выполнения </w:t>
      </w:r>
      <w:r w:rsidR="00894237">
        <w:rPr>
          <w:rFonts w:ascii="Times New Roman" w:hAnsi="Times New Roman" w:cs="Times New Roman"/>
          <w:color w:val="auto"/>
          <w:sz w:val="24"/>
          <w:szCs w:val="24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>удитором</w:t>
      </w:r>
      <w:r w:rsidR="00813CF8">
        <w:rPr>
          <w:rFonts w:ascii="Times New Roman" w:hAnsi="Times New Roman" w:cs="Times New Roman"/>
          <w:color w:val="auto"/>
          <w:sz w:val="24"/>
          <w:szCs w:val="24"/>
        </w:rPr>
        <w:t xml:space="preserve"> (далее – Исполнителем)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 процессе осуществления аудита.</w:t>
      </w:r>
    </w:p>
    <w:p w14:paraId="74661A23" w14:textId="2C06D24C" w:rsidR="00591410" w:rsidRPr="002C147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476">
        <w:rPr>
          <w:rFonts w:ascii="Times New Roman" w:hAnsi="Times New Roman" w:cs="Times New Roman"/>
          <w:bCs/>
          <w:sz w:val="24"/>
          <w:szCs w:val="24"/>
        </w:rPr>
        <w:t>Общество с ограниченной ответственностью «</w:t>
      </w:r>
      <w:r w:rsidR="00894237" w:rsidRPr="002C1476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2C1476">
        <w:rPr>
          <w:rFonts w:ascii="Times New Roman" w:hAnsi="Times New Roman" w:cs="Times New Roman"/>
          <w:bCs/>
          <w:sz w:val="24"/>
          <w:szCs w:val="24"/>
        </w:rPr>
        <w:t>» (ООО</w:t>
      </w:r>
      <w:r w:rsidRPr="002C1476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2C1476">
        <w:rPr>
          <w:rFonts w:ascii="Times New Roman" w:hAnsi="Times New Roman" w:cs="Times New Roman"/>
          <w:bCs/>
          <w:sz w:val="24"/>
          <w:szCs w:val="24"/>
        </w:rPr>
        <w:t>«</w:t>
      </w:r>
      <w:r w:rsidR="00894237" w:rsidRPr="002C1476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2C1476">
        <w:rPr>
          <w:rFonts w:ascii="Times New Roman" w:hAnsi="Times New Roman" w:cs="Times New Roman"/>
          <w:bCs/>
          <w:sz w:val="24"/>
          <w:szCs w:val="24"/>
        </w:rPr>
        <w:t>»)</w:t>
      </w:r>
      <w:r w:rsidRPr="002C1476">
        <w:rPr>
          <w:rFonts w:ascii="Times New Roman" w:hAnsi="Times New Roman" w:cs="Times New Roman"/>
          <w:sz w:val="24"/>
          <w:szCs w:val="24"/>
        </w:rPr>
        <w:t xml:space="preserve"> 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деятельность с </w:t>
      </w:r>
      <w:r w:rsidR="00894237"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237"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94237"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14:paraId="491FD8E4" w14:textId="1B1DB595" w:rsidR="0022554A" w:rsidRPr="00430213" w:rsidRDefault="00000000">
      <w:pPr>
        <w:jc w:val="both"/>
        <w:rPr>
          <w:rStyle w:val="aff2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2C1476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 вид деятельности: </w:t>
      </w:r>
      <w:bookmarkStart w:id="3" w:name="_Hlk213244476"/>
      <w:r w:rsidR="002C1476" w:rsidRPr="00430213">
        <w:rPr>
          <w:rStyle w:val="aff2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«Деятельность туристических агентств</w:t>
      </w:r>
      <w:r w:rsidRPr="00430213">
        <w:rPr>
          <w:rStyle w:val="aff2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»</w:t>
      </w:r>
      <w:bookmarkEnd w:id="3"/>
    </w:p>
    <w:p w14:paraId="65D0916C" w14:textId="176EFEF0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476">
        <w:rPr>
          <w:rFonts w:ascii="Times New Roman" w:hAnsi="Times New Roman" w:cs="Times New Roman"/>
          <w:bCs/>
          <w:sz w:val="24"/>
          <w:szCs w:val="24"/>
        </w:rPr>
        <w:t>В ООО</w:t>
      </w:r>
      <w:r w:rsidRPr="002C1476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2C1476">
        <w:rPr>
          <w:rFonts w:ascii="Times New Roman" w:hAnsi="Times New Roman" w:cs="Times New Roman"/>
          <w:bCs/>
          <w:sz w:val="24"/>
          <w:szCs w:val="24"/>
        </w:rPr>
        <w:t>«</w:t>
      </w:r>
      <w:r w:rsidR="00894237" w:rsidRPr="002C1476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2C1476">
        <w:rPr>
          <w:rFonts w:ascii="Times New Roman" w:hAnsi="Times New Roman" w:cs="Times New Roman"/>
          <w:bCs/>
          <w:sz w:val="24"/>
          <w:szCs w:val="24"/>
        </w:rPr>
        <w:t>»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C3F"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обособленные подразделения, 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 и представительства отсутствуют.</w:t>
      </w:r>
    </w:p>
    <w:p w14:paraId="5F5641D9" w14:textId="07067A8E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2C1476">
        <w:rPr>
          <w:rFonts w:ascii="Times New Roman" w:hAnsi="Times New Roman" w:cs="Times New Roman"/>
          <w:bCs/>
          <w:sz w:val="24"/>
          <w:szCs w:val="24"/>
        </w:rPr>
        <w:t>ООО</w:t>
      </w:r>
      <w:r w:rsidRPr="002C1476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2C1476">
        <w:rPr>
          <w:rFonts w:ascii="Times New Roman" w:hAnsi="Times New Roman" w:cs="Times New Roman"/>
          <w:bCs/>
          <w:sz w:val="24"/>
          <w:szCs w:val="24"/>
        </w:rPr>
        <w:t>«</w:t>
      </w:r>
      <w:r w:rsidR="00894237" w:rsidRPr="002C1476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2C1476">
        <w:rPr>
          <w:rFonts w:ascii="Times New Roman" w:hAnsi="Times New Roman" w:cs="Times New Roman"/>
          <w:bCs/>
          <w:sz w:val="24"/>
          <w:szCs w:val="24"/>
        </w:rPr>
        <w:t>»</w:t>
      </w:r>
      <w:r w:rsidRPr="002C1476">
        <w:rPr>
          <w:rFonts w:ascii="Times New Roman" w:hAnsi="Times New Roman" w:cs="Times New Roman"/>
          <w:sz w:val="24"/>
          <w:szCs w:val="24"/>
        </w:rPr>
        <w:t xml:space="preserve"> 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бухгалтерский учет ведется на программном продукте 1С «Бухгалтерия» 8.3 </w:t>
      </w:r>
      <w:r w:rsidR="002C1476"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строительных организаций</w:t>
      </w:r>
      <w:r w:rsidRP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290B1C" w14:textId="1F29C586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Выручка от реализации товаров, работ (услуг) в </w:t>
      </w:r>
      <w:r w:rsidRPr="00591410">
        <w:rPr>
          <w:rFonts w:ascii="Times New Roman" w:hAnsi="Times New Roman" w:cs="Times New Roman"/>
          <w:bCs/>
          <w:sz w:val="24"/>
          <w:szCs w:val="24"/>
        </w:rPr>
        <w:t>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</w:t>
      </w:r>
      <w:r w:rsidR="00894237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591410">
        <w:rPr>
          <w:rFonts w:ascii="Times New Roman" w:hAnsi="Times New Roman" w:cs="Times New Roman"/>
          <w:bCs/>
          <w:sz w:val="24"/>
          <w:szCs w:val="24"/>
        </w:rPr>
        <w:t>»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30.09.202</w:t>
      </w:r>
      <w:r w:rsidR="002D77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отсутствует.</w:t>
      </w:r>
    </w:p>
    <w:p w14:paraId="409BEC84" w14:textId="3C9E6E76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Штатная численность </w:t>
      </w:r>
      <w:r w:rsidRPr="00591410">
        <w:rPr>
          <w:rFonts w:ascii="Times New Roman" w:hAnsi="Times New Roman" w:cs="Times New Roman"/>
          <w:bCs/>
          <w:sz w:val="24"/>
          <w:szCs w:val="24"/>
        </w:rPr>
        <w:t>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</w:t>
      </w:r>
      <w:r w:rsidR="00894237">
        <w:rPr>
          <w:rFonts w:ascii="Times New Roman" w:hAnsi="Times New Roman" w:cs="Times New Roman"/>
          <w:bCs/>
          <w:sz w:val="24"/>
          <w:szCs w:val="24"/>
        </w:rPr>
        <w:t>Пан Турс</w:t>
      </w:r>
      <w:r w:rsidRPr="00591410">
        <w:rPr>
          <w:rFonts w:ascii="Times New Roman" w:hAnsi="Times New Roman" w:cs="Times New Roman"/>
          <w:bCs/>
          <w:sz w:val="24"/>
          <w:szCs w:val="24"/>
        </w:rPr>
        <w:t>»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2D7779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7779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D77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894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F06F5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1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</w:t>
      </w:r>
    </w:p>
    <w:p w14:paraId="38C50FBB" w14:textId="5B896E2A" w:rsidR="0022554A" w:rsidRPr="00591410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1410">
        <w:rPr>
          <w:rFonts w:ascii="Times New Roman" w:hAnsi="Times New Roman" w:cs="Times New Roman"/>
          <w:sz w:val="24"/>
          <w:szCs w:val="24"/>
        </w:rPr>
        <w:t>2. Целью аудита является выражение мнения Аудитора о достоверности бухгалтерской (финансовой) отчетности Заказчика за 202</w:t>
      </w:r>
      <w:r w:rsidR="002D7779">
        <w:rPr>
          <w:rFonts w:ascii="Times New Roman" w:hAnsi="Times New Roman" w:cs="Times New Roman"/>
          <w:sz w:val="24"/>
          <w:szCs w:val="24"/>
        </w:rPr>
        <w:t>6</w:t>
      </w:r>
      <w:r w:rsidRPr="00591410">
        <w:rPr>
          <w:rFonts w:ascii="Times New Roman" w:hAnsi="Times New Roman" w:cs="Times New Roman"/>
          <w:sz w:val="24"/>
          <w:szCs w:val="24"/>
        </w:rPr>
        <w:t xml:space="preserve"> г.,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в соответствии с законодательством Российской Федерации.</w:t>
      </w:r>
    </w:p>
    <w:p w14:paraId="7AF94821" w14:textId="47613651" w:rsidR="0022554A" w:rsidRPr="00521701" w:rsidRDefault="00DF4C14" w:rsidP="00521701">
      <w:pPr>
        <w:tabs>
          <w:tab w:val="left" w:pos="1134"/>
        </w:tabs>
        <w:spacing w:after="170" w:line="240" w:lineRule="auto"/>
        <w:jc w:val="both"/>
        <w:rPr>
          <w:rFonts w:ascii="Times New Roman" w:hAnsi="Times New Roman"/>
          <w:sz w:val="24"/>
          <w:szCs w:val="24"/>
        </w:rPr>
      </w:pPr>
      <w:r w:rsidRPr="00591410">
        <w:rPr>
          <w:rFonts w:ascii="Times New Roman" w:hAnsi="Times New Roman" w:cs="Times New Roman"/>
          <w:sz w:val="24"/>
          <w:szCs w:val="24"/>
        </w:rPr>
        <w:t xml:space="preserve">         3. При планировании, проведении аудита и коммуникациях с руководством</w:t>
      </w:r>
      <w:r w:rsidRPr="00521701">
        <w:rPr>
          <w:rFonts w:ascii="Times New Roman" w:hAnsi="Times New Roman" w:cs="Times New Roman"/>
          <w:sz w:val="24"/>
          <w:szCs w:val="24"/>
        </w:rPr>
        <w:t xml:space="preserve"> Заказчика Аудитор должен руководствоваться</w:t>
      </w:r>
      <w:r w:rsidR="001C156B" w:rsidRPr="00521701">
        <w:rPr>
          <w:rFonts w:ascii="Times New Roman" w:hAnsi="Times New Roman"/>
          <w:sz w:val="24"/>
          <w:szCs w:val="24"/>
        </w:rPr>
        <w:t xml:space="preserve"> Федеральным законом от 30.12.2008 № 307-ФЗ «Об аудиторской деятельности», </w:t>
      </w:r>
      <w:r w:rsidRPr="00521701">
        <w:rPr>
          <w:rFonts w:ascii="Times New Roman" w:hAnsi="Times New Roman" w:cs="Times New Roman"/>
          <w:sz w:val="24"/>
          <w:szCs w:val="24"/>
        </w:rPr>
        <w:t>международными стандартами аудита (далее – МСА), введенными в действие на территории Российской Федерации приказом Минфина России от 09.01.2019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принятыми в дополнение или изменение данного приказа распорядительные документы Минфина России, действующие на дату начала оказания услуг.</w:t>
      </w:r>
    </w:p>
    <w:p w14:paraId="6A5DFBDC" w14:textId="77777777" w:rsidR="0022554A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подготовке и планировании аудиторских процедур необходимо исходить из принципа достаточности и уместности проведения конкретных аудиторских процедур в отношении бухгалтерской (финансовой) отчетности Заказчика.</w:t>
      </w:r>
    </w:p>
    <w:p w14:paraId="32940CAD" w14:textId="1B8BD9C3" w:rsidR="0022554A" w:rsidRPr="00521701" w:rsidRDefault="00DF4C14" w:rsidP="00521701">
      <w:pPr>
        <w:tabs>
          <w:tab w:val="left" w:pos="1134"/>
        </w:tabs>
        <w:spacing w:after="17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701">
        <w:rPr>
          <w:rFonts w:ascii="Times New Roman" w:hAnsi="Times New Roman" w:cs="Times New Roman"/>
          <w:sz w:val="24"/>
          <w:szCs w:val="24"/>
        </w:rPr>
        <w:t>5. Аудитору следует в полном объеме исполнять установленные правила доступа на объекты Заказчика и иные внутренние правила, заблаговременно извещать руководство Заказчика о необходимости посещения объектов и своевременно предоставлять информацию, необходимую для организации таких работ.</w:t>
      </w:r>
      <w:bookmarkStart w:id="4" w:name="_Hlk191568141"/>
      <w:r w:rsidR="001C156B" w:rsidRPr="00521701">
        <w:rPr>
          <w:rFonts w:ascii="Times New Roman" w:hAnsi="Times New Roman"/>
          <w:sz w:val="24"/>
          <w:szCs w:val="24"/>
        </w:rPr>
        <w:t xml:space="preserve"> </w:t>
      </w:r>
      <w:bookmarkEnd w:id="4"/>
    </w:p>
    <w:p w14:paraId="161EBFB9" w14:textId="77777777" w:rsidR="001C156B" w:rsidRDefault="001C156B" w:rsidP="001C156B">
      <w:pPr>
        <w:tabs>
          <w:tab w:val="left" w:pos="1417"/>
        </w:tabs>
        <w:spacing w:after="0" w:line="240" w:lineRule="auto"/>
        <w:jc w:val="both"/>
        <w:rPr>
          <w:rFonts w:ascii="Times New Roman" w:hAnsi="Times New Roman"/>
          <w:sz w:val="24"/>
        </w:rPr>
      </w:pPr>
      <w:bookmarkStart w:id="5" w:name="_Ref74659309"/>
    </w:p>
    <w:p w14:paraId="74B715F2" w14:textId="45F10DCB" w:rsidR="0022554A" w:rsidRPr="003B4047" w:rsidRDefault="006B3E67" w:rsidP="003B4047">
      <w:pPr>
        <w:pStyle w:val="af7"/>
        <w:numPr>
          <w:ilvl w:val="0"/>
          <w:numId w:val="10"/>
        </w:numPr>
        <w:tabs>
          <w:tab w:val="left" w:pos="141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Аудит </w:t>
      </w:r>
      <w:bookmarkEnd w:id="5"/>
      <w:r w:rsidR="00A907B9" w:rsidRPr="006B3E67">
        <w:rPr>
          <w:rFonts w:ascii="Times New Roman" w:hAnsi="Times New Roman"/>
          <w:sz w:val="24"/>
          <w:szCs w:val="24"/>
        </w:rPr>
        <w:t>в отношении бухгалтерской (финансовой) отчетности по РСБУ, подготовленной за период с 01 января 202</w:t>
      </w:r>
      <w:r w:rsidR="002D7779">
        <w:rPr>
          <w:rFonts w:ascii="Times New Roman" w:hAnsi="Times New Roman"/>
          <w:sz w:val="24"/>
          <w:szCs w:val="24"/>
        </w:rPr>
        <w:t>6</w:t>
      </w:r>
      <w:r w:rsidR="00A907B9" w:rsidRPr="006B3E67">
        <w:rPr>
          <w:rFonts w:ascii="Times New Roman" w:hAnsi="Times New Roman"/>
          <w:sz w:val="24"/>
          <w:szCs w:val="24"/>
        </w:rPr>
        <w:t xml:space="preserve"> года по 31 декабря 202</w:t>
      </w:r>
      <w:r w:rsidR="002D7779">
        <w:rPr>
          <w:rFonts w:ascii="Times New Roman" w:hAnsi="Times New Roman"/>
          <w:sz w:val="24"/>
          <w:szCs w:val="24"/>
        </w:rPr>
        <w:t>6</w:t>
      </w:r>
      <w:r w:rsidR="00A907B9" w:rsidRPr="006B3E67">
        <w:rPr>
          <w:rFonts w:ascii="Times New Roman" w:hAnsi="Times New Roman"/>
          <w:sz w:val="24"/>
          <w:szCs w:val="24"/>
        </w:rPr>
        <w:t xml:space="preserve"> года - Исполнитель обязуется провести </w:t>
      </w:r>
      <w:r w:rsidR="003B4047" w:rsidRPr="00F34792">
        <w:rPr>
          <w:rFonts w:ascii="Times New Roman" w:hAnsi="Times New Roman"/>
          <w:sz w:val="24"/>
          <w:szCs w:val="24"/>
        </w:rPr>
        <w:t xml:space="preserve">в период </w:t>
      </w:r>
      <w:r w:rsidR="003B4047">
        <w:rPr>
          <w:rFonts w:ascii="Times New Roman" w:hAnsi="Times New Roman"/>
          <w:sz w:val="24"/>
          <w:szCs w:val="24"/>
        </w:rPr>
        <w:t xml:space="preserve">с </w:t>
      </w:r>
      <w:r w:rsidR="002D7779">
        <w:rPr>
          <w:rFonts w:ascii="Times New Roman" w:hAnsi="Times New Roman"/>
          <w:sz w:val="24"/>
          <w:szCs w:val="24"/>
        </w:rPr>
        <w:t>01.03.2027 по 19.03.2027</w:t>
      </w:r>
      <w:r w:rsidR="003B4047" w:rsidRPr="00FE2BD1">
        <w:rPr>
          <w:rFonts w:ascii="Times New Roman" w:hAnsi="Times New Roman"/>
          <w:sz w:val="24"/>
          <w:szCs w:val="24"/>
        </w:rPr>
        <w:t>;</w:t>
      </w:r>
    </w:p>
    <w:p w14:paraId="2ED1E199" w14:textId="24D2B3D5" w:rsidR="0022554A" w:rsidRPr="00521701" w:rsidRDefault="00000000" w:rsidP="00521701">
      <w:pPr>
        <w:pStyle w:val="af7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701">
        <w:rPr>
          <w:rFonts w:ascii="Times New Roman" w:hAnsi="Times New Roman" w:cs="Times New Roman"/>
          <w:sz w:val="24"/>
          <w:szCs w:val="24"/>
        </w:rPr>
        <w:t xml:space="preserve">Задачи и подзадачи аудита: </w:t>
      </w:r>
    </w:p>
    <w:p w14:paraId="1FE0C2D7" w14:textId="77777777" w:rsidR="00813CF8" w:rsidRDefault="00000000" w:rsidP="00521701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задание по аудиту бухгалтерской (финансовой) отчетности не отменяет и не заменяет процедур, которые должен выполнить Аудитор в соответствии с требованиями МСА. Настоящее задание определяет задачи, которые должны быть учтены при формировании плана аудита и результаты решения которых должны быть отражены в отчетных документах.</w:t>
      </w:r>
      <w:r w:rsidR="00813CF8" w:rsidRPr="00813CF8">
        <w:rPr>
          <w:rFonts w:ascii="Times New Roman" w:hAnsi="Times New Roman"/>
          <w:sz w:val="24"/>
          <w:szCs w:val="24"/>
        </w:rPr>
        <w:t xml:space="preserve"> </w:t>
      </w:r>
    </w:p>
    <w:p w14:paraId="573D2691" w14:textId="77777777" w:rsidR="0022554A" w:rsidRDefault="0022554A" w:rsidP="0059141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38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422"/>
        <w:gridCol w:w="1004"/>
        <w:gridCol w:w="1848"/>
        <w:gridCol w:w="4249"/>
      </w:tblGrid>
      <w:tr w:rsidR="0022554A" w14:paraId="49BCFBCB" w14:textId="77777777">
        <w:trPr>
          <w:trHeight w:val="600"/>
          <w:tblHeader/>
        </w:trPr>
        <w:tc>
          <w:tcPr>
            <w:tcW w:w="269" w:type="pct"/>
            <w:vAlign w:val="center"/>
          </w:tcPr>
          <w:p w14:paraId="5FFD6BA8" w14:textId="77777777" w:rsidR="0022554A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03" w:type="pct"/>
            <w:vAlign w:val="center"/>
          </w:tcPr>
          <w:p w14:paraId="1817E3DA" w14:textId="77777777" w:rsidR="0022554A" w:rsidRDefault="00000000">
            <w:pPr>
              <w:spacing w:line="240" w:lineRule="auto"/>
              <w:ind w:firstLine="2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задачи</w:t>
            </w:r>
          </w:p>
        </w:tc>
        <w:tc>
          <w:tcPr>
            <w:tcW w:w="499" w:type="pct"/>
            <w:vAlign w:val="center"/>
          </w:tcPr>
          <w:p w14:paraId="678CD12C" w14:textId="77777777" w:rsidR="0022554A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18" w:type="pct"/>
            <w:vAlign w:val="center"/>
          </w:tcPr>
          <w:p w14:paraId="204180EB" w14:textId="77777777" w:rsidR="0022554A" w:rsidRDefault="00000000">
            <w:pPr>
              <w:spacing w:line="240" w:lineRule="auto"/>
              <w:ind w:hanging="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подзадачи</w:t>
            </w:r>
          </w:p>
        </w:tc>
        <w:tc>
          <w:tcPr>
            <w:tcW w:w="2112" w:type="pct"/>
            <w:vAlign w:val="center"/>
          </w:tcPr>
          <w:p w14:paraId="0BFB7B7C" w14:textId="77777777" w:rsidR="0022554A" w:rsidRDefault="0000000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Последовательность решения задачи</w:t>
            </w:r>
          </w:p>
        </w:tc>
      </w:tr>
      <w:tr w:rsidR="0022554A" w14:paraId="373F3D49" w14:textId="77777777">
        <w:trPr>
          <w:trHeight w:val="600"/>
        </w:trPr>
        <w:tc>
          <w:tcPr>
            <w:tcW w:w="269" w:type="pct"/>
            <w:vAlign w:val="center"/>
          </w:tcPr>
          <w:p w14:paraId="721479F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pct"/>
            <w:vAlign w:val="center"/>
          </w:tcPr>
          <w:p w14:paraId="169866DB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учредительных документов Заказчика </w:t>
            </w:r>
          </w:p>
        </w:tc>
        <w:tc>
          <w:tcPr>
            <w:tcW w:w="499" w:type="pct"/>
            <w:vAlign w:val="center"/>
          </w:tcPr>
          <w:p w14:paraId="6FAE9CE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8C700E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25793D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соответствие устава Заказчика и других учредительных документов действующему законодательству.</w:t>
            </w:r>
          </w:p>
        </w:tc>
      </w:tr>
      <w:tr w:rsidR="0022554A" w14:paraId="0A47006A" w14:textId="77777777">
        <w:trPr>
          <w:trHeight w:val="1200"/>
        </w:trPr>
        <w:tc>
          <w:tcPr>
            <w:tcW w:w="269" w:type="pct"/>
            <w:vAlign w:val="center"/>
          </w:tcPr>
          <w:p w14:paraId="101ED88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3" w:type="pct"/>
            <w:vAlign w:val="center"/>
          </w:tcPr>
          <w:p w14:paraId="0A65D065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учетной политики Заказчика для целей бухгалтерского учета и для целей налогообложения</w:t>
            </w:r>
          </w:p>
        </w:tc>
        <w:tc>
          <w:tcPr>
            <w:tcW w:w="499" w:type="pct"/>
            <w:vAlign w:val="center"/>
          </w:tcPr>
          <w:p w14:paraId="7EF8773F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D03B3CF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215D2DC" w14:textId="22DD7A2E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полноту и соответствие законодательству Российский Федерации (далее - РФ) правил бухучета, принятых в </w:t>
            </w:r>
            <w:r w:rsidR="002C1476" w:rsidRPr="002C1476">
              <w:rPr>
                <w:rFonts w:ascii="Times New Roman" w:hAnsi="Times New Roman" w:cs="Times New Roman"/>
                <w:bCs/>
                <w:sz w:val="24"/>
                <w:szCs w:val="24"/>
              </w:rPr>
              <w:t>ОО</w:t>
            </w:r>
            <w:r w:rsidR="002C147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2C1476" w:rsidRPr="002C147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="002C1476" w:rsidRPr="002C1476">
              <w:rPr>
                <w:rFonts w:ascii="Times New Roman" w:hAnsi="Times New Roman" w:cs="Times New Roman"/>
                <w:bCs/>
                <w:sz w:val="24"/>
                <w:szCs w:val="24"/>
              </w:rPr>
              <w:t>«Пан Турс»</w:t>
            </w:r>
            <w:r w:rsidR="002C1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 также корректность их применения</w:t>
            </w:r>
          </w:p>
        </w:tc>
      </w:tr>
      <w:tr w:rsidR="0022554A" w14:paraId="6B871DDA" w14:textId="77777777">
        <w:trPr>
          <w:trHeight w:val="1692"/>
        </w:trPr>
        <w:tc>
          <w:tcPr>
            <w:tcW w:w="269" w:type="pct"/>
            <w:vMerge w:val="restart"/>
            <w:vAlign w:val="center"/>
          </w:tcPr>
          <w:p w14:paraId="60E7A8B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3" w:type="pct"/>
            <w:vMerge w:val="restart"/>
            <w:vAlign w:val="center"/>
          </w:tcPr>
          <w:p w14:paraId="324055E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внеоборотных активов </w:t>
            </w:r>
          </w:p>
        </w:tc>
        <w:tc>
          <w:tcPr>
            <w:tcW w:w="499" w:type="pct"/>
            <w:vAlign w:val="center"/>
          </w:tcPr>
          <w:p w14:paraId="692BC46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18" w:type="pct"/>
            <w:vAlign w:val="center"/>
          </w:tcPr>
          <w:p w14:paraId="4F1A5C3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Общие вопросы</w:t>
            </w:r>
          </w:p>
        </w:tc>
        <w:tc>
          <w:tcPr>
            <w:tcW w:w="2112" w:type="pct"/>
            <w:vAlign w:val="center"/>
          </w:tcPr>
          <w:p w14:paraId="415077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70C35E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внеоборотных активов и отражения результатов инвентаризации в учете и отчетности;</w:t>
            </w:r>
          </w:p>
          <w:p w14:paraId="3A7D147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выделения и распределения незавершенных капитальных вложений и авансов, выданных на внеоборотные активы, в соответствующие статьи раздела «Внеоборотные активы» бухгалтерского баланса.</w:t>
            </w:r>
          </w:p>
        </w:tc>
      </w:tr>
      <w:tr w:rsidR="0022554A" w14:paraId="484E5F78" w14:textId="77777777">
        <w:trPr>
          <w:trHeight w:val="1338"/>
        </w:trPr>
        <w:tc>
          <w:tcPr>
            <w:tcW w:w="269" w:type="pct"/>
            <w:vMerge/>
            <w:vAlign w:val="center"/>
          </w:tcPr>
          <w:p w14:paraId="3991215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FB9DFA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8C5CE9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18" w:type="pct"/>
            <w:vAlign w:val="center"/>
          </w:tcPr>
          <w:p w14:paraId="0793C7F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капитальных вложений </w:t>
            </w:r>
          </w:p>
          <w:p w14:paraId="4B6BC073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FC2D49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061A1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определения балансовой стоимости объектов; </w:t>
            </w:r>
          </w:p>
          <w:p w14:paraId="6C8C217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аналитического и синтетического учета объектов;</w:t>
            </w:r>
          </w:p>
          <w:p w14:paraId="56EC74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EAC6C6E" w14:textId="77777777">
        <w:trPr>
          <w:trHeight w:val="2437"/>
        </w:trPr>
        <w:tc>
          <w:tcPr>
            <w:tcW w:w="269" w:type="pct"/>
            <w:vMerge/>
            <w:vAlign w:val="center"/>
          </w:tcPr>
          <w:p w14:paraId="01B1615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CF07C9C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0E9280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18" w:type="pct"/>
            <w:vAlign w:val="center"/>
          </w:tcPr>
          <w:p w14:paraId="0BB10CE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основных средств </w:t>
            </w:r>
          </w:p>
        </w:tc>
        <w:tc>
          <w:tcPr>
            <w:tcW w:w="2112" w:type="pct"/>
            <w:vAlign w:val="center"/>
          </w:tcPr>
          <w:p w14:paraId="2248638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E1FAC5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наличие и сохранность основных средств; </w:t>
            </w:r>
          </w:p>
          <w:p w14:paraId="30230DD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отражения в учете капитального ремонта основных средств; </w:t>
            </w:r>
          </w:p>
          <w:p w14:paraId="4BD716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начисления амортизации; </w:t>
            </w:r>
          </w:p>
          <w:p w14:paraId="1597347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правильность определения балансовой стоимости основных средств; </w:t>
            </w:r>
          </w:p>
          <w:p w14:paraId="64C3FC0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отражения в учете операций поступления, внутреннего перемещения и выбытия основных средств; </w:t>
            </w:r>
          </w:p>
          <w:p w14:paraId="4DA7EF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D9709BF" w14:textId="77777777">
        <w:trPr>
          <w:trHeight w:val="1229"/>
        </w:trPr>
        <w:tc>
          <w:tcPr>
            <w:tcW w:w="269" w:type="pct"/>
            <w:vMerge/>
            <w:vAlign w:val="center"/>
          </w:tcPr>
          <w:p w14:paraId="77C8922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49C967F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646715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18" w:type="pct"/>
            <w:vAlign w:val="center"/>
          </w:tcPr>
          <w:p w14:paraId="3777AD7D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государственной регистрации прав на недвижимое имущество</w:t>
            </w:r>
          </w:p>
        </w:tc>
        <w:tc>
          <w:tcPr>
            <w:tcW w:w="2112" w:type="pct"/>
            <w:vAlign w:val="center"/>
          </w:tcPr>
          <w:p w14:paraId="054770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20BF1A8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государственной регистрации прав на недвижимое имущество;</w:t>
            </w:r>
          </w:p>
          <w:p w14:paraId="5E696D6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правильность, полноту и обоснованность начисления резерва по длительно неиспользуемым незавершенным капитальным вложениям.</w:t>
            </w:r>
          </w:p>
        </w:tc>
      </w:tr>
      <w:tr w:rsidR="0022554A" w14:paraId="0D1B4C67" w14:textId="77777777">
        <w:trPr>
          <w:trHeight w:val="1500"/>
        </w:trPr>
        <w:tc>
          <w:tcPr>
            <w:tcW w:w="269" w:type="pct"/>
            <w:vMerge/>
            <w:vAlign w:val="center"/>
          </w:tcPr>
          <w:p w14:paraId="765DAB7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288E914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96251BF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918" w:type="pct"/>
            <w:vAlign w:val="center"/>
          </w:tcPr>
          <w:p w14:paraId="2BE6F00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доходных вложений в материальные ценности </w:t>
            </w:r>
          </w:p>
        </w:tc>
        <w:tc>
          <w:tcPr>
            <w:tcW w:w="2112" w:type="pct"/>
            <w:vAlign w:val="center"/>
          </w:tcPr>
          <w:p w14:paraId="5593B6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1ED8CA6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доходных вложений в материальные ценности и отражения результатов инвентаризации в учете;</w:t>
            </w:r>
          </w:p>
          <w:p w14:paraId="7DD911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отражения в учете операций по доходным вложениям в материальные ценности;</w:t>
            </w:r>
          </w:p>
          <w:p w14:paraId="0B89FD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доходных вложений в материальные ценности;</w:t>
            </w:r>
          </w:p>
          <w:p w14:paraId="47D433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определения балансовой стоимости доходных вложений в материальные ценности;</w:t>
            </w:r>
          </w:p>
          <w:p w14:paraId="32D414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705EFCB" w14:textId="77777777">
        <w:trPr>
          <w:trHeight w:val="1027"/>
        </w:trPr>
        <w:tc>
          <w:tcPr>
            <w:tcW w:w="269" w:type="pct"/>
            <w:vMerge/>
            <w:vAlign w:val="center"/>
          </w:tcPr>
          <w:p w14:paraId="6B4EC602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80F3C94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B93CB5E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18" w:type="pct"/>
            <w:vAlign w:val="center"/>
          </w:tcPr>
          <w:p w14:paraId="3FED813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нематериальных активов (НМА) </w:t>
            </w:r>
          </w:p>
        </w:tc>
        <w:tc>
          <w:tcPr>
            <w:tcW w:w="2112" w:type="pct"/>
            <w:vAlign w:val="center"/>
          </w:tcPr>
          <w:p w14:paraId="1582A09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4F57FF5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синтетического и аналитического учета НМА;</w:t>
            </w:r>
          </w:p>
          <w:p w14:paraId="7DEAE2A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17743A36" w14:textId="77777777">
        <w:trPr>
          <w:trHeight w:val="1200"/>
        </w:trPr>
        <w:tc>
          <w:tcPr>
            <w:tcW w:w="269" w:type="pct"/>
            <w:vAlign w:val="center"/>
          </w:tcPr>
          <w:p w14:paraId="79CD1164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3" w:type="pct"/>
            <w:vAlign w:val="center"/>
          </w:tcPr>
          <w:p w14:paraId="4B21109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долгосрочных активов к продаже</w:t>
            </w:r>
          </w:p>
        </w:tc>
        <w:tc>
          <w:tcPr>
            <w:tcW w:w="499" w:type="pct"/>
            <w:vAlign w:val="center"/>
          </w:tcPr>
          <w:p w14:paraId="4E85E34B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016D92CF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63A5CB8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A7D694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и сохранность долгосрочных активов к продаже;</w:t>
            </w:r>
          </w:p>
          <w:p w14:paraId="683BFA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оформления материалов инвентаризации долгосрочных активов к продаже и отражения результатов инвентаризации в учете;</w:t>
            </w:r>
          </w:p>
          <w:p w14:paraId="5FFCF5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долгосрочных активов к продаже;</w:t>
            </w:r>
          </w:p>
          <w:p w14:paraId="065467C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в) правильность определения балансовой стоимости долгосрочных активов к продаже;</w:t>
            </w:r>
          </w:p>
          <w:p w14:paraId="6F1D01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операций поступления, внутреннего перемещения и выбытия долгосрочных активов к продаже;</w:t>
            </w:r>
          </w:p>
          <w:p w14:paraId="46C1E4D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DF63788" w14:textId="77777777">
        <w:trPr>
          <w:trHeight w:val="1200"/>
        </w:trPr>
        <w:tc>
          <w:tcPr>
            <w:tcW w:w="269" w:type="pct"/>
            <w:vAlign w:val="center"/>
          </w:tcPr>
          <w:p w14:paraId="60E9EF0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03" w:type="pct"/>
            <w:vAlign w:val="center"/>
          </w:tcPr>
          <w:p w14:paraId="0982B47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запасов</w:t>
            </w:r>
          </w:p>
        </w:tc>
        <w:tc>
          <w:tcPr>
            <w:tcW w:w="499" w:type="pct"/>
            <w:vAlign w:val="center"/>
          </w:tcPr>
          <w:p w14:paraId="7652B895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5E802D87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65F888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A069A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оформления материалов инвентаризации производственных запасов и отражения результатов инвентаризации в учете; </w:t>
            </w:r>
          </w:p>
          <w:p w14:paraId="7A6AEE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определения и списания на издержки стоимости израсходованных запасов; </w:t>
            </w:r>
          </w:p>
          <w:p w14:paraId="734E38F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синтетического и аналитического учета запасов; </w:t>
            </w:r>
          </w:p>
          <w:p w14:paraId="1AEB45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соответствие фактически используемых способов оценки по отдельным группам материальных ценностей при их выбытии способам, предусмотренным учетной политикой; </w:t>
            </w:r>
          </w:p>
          <w:p w14:paraId="4ED612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16); </w:t>
            </w:r>
          </w:p>
          <w:p w14:paraId="0582FCB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порядка списания торговой наценки, относящейся к проданным товарам (при использовании способа учета товаров по продажной стоимости);</w:t>
            </w:r>
          </w:p>
          <w:p w14:paraId="0D24F7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правильность, полноту и обоснованность начисления резерва под снижение стоимости запасов;</w:t>
            </w:r>
          </w:p>
          <w:p w14:paraId="5E3E9ED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корректность отнесения мастер-планов к запасам и определения их балансовой стоимости; </w:t>
            </w:r>
          </w:p>
          <w:p w14:paraId="23603C4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43167235" w14:textId="77777777">
        <w:trPr>
          <w:trHeight w:val="2400"/>
        </w:trPr>
        <w:tc>
          <w:tcPr>
            <w:tcW w:w="269" w:type="pct"/>
            <w:vMerge w:val="restart"/>
            <w:vAlign w:val="center"/>
          </w:tcPr>
          <w:p w14:paraId="29BD22E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3" w:type="pct"/>
            <w:vMerge w:val="restart"/>
            <w:vAlign w:val="center"/>
          </w:tcPr>
          <w:p w14:paraId="57F141E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затрат на производство </w:t>
            </w:r>
          </w:p>
        </w:tc>
        <w:tc>
          <w:tcPr>
            <w:tcW w:w="499" w:type="pct"/>
            <w:vAlign w:val="center"/>
          </w:tcPr>
          <w:p w14:paraId="5D7AEF8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918" w:type="pct"/>
            <w:vAlign w:val="center"/>
          </w:tcPr>
          <w:p w14:paraId="5044AE84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затрат для целей бухгалтерского учета</w:t>
            </w:r>
          </w:p>
        </w:tc>
        <w:tc>
          <w:tcPr>
            <w:tcW w:w="2112" w:type="pct"/>
            <w:vAlign w:val="center"/>
          </w:tcPr>
          <w:p w14:paraId="75E7E3E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достоверности отчетных данных о фактической себестоимости продукции (работ, услуг);</w:t>
            </w:r>
          </w:p>
          <w:p w14:paraId="5C20037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Анализ выполнения плана по себестоимости продукции (работ, услуг); </w:t>
            </w:r>
          </w:p>
          <w:p w14:paraId="5331DC8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Аудит себестоимости продукции (работ, услуг) по статьям затрат, оговариваемым отраслевыми инструкциями по учету затрат на производство и калькулированию себестоимости продукции (работ, услуг);</w:t>
            </w:r>
          </w:p>
          <w:p w14:paraId="3AE6CB6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и подтверждение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7C2E0C4" w14:textId="77777777">
        <w:trPr>
          <w:trHeight w:val="4492"/>
        </w:trPr>
        <w:tc>
          <w:tcPr>
            <w:tcW w:w="269" w:type="pct"/>
            <w:vMerge/>
            <w:vAlign w:val="center"/>
          </w:tcPr>
          <w:p w14:paraId="4F2826C8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5264A41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79F7F39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918" w:type="pct"/>
            <w:vAlign w:val="center"/>
          </w:tcPr>
          <w:p w14:paraId="38492E5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для целей налогообложения</w:t>
            </w:r>
          </w:p>
        </w:tc>
        <w:tc>
          <w:tcPr>
            <w:tcW w:w="2112" w:type="pct"/>
            <w:vAlign w:val="center"/>
          </w:tcPr>
          <w:p w14:paraId="6A839FE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699B0F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исчисления материальных расходов, предусмотренных ст. 254 НК РФ; </w:t>
            </w:r>
          </w:p>
          <w:p w14:paraId="6126C3F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исчисления расходов на оплату труда, предусмотренных ст. 255 НК РФ; </w:t>
            </w:r>
          </w:p>
          <w:p w14:paraId="27393C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ст. 256 и 257 НК РФ; </w:t>
            </w:r>
          </w:p>
          <w:p w14:paraId="59C9CC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 </w:t>
            </w:r>
          </w:p>
          <w:p w14:paraId="2DB735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расчета сумм амортизации в соответствии со ст. 259 НК РФ; </w:t>
            </w:r>
          </w:p>
          <w:p w14:paraId="688C31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правильность включения в состав затрат аудируемого периода расходов на ремонт основных средств в соответствии со ст. 260 НК РФ; </w:t>
            </w:r>
          </w:p>
          <w:p w14:paraId="655A092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 признания расходов на освоение природных ресурсов и соблюдение порядка их учета в соответствии со ст. 261 НК РФ;</w:t>
            </w:r>
          </w:p>
          <w:p w14:paraId="4A1DA7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правильность признания расходов на научно-исследовательские и (или) опытно-конструкторские разработки и соблюдение порядка их учета в соответствии со ст. 262 НК РФ; </w:t>
            </w:r>
          </w:p>
          <w:p w14:paraId="6EB8A23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обоснованность расходов на обязательное и добровольное страхование имущества в соответствии со ст. 263 НК РФ; </w:t>
            </w:r>
          </w:p>
          <w:p w14:paraId="3C34572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к) правильность списания на себестоимость прочих расходов, </w:t>
            </w:r>
            <w:r>
              <w:rPr>
                <w:rFonts w:ascii="Times New Roman" w:hAnsi="Times New Roman" w:cs="Times New Roman"/>
              </w:rPr>
              <w:lastRenderedPageBreak/>
              <w:t xml:space="preserve">связанных с производством и (или) реализацией (ст. 264 НК РФ); </w:t>
            </w:r>
          </w:p>
          <w:p w14:paraId="3EFF283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л) правильность списания прочих расходов, связанных с производством и (или) реализацией (ст. 265 НК РФ); </w:t>
            </w:r>
          </w:p>
          <w:p w14:paraId="5DB590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м)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198100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н) правильность образования и использования расходов на формирование резерва по гарантийному ремонту и гарантийному обслуживанию (ст. 267 НК РФ); </w:t>
            </w:r>
          </w:p>
          <w:p w14:paraId="0505F43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о) правильность определения расходов при реализации товаров и имущества (ст. 268 НК РФ); </w:t>
            </w:r>
          </w:p>
          <w:p w14:paraId="50773D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п) правильность отнесения процентов по долговым обязательствам к расходам (ст. 269 НК РФ); </w:t>
            </w:r>
          </w:p>
          <w:p w14:paraId="0977597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р) правильность определения расходов, не учитываемых в целях налогообложения (ст. 270 НК РФ);</w:t>
            </w:r>
          </w:p>
          <w:p w14:paraId="42B0D1D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с) правильность учета доходов, расходов и финансовых результатов по операциям с ценными бумагами, финансовыми инструментами срочных сделок (ст. 280, 284, 284.2, 301, 302, 303, 304, 305 НК РФ);</w:t>
            </w:r>
          </w:p>
          <w:p w14:paraId="146E551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т) правильность переноса убытков на будущее (ст. 283 НК РФ).</w:t>
            </w:r>
          </w:p>
        </w:tc>
      </w:tr>
      <w:tr w:rsidR="0022554A" w14:paraId="1E2CF1F7" w14:textId="77777777">
        <w:trPr>
          <w:trHeight w:val="4775"/>
        </w:trPr>
        <w:tc>
          <w:tcPr>
            <w:tcW w:w="269" w:type="pct"/>
            <w:vMerge/>
            <w:vAlign w:val="center"/>
          </w:tcPr>
          <w:p w14:paraId="3A35ACC0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8310AA8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C729EC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918" w:type="pct"/>
            <w:vAlign w:val="center"/>
          </w:tcPr>
          <w:p w14:paraId="64413624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будущих периодов</w:t>
            </w:r>
          </w:p>
        </w:tc>
        <w:tc>
          <w:tcPr>
            <w:tcW w:w="2112" w:type="pct"/>
            <w:vAlign w:val="center"/>
          </w:tcPr>
          <w:p w14:paraId="34C6EF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EE774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результатов инвентаризации расходов будущих периодов;</w:t>
            </w:r>
          </w:p>
          <w:p w14:paraId="207052F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состав расходов будущих периодов;</w:t>
            </w:r>
          </w:p>
          <w:p w14:paraId="102AC71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расчет распределения расходов будущих периодов по отчетным периодам;</w:t>
            </w:r>
          </w:p>
          <w:p w14:paraId="5424612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отражения в синтетическом и аналитическом учете операций по учету расходов будущих периодов;</w:t>
            </w:r>
          </w:p>
          <w:p w14:paraId="12B0A81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95ED6A3" w14:textId="77777777">
        <w:trPr>
          <w:trHeight w:val="2546"/>
        </w:trPr>
        <w:tc>
          <w:tcPr>
            <w:tcW w:w="269" w:type="pct"/>
            <w:vMerge/>
            <w:vAlign w:val="center"/>
          </w:tcPr>
          <w:p w14:paraId="3D4B5D62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F4A4B7A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03E36C0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918" w:type="pct"/>
            <w:vAlign w:val="center"/>
          </w:tcPr>
          <w:p w14:paraId="5DC73CC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правильности отражения учета доходов и затрат по выделяемым видам деятельности</w:t>
            </w:r>
          </w:p>
        </w:tc>
        <w:tc>
          <w:tcPr>
            <w:tcW w:w="2112" w:type="pct"/>
            <w:vAlign w:val="center"/>
          </w:tcPr>
          <w:p w14:paraId="3F72FCF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 правильность отражения учета доходов и затрат по выделяемым видам деятельности.</w:t>
            </w:r>
          </w:p>
        </w:tc>
      </w:tr>
      <w:tr w:rsidR="0022554A" w14:paraId="6BF683BF" w14:textId="77777777">
        <w:trPr>
          <w:trHeight w:val="2517"/>
        </w:trPr>
        <w:tc>
          <w:tcPr>
            <w:tcW w:w="269" w:type="pct"/>
            <w:vMerge/>
            <w:vAlign w:val="center"/>
          </w:tcPr>
          <w:p w14:paraId="065CF553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73C16E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747FDD4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918" w:type="pct"/>
            <w:vAlign w:val="center"/>
          </w:tcPr>
          <w:p w14:paraId="3FE17A4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незавершенного производства</w:t>
            </w:r>
          </w:p>
        </w:tc>
        <w:tc>
          <w:tcPr>
            <w:tcW w:w="2112" w:type="pct"/>
            <w:vAlign w:val="center"/>
          </w:tcPr>
          <w:p w14:paraId="481D65A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2AD1089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расчета незавершенного производства;</w:t>
            </w:r>
          </w:p>
          <w:p w14:paraId="3044462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соответствие расчета незавершенного производства положениям принятой учетной политики;</w:t>
            </w:r>
          </w:p>
          <w:p w14:paraId="46450FB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отражение незавершенного производства в бухгалтерском учете;</w:t>
            </w:r>
          </w:p>
          <w:p w14:paraId="627840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порядок проведения инвентаризации незавершенного производства и отражения результатов инвентаризации в учете;</w:t>
            </w:r>
          </w:p>
          <w:p w14:paraId="3A5660A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синтетического и аналитического учета незавершенного производства;</w:t>
            </w:r>
          </w:p>
          <w:p w14:paraId="1EC7A4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определения балансовой стоимости незавершенного производства.</w:t>
            </w:r>
          </w:p>
        </w:tc>
      </w:tr>
      <w:tr w:rsidR="0022554A" w14:paraId="6CC47689" w14:textId="77777777">
        <w:trPr>
          <w:trHeight w:val="13721"/>
        </w:trPr>
        <w:tc>
          <w:tcPr>
            <w:tcW w:w="269" w:type="pct"/>
            <w:vMerge w:val="restart"/>
            <w:vAlign w:val="center"/>
          </w:tcPr>
          <w:p w14:paraId="6B29208F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03" w:type="pct"/>
            <w:vMerge w:val="restart"/>
            <w:vAlign w:val="center"/>
          </w:tcPr>
          <w:p w14:paraId="23D2F6A0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денежных средств и денежных эквивалентов </w:t>
            </w:r>
          </w:p>
        </w:tc>
        <w:tc>
          <w:tcPr>
            <w:tcW w:w="499" w:type="pct"/>
            <w:vAlign w:val="center"/>
          </w:tcPr>
          <w:p w14:paraId="6F4C2885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918" w:type="pct"/>
            <w:vAlign w:val="center"/>
          </w:tcPr>
          <w:p w14:paraId="57BB72B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операций по расчетным счетам в рублях и иностранной валюте</w:t>
            </w:r>
          </w:p>
        </w:tc>
        <w:tc>
          <w:tcPr>
            <w:tcW w:w="2112" w:type="pct"/>
            <w:vAlign w:val="center"/>
          </w:tcPr>
          <w:p w14:paraId="4D2C04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определение сведений о расчетных счетах, открытых в банках;</w:t>
            </w:r>
          </w:p>
          <w:p w14:paraId="2CB8B3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соответствия порядка ведения операций по расчетным счетам положению о безналичных расчетах в РФ и валютному законодательству;</w:t>
            </w:r>
          </w:p>
          <w:p w14:paraId="44D979D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состояния учета и контроля за операциями на счетах в банке;</w:t>
            </w:r>
          </w:p>
          <w:p w14:paraId="6624AC7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учете операций по расчетным и иным счетам;</w:t>
            </w:r>
          </w:p>
          <w:p w14:paraId="27F905E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денежных средств в кредитных организациях и отражения результатов инвентаризации в учете;</w:t>
            </w:r>
          </w:p>
          <w:p w14:paraId="1764635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соответствия данных бухгалтерского учета об остатках по счетам учета денежных средств с подтверждениями банков;</w:t>
            </w:r>
          </w:p>
          <w:p w14:paraId="01447E3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применения курсов валют при расчете рублевой оценки денежных средств в иностранной валюте;</w:t>
            </w:r>
          </w:p>
          <w:p w14:paraId="3BABBE6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наличия остатков денежных средств в неплатежеспособных банках и полноты признания кредитных убытков;</w:t>
            </w:r>
          </w:p>
          <w:p w14:paraId="46B36F5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48523C8E" w14:textId="77777777">
        <w:trPr>
          <w:trHeight w:val="5484"/>
        </w:trPr>
        <w:tc>
          <w:tcPr>
            <w:tcW w:w="269" w:type="pct"/>
            <w:vMerge/>
            <w:vAlign w:val="center"/>
          </w:tcPr>
          <w:p w14:paraId="48045C9B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A61837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9FC7DC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918" w:type="pct"/>
            <w:vAlign w:val="center"/>
          </w:tcPr>
          <w:p w14:paraId="26726BE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операций по специальным счетам </w:t>
            </w:r>
          </w:p>
        </w:tc>
        <w:tc>
          <w:tcPr>
            <w:tcW w:w="2112" w:type="pct"/>
            <w:vAlign w:val="center"/>
          </w:tcPr>
          <w:p w14:paraId="0EA235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бухгалтерского учета операций по специальным счетам;</w:t>
            </w:r>
          </w:p>
          <w:p w14:paraId="7FE23BF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наличия остатков по специальным счетам;</w:t>
            </w:r>
          </w:p>
          <w:p w14:paraId="2523001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сверка остатков по специальным счетам с подтверждающими документами;</w:t>
            </w:r>
          </w:p>
          <w:p w14:paraId="4AC672E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ведения раздельного учета и использования денежных средств, полученных из федерального бюджета, Фонда национального благосостояния;</w:t>
            </w:r>
          </w:p>
          <w:p w14:paraId="3A32E2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операций по специальным счетам и отражения результатов инвентаризации в учете;</w:t>
            </w:r>
          </w:p>
          <w:p w14:paraId="4D36BF3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синтетического и аналитического учета операций по специальным счетам.</w:t>
            </w:r>
          </w:p>
        </w:tc>
      </w:tr>
      <w:tr w:rsidR="0022554A" w14:paraId="1C0F14DE" w14:textId="77777777">
        <w:trPr>
          <w:trHeight w:val="1500"/>
        </w:trPr>
        <w:tc>
          <w:tcPr>
            <w:tcW w:w="269" w:type="pct"/>
            <w:vMerge/>
            <w:vAlign w:val="center"/>
          </w:tcPr>
          <w:p w14:paraId="15E9E76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9604A9E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E1B5935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918" w:type="pct"/>
            <w:vAlign w:val="center"/>
          </w:tcPr>
          <w:p w14:paraId="4A39F68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денежных средств в пути </w:t>
            </w:r>
          </w:p>
        </w:tc>
        <w:tc>
          <w:tcPr>
            <w:tcW w:w="2112" w:type="pct"/>
            <w:vAlign w:val="center"/>
          </w:tcPr>
          <w:p w14:paraId="2CB2B2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E69E66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состояние учета и контроля за денежными средствами в пути;</w:t>
            </w:r>
          </w:p>
          <w:p w14:paraId="1FB8BB8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отражения в учете денежных средств в пути;</w:t>
            </w:r>
          </w:p>
          <w:p w14:paraId="0CFF408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зачисления денежных средств в пути на счета в банках после отчетной даты, полноту признания убытков от незачисления денежных средств в неплатежеспособных кредитных организациях;</w:t>
            </w:r>
          </w:p>
          <w:p w14:paraId="375A3E2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0FF2DF6" w14:textId="77777777">
        <w:trPr>
          <w:trHeight w:val="1931"/>
        </w:trPr>
        <w:tc>
          <w:tcPr>
            <w:tcW w:w="269" w:type="pct"/>
            <w:vMerge w:val="restart"/>
            <w:vAlign w:val="center"/>
          </w:tcPr>
          <w:p w14:paraId="09A0530E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3" w:type="pct"/>
            <w:vMerge w:val="restart"/>
            <w:vAlign w:val="center"/>
          </w:tcPr>
          <w:p w14:paraId="669F01B9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499" w:type="pct"/>
            <w:vAlign w:val="center"/>
          </w:tcPr>
          <w:p w14:paraId="7D11F48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918" w:type="pct"/>
            <w:vAlign w:val="center"/>
          </w:tcPr>
          <w:p w14:paraId="34DF464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2112" w:type="pct"/>
            <w:vAlign w:val="center"/>
          </w:tcPr>
          <w:p w14:paraId="7497B3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проверка и подтверждение правильности оформления материалов инвентаризации финансовых вложений и отражения результатов инвентаризации в учете; </w:t>
            </w:r>
          </w:p>
          <w:p w14:paraId="7ADCD7B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оценка системы внутреннего контроля и бухгалтерского учета финансовых вложений; </w:t>
            </w:r>
          </w:p>
          <w:p w14:paraId="054D6A9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определение рентабельности финансовых вложений; </w:t>
            </w:r>
          </w:p>
          <w:p w14:paraId="05FE0E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определения рыночной стоимости финансовых вложений, по которым определяется рыночная стоимость;</w:t>
            </w:r>
          </w:p>
          <w:p w14:paraId="7E87A51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отражения в учете операций с финансовыми вложениями; </w:t>
            </w:r>
          </w:p>
          <w:p w14:paraId="34D4A9E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е) подтверждение достоверности начисления, поступления и отражения в учете доходов по операциям с финансовыми вложениями;</w:t>
            </w:r>
          </w:p>
          <w:p w14:paraId="5D86372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F13BB56" w14:textId="77777777">
        <w:trPr>
          <w:trHeight w:val="5233"/>
        </w:trPr>
        <w:tc>
          <w:tcPr>
            <w:tcW w:w="269" w:type="pct"/>
            <w:vMerge/>
            <w:vAlign w:val="center"/>
          </w:tcPr>
          <w:p w14:paraId="5892F8D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1960BB4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EFD651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918" w:type="pct"/>
            <w:vAlign w:val="center"/>
          </w:tcPr>
          <w:p w14:paraId="4A1B019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резервов под обесценение финансовых вложений </w:t>
            </w:r>
          </w:p>
        </w:tc>
        <w:tc>
          <w:tcPr>
            <w:tcW w:w="2112" w:type="pct"/>
            <w:vAlign w:val="center"/>
          </w:tcPr>
          <w:p w14:paraId="0918AB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под обесценение вложений в ценные бумаги;</w:t>
            </w:r>
          </w:p>
          <w:p w14:paraId="1269464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полноты, правильности и обоснованности начисления резерва под обеспечение вложений в ценные бумаги;</w:t>
            </w:r>
          </w:p>
          <w:p w14:paraId="6BBA34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полноты и правильности использования резерва под обесценение вложений в ценные бумаги;</w:t>
            </w:r>
          </w:p>
          <w:p w14:paraId="6184196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синтетическом и аналитическом учете операций по резерву под обесценение вложений в ценные бумаги;</w:t>
            </w:r>
          </w:p>
          <w:p w14:paraId="23D074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42A43013" w14:textId="77777777">
        <w:trPr>
          <w:trHeight w:val="1313"/>
        </w:trPr>
        <w:tc>
          <w:tcPr>
            <w:tcW w:w="269" w:type="pct"/>
            <w:vMerge w:val="restart"/>
            <w:vAlign w:val="center"/>
          </w:tcPr>
          <w:p w14:paraId="0306869F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3" w:type="pct"/>
            <w:vMerge w:val="restart"/>
            <w:vAlign w:val="center"/>
          </w:tcPr>
          <w:p w14:paraId="2C6733F7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</w:t>
            </w:r>
          </w:p>
        </w:tc>
        <w:tc>
          <w:tcPr>
            <w:tcW w:w="499" w:type="pct"/>
            <w:vAlign w:val="center"/>
          </w:tcPr>
          <w:p w14:paraId="0E41590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918" w:type="pct"/>
            <w:vAlign w:val="center"/>
          </w:tcPr>
          <w:p w14:paraId="7C0171A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поставщиками и подрядчиками, покупателями и заказчиками, дебиторами и кредиторами </w:t>
            </w:r>
          </w:p>
        </w:tc>
        <w:tc>
          <w:tcPr>
            <w:tcW w:w="2112" w:type="pct"/>
            <w:vAlign w:val="center"/>
          </w:tcPr>
          <w:p w14:paraId="5E7112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полноты и правильности проведенных инвентаризаций расчетов с дебиторами и кредиторами и отражения их результатов в учете;</w:t>
            </w:r>
          </w:p>
          <w:p w14:paraId="32E4FFC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проверка и подтверждение правильности оформления первичных документов по приобретению товарно-материальных ценностей, работ, услуг с целью подтверждения обоснованности возникновения кредиторской задолженности; </w:t>
            </w:r>
          </w:p>
          <w:p w14:paraId="1636871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подтверждение своевременности погашения и правильность отражения на счетах бухгалтерского учета кредиторской задолженности; </w:t>
            </w:r>
          </w:p>
          <w:p w14:paraId="44E822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оценка правильности оформления и отражения в учете предъявленных претензий; </w:t>
            </w:r>
          </w:p>
          <w:p w14:paraId="1885BF6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оформления первичных документов по продаже товаров, работ, услуг с целью подтверждения обоснованности возникновения дебиторской задолженности; </w:t>
            </w:r>
          </w:p>
          <w:p w14:paraId="5E0C936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е) подтверждение своевременности погашения и правильность отражения на счетах бухгалтерского учета дебиторской задолженности; </w:t>
            </w:r>
          </w:p>
          <w:p w14:paraId="237EDC9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ж) проверка правильности оформления и отражения на счетах бухгалтерского учета расчетов с дочерними (зависимыми) Обществами </w:t>
            </w:r>
          </w:p>
          <w:p w14:paraId="54E132F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сверка остатков, а также закупок и продаж по счетам расчетов с подписанными актами сверки дебиторской, кредиторской задолженности</w:t>
            </w:r>
          </w:p>
          <w:p w14:paraId="5E6E259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15F129DF" w14:textId="77777777">
        <w:trPr>
          <w:trHeight w:val="2542"/>
        </w:trPr>
        <w:tc>
          <w:tcPr>
            <w:tcW w:w="269" w:type="pct"/>
            <w:vMerge/>
            <w:vAlign w:val="center"/>
          </w:tcPr>
          <w:p w14:paraId="2FD5212B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1E66476A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4CE6A5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918" w:type="pct"/>
            <w:vAlign w:val="center"/>
          </w:tcPr>
          <w:p w14:paraId="0DD2C50E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резервов по сомнительным долгам </w:t>
            </w:r>
          </w:p>
        </w:tc>
        <w:tc>
          <w:tcPr>
            <w:tcW w:w="2112" w:type="pct"/>
            <w:vAlign w:val="center"/>
          </w:tcPr>
          <w:p w14:paraId="69DE731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 сомнительным долгам;</w:t>
            </w:r>
            <w:r>
              <w:rPr>
                <w:rFonts w:ascii="Times New Roman" w:hAnsi="Times New Roman" w:cs="Times New Roman"/>
              </w:rPr>
              <w:br/>
              <w:t>б) проверка полноты, правильности и обоснованности начисления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в) проверка полноты и правильности использования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г) проверка полноты и правильности отражения в синтетическом и аналитическом учете операций по резерву по сомнительным долгам;</w:t>
            </w:r>
            <w:r>
              <w:rPr>
                <w:rFonts w:ascii="Times New Roman" w:hAnsi="Times New Roman" w:cs="Times New Roman"/>
              </w:rPr>
              <w:br/>
              <w:t>д) проверка правильности формирования резерва по сомнительным долгам в налоговом учете;</w:t>
            </w:r>
            <w:r>
              <w:rPr>
                <w:rFonts w:ascii="Times New Roman" w:hAnsi="Times New Roman" w:cs="Times New Roman"/>
              </w:rPr>
              <w:br/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AC68CAA" w14:textId="77777777">
        <w:trPr>
          <w:trHeight w:val="1313"/>
        </w:trPr>
        <w:tc>
          <w:tcPr>
            <w:tcW w:w="269" w:type="pct"/>
            <w:vMerge/>
            <w:vAlign w:val="center"/>
          </w:tcPr>
          <w:p w14:paraId="5FE0098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0DB799C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ED5142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918" w:type="pct"/>
            <w:vAlign w:val="center"/>
          </w:tcPr>
          <w:p w14:paraId="7F73557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кредитам и займам </w:t>
            </w:r>
          </w:p>
        </w:tc>
        <w:tc>
          <w:tcPr>
            <w:tcW w:w="2112" w:type="pct"/>
            <w:vAlign w:val="center"/>
          </w:tcPr>
          <w:p w14:paraId="06A297B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оформления и отражения на счетах бухгалтерского учета операций по получению и возврату кредитов банка;</w:t>
            </w:r>
          </w:p>
          <w:p w14:paraId="26A3071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подтверждение целевого использования кредитов банка;</w:t>
            </w:r>
          </w:p>
          <w:p w14:paraId="575405B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обоснованности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4D6C7A8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начисления процентов и обоснованности их распределения между расходами и включением в стоимость инвестиционных активов;</w:t>
            </w:r>
          </w:p>
          <w:p w14:paraId="55A54B3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оформления и отражения на счетах бухгалтерского учета </w:t>
            </w:r>
            <w:r>
              <w:rPr>
                <w:rFonts w:ascii="Times New Roman" w:hAnsi="Times New Roman" w:cs="Times New Roman"/>
              </w:rPr>
              <w:lastRenderedPageBreak/>
              <w:t>займов, полученных у других организаций и физических лиц;</w:t>
            </w:r>
          </w:p>
          <w:p w14:paraId="41440D7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3C06059E" w14:textId="77777777">
        <w:trPr>
          <w:trHeight w:val="289"/>
        </w:trPr>
        <w:tc>
          <w:tcPr>
            <w:tcW w:w="269" w:type="pct"/>
            <w:vMerge/>
            <w:vAlign w:val="center"/>
          </w:tcPr>
          <w:p w14:paraId="5E0F3331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82BCC20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3429BA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918" w:type="pct"/>
            <w:vAlign w:val="center"/>
          </w:tcPr>
          <w:p w14:paraId="7D59253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бюджетом </w:t>
            </w:r>
          </w:p>
        </w:tc>
        <w:tc>
          <w:tcPr>
            <w:tcW w:w="2112" w:type="pct"/>
            <w:vAlign w:val="center"/>
          </w:tcPr>
          <w:p w14:paraId="5FF56B8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Проверка:</w:t>
            </w:r>
          </w:p>
          <w:p w14:paraId="652AC48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правильности определения налогооблагаемой базы;</w:t>
            </w:r>
          </w:p>
          <w:p w14:paraId="34C2488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правильности применения налоговых ставок;</w:t>
            </w:r>
          </w:p>
          <w:p w14:paraId="1C64786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правомерности применения льгот при расчете и уплате налогов;</w:t>
            </w:r>
          </w:p>
          <w:p w14:paraId="556C8ED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правильности начисления, полноты и своевременности перечисления налоговых платежей, правильность составления налоговой отчетности;</w:t>
            </w:r>
          </w:p>
          <w:p w14:paraId="40B1A70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правильности исчисления налога на прибыль организаций с выплачиваемых дивидендов;</w:t>
            </w:r>
          </w:p>
          <w:p w14:paraId="7A60885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правильности исчисления и удержания налога с доходов, выплачиваемых иностранным организациям;</w:t>
            </w:r>
          </w:p>
          <w:p w14:paraId="645C17B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9D2FAD1" w14:textId="77777777">
        <w:trPr>
          <w:trHeight w:val="3251"/>
        </w:trPr>
        <w:tc>
          <w:tcPr>
            <w:tcW w:w="269" w:type="pct"/>
            <w:vMerge/>
            <w:vAlign w:val="center"/>
          </w:tcPr>
          <w:p w14:paraId="4E126533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2C13776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9796CD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918" w:type="pct"/>
            <w:vAlign w:val="center"/>
          </w:tcPr>
          <w:p w14:paraId="0251CFE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оплате труда и страховым взносам во внебюджетные фонды </w:t>
            </w:r>
          </w:p>
        </w:tc>
        <w:tc>
          <w:tcPr>
            <w:tcW w:w="2112" w:type="pct"/>
            <w:vAlign w:val="center"/>
          </w:tcPr>
          <w:p w14:paraId="17A06E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соблюдения положений законодательства о труде, состояние внутреннего учета и контроля по трудовым отношениям;</w:t>
            </w:r>
          </w:p>
          <w:p w14:paraId="00B5A8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проверка организации учета и контроля выработки и начисления заработной платы; </w:t>
            </w:r>
          </w:p>
          <w:p w14:paraId="540627E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расчетов удержаний из заработной платы с физических лиц;</w:t>
            </w:r>
          </w:p>
          <w:p w14:paraId="0B36916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налогооблагаемой базы, налогов и платежей в бюджет и внебюджетные фонды;</w:t>
            </w:r>
          </w:p>
          <w:p w14:paraId="47750DB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депонированных сумм по заработной плате;</w:t>
            </w:r>
          </w:p>
          <w:p w14:paraId="709BCB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и обоснованности образования и использования мотивационного фонда;</w:t>
            </w:r>
          </w:p>
          <w:p w14:paraId="23CE187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расчетов с персоналом по прочим операциям;</w:t>
            </w:r>
          </w:p>
          <w:p w14:paraId="348DAA8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6F630DA7" w14:textId="77777777">
        <w:trPr>
          <w:trHeight w:val="420"/>
        </w:trPr>
        <w:tc>
          <w:tcPr>
            <w:tcW w:w="269" w:type="pct"/>
            <w:vMerge/>
            <w:vAlign w:val="center"/>
          </w:tcPr>
          <w:p w14:paraId="6DED099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996457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4F2DA7D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918" w:type="pct"/>
            <w:vAlign w:val="center"/>
          </w:tcPr>
          <w:p w14:paraId="03B4D078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подотчетными лицами и </w:t>
            </w:r>
            <w:r>
              <w:rPr>
                <w:rFonts w:ascii="Times New Roman" w:hAnsi="Times New Roman" w:cs="Times New Roman"/>
              </w:rPr>
              <w:lastRenderedPageBreak/>
              <w:t>персоналом по прочим операциям</w:t>
            </w:r>
          </w:p>
        </w:tc>
        <w:tc>
          <w:tcPr>
            <w:tcW w:w="2112" w:type="pct"/>
            <w:vAlign w:val="center"/>
          </w:tcPr>
          <w:p w14:paraId="4AAE440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а) проверка утвержденного состава подотчетных лиц;</w:t>
            </w:r>
          </w:p>
          <w:p w14:paraId="1A741E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проверка документального оформления авансовых отчетов;</w:t>
            </w:r>
          </w:p>
          <w:p w14:paraId="73C9A8C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отражения в учете командировочных расходов;</w:t>
            </w:r>
          </w:p>
          <w:p w14:paraId="1A5D34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выделения сумм НДС из сумм командировочных расходов;</w:t>
            </w:r>
          </w:p>
          <w:p w14:paraId="04AD90E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соблюдения сроков отчетов по выданным подотчетным суммам и наличия остатков неиспользованных сумм;</w:t>
            </w:r>
          </w:p>
          <w:p w14:paraId="119C903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авансовых отчетов по представительским расходам;</w:t>
            </w:r>
          </w:p>
          <w:p w14:paraId="3E562EF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ведения учета командировочных расходов в пределах и сверх лимитов;</w:t>
            </w:r>
          </w:p>
          <w:p w14:paraId="0B551D3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правильности отражения расчетов с персоналом по прочим операциям;</w:t>
            </w:r>
          </w:p>
          <w:p w14:paraId="5B4E8C2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3FBE953A" w14:textId="77777777">
        <w:trPr>
          <w:trHeight w:val="1312"/>
        </w:trPr>
        <w:tc>
          <w:tcPr>
            <w:tcW w:w="269" w:type="pct"/>
            <w:vMerge/>
            <w:vAlign w:val="center"/>
          </w:tcPr>
          <w:p w14:paraId="460FB1E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329F7D0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C14C62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918" w:type="pct"/>
            <w:vAlign w:val="center"/>
          </w:tcPr>
          <w:p w14:paraId="2403572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учредителями </w:t>
            </w:r>
          </w:p>
        </w:tc>
        <w:tc>
          <w:tcPr>
            <w:tcW w:w="2112" w:type="pct"/>
            <w:vAlign w:val="center"/>
          </w:tcPr>
          <w:p w14:paraId="2F32825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53AAD315" w14:textId="77777777">
        <w:trPr>
          <w:trHeight w:val="1089"/>
        </w:trPr>
        <w:tc>
          <w:tcPr>
            <w:tcW w:w="269" w:type="pct"/>
            <w:vMerge/>
            <w:vAlign w:val="center"/>
          </w:tcPr>
          <w:p w14:paraId="0D6F9B3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DA1D829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4EE4E33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918" w:type="pct"/>
            <w:vAlign w:val="center"/>
          </w:tcPr>
          <w:p w14:paraId="153AC1F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претензиям и возмещению материального ущерба </w:t>
            </w:r>
          </w:p>
        </w:tc>
        <w:tc>
          <w:tcPr>
            <w:tcW w:w="2112" w:type="pct"/>
            <w:vAlign w:val="center"/>
          </w:tcPr>
          <w:p w14:paraId="0A2ECBA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проверка своевременности предъявления претензий вследствие нарушения договорных обязательств, за пропажу и недостачу груза в пути и т.д.; </w:t>
            </w:r>
          </w:p>
          <w:p w14:paraId="4046EF9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выяснение своевременности принятых мер по возмещению нанесенного ущерба, проверить обоснованность претензий; </w:t>
            </w:r>
          </w:p>
          <w:p w14:paraId="7C61BF8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подтверждение законности списания претензионных сумм на издержки производства и финансовые результаты; </w:t>
            </w:r>
          </w:p>
          <w:p w14:paraId="4CFE8CA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расчетов по недостачам, растратам и хищениям;</w:t>
            </w:r>
          </w:p>
          <w:p w14:paraId="5C674D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установление соблюдения сроков и порядка рассмотрения случаев недостач, потерь и растрат; </w:t>
            </w:r>
          </w:p>
          <w:p w14:paraId="02065F4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проверка правильности оформления материалов о претензиях по недостачам, потерям и хищениям; </w:t>
            </w:r>
          </w:p>
          <w:p w14:paraId="4982D9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ж) изучение причин, вызвавших недостачи, растраты и хищения; </w:t>
            </w:r>
          </w:p>
          <w:p w14:paraId="3BEF217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проверить, по всем ли дебиторам (должникам) имеются обязательства о погашении задолженности или 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 и т.п.;</w:t>
            </w:r>
          </w:p>
          <w:p w14:paraId="5FE447F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0F2385DD" w14:textId="77777777">
        <w:trPr>
          <w:trHeight w:val="445"/>
        </w:trPr>
        <w:tc>
          <w:tcPr>
            <w:tcW w:w="269" w:type="pct"/>
            <w:vMerge/>
            <w:vAlign w:val="center"/>
          </w:tcPr>
          <w:p w14:paraId="5B70B77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E3B9DE9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025BE4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918" w:type="pct"/>
            <w:vAlign w:val="center"/>
          </w:tcPr>
          <w:p w14:paraId="630159F8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совместной деятельности </w:t>
            </w:r>
          </w:p>
        </w:tc>
        <w:tc>
          <w:tcPr>
            <w:tcW w:w="2112" w:type="pct"/>
            <w:vAlign w:val="center"/>
          </w:tcPr>
          <w:p w14:paraId="45E5776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4CB0FB1" w14:textId="77777777">
        <w:trPr>
          <w:trHeight w:val="1975"/>
        </w:trPr>
        <w:tc>
          <w:tcPr>
            <w:tcW w:w="269" w:type="pct"/>
            <w:vAlign w:val="center"/>
          </w:tcPr>
          <w:p w14:paraId="60D32D06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3" w:type="pct"/>
            <w:vAlign w:val="center"/>
          </w:tcPr>
          <w:p w14:paraId="207332C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оценочных обязательств</w:t>
            </w:r>
          </w:p>
        </w:tc>
        <w:tc>
          <w:tcPr>
            <w:tcW w:w="499" w:type="pct"/>
            <w:vAlign w:val="center"/>
          </w:tcPr>
          <w:p w14:paraId="7E7079FF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3C052D30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2DA3668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положения учетной политики в отношении начисления оценочных обязательств и методологии их расчета (неиспользованные отпуска, премии и бонусы, судебные иски, гарантийные обязательства, и прочие);</w:t>
            </w:r>
          </w:p>
          <w:p w14:paraId="70A105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правильности, полноты и обоснованности расчета обязательств;</w:t>
            </w:r>
          </w:p>
          <w:p w14:paraId="6C601C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представления оценочных обязательств по срокам погашения;</w:t>
            </w:r>
          </w:p>
          <w:p w14:paraId="3E2C0F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отражения обязательств в отчетности в случае корректировки нераспределенной прибыли;</w:t>
            </w:r>
          </w:p>
          <w:p w14:paraId="3B4DDA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9D01930" w14:textId="77777777">
        <w:trPr>
          <w:trHeight w:val="2400"/>
        </w:trPr>
        <w:tc>
          <w:tcPr>
            <w:tcW w:w="269" w:type="pct"/>
            <w:vMerge w:val="restart"/>
            <w:vAlign w:val="center"/>
          </w:tcPr>
          <w:p w14:paraId="6D25C1E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3" w:type="pct"/>
            <w:vMerge w:val="restart"/>
            <w:vAlign w:val="center"/>
          </w:tcPr>
          <w:p w14:paraId="5C8CBB7E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капитала </w:t>
            </w:r>
          </w:p>
        </w:tc>
        <w:tc>
          <w:tcPr>
            <w:tcW w:w="499" w:type="pct"/>
            <w:vAlign w:val="center"/>
          </w:tcPr>
          <w:p w14:paraId="1E01C54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918" w:type="pct"/>
            <w:vAlign w:val="center"/>
          </w:tcPr>
          <w:p w14:paraId="44FA6CA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уставного капитала </w:t>
            </w:r>
          </w:p>
        </w:tc>
        <w:tc>
          <w:tcPr>
            <w:tcW w:w="2112" w:type="pct"/>
            <w:vAlign w:val="center"/>
          </w:tcPr>
          <w:p w14:paraId="5627AC3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уставного капитала:</w:t>
            </w:r>
          </w:p>
          <w:p w14:paraId="4B06C0D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уставного капитала данным учредительных документов и законодательству РФ;</w:t>
            </w:r>
          </w:p>
          <w:p w14:paraId="5D21433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полнота и правильность формирования уставного капитала;</w:t>
            </w:r>
          </w:p>
          <w:p w14:paraId="601D3F0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полнота и своевременность отражения в учете расчетов по взносам акционеров, их доли в уставный капитал с учетом порядка, размера, способов и сроков, предусмотренных учредительными документами;</w:t>
            </w:r>
          </w:p>
          <w:p w14:paraId="5D08789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обоснованность изменения величины уставного капитала; </w:t>
            </w:r>
          </w:p>
          <w:p w14:paraId="290617E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отражения в учете и отчетности.</w:t>
            </w:r>
          </w:p>
        </w:tc>
      </w:tr>
      <w:tr w:rsidR="0022554A" w14:paraId="14B9611B" w14:textId="77777777">
        <w:trPr>
          <w:trHeight w:val="1257"/>
        </w:trPr>
        <w:tc>
          <w:tcPr>
            <w:tcW w:w="269" w:type="pct"/>
            <w:vMerge/>
            <w:vAlign w:val="center"/>
          </w:tcPr>
          <w:p w14:paraId="6F63349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BE5126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E00681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918" w:type="pct"/>
            <w:vAlign w:val="center"/>
          </w:tcPr>
          <w:p w14:paraId="60A51BCE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резервного капитала </w:t>
            </w:r>
          </w:p>
        </w:tc>
        <w:tc>
          <w:tcPr>
            <w:tcW w:w="2112" w:type="pct"/>
            <w:vAlign w:val="center"/>
          </w:tcPr>
          <w:p w14:paraId="3928A08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резервного капитала:</w:t>
            </w:r>
          </w:p>
          <w:p w14:paraId="66A41E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резервного капитала данным учредительных документов и законодательству РФ;</w:t>
            </w:r>
          </w:p>
          <w:p w14:paraId="4136206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формирования резервного капитала;</w:t>
            </w:r>
          </w:p>
          <w:p w14:paraId="54860D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целевое использование резервного капитала;</w:t>
            </w:r>
          </w:p>
          <w:p w14:paraId="35B8FC7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и отчетности.</w:t>
            </w:r>
          </w:p>
        </w:tc>
      </w:tr>
      <w:tr w:rsidR="0022554A" w14:paraId="09299C69" w14:textId="77777777">
        <w:trPr>
          <w:trHeight w:val="1105"/>
        </w:trPr>
        <w:tc>
          <w:tcPr>
            <w:tcW w:w="269" w:type="pct"/>
            <w:vMerge/>
            <w:vAlign w:val="center"/>
          </w:tcPr>
          <w:p w14:paraId="26CF0B6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FF5F41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9A1151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918" w:type="pct"/>
            <w:vAlign w:val="center"/>
          </w:tcPr>
          <w:p w14:paraId="43B37A0F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добавочного капитала </w:t>
            </w:r>
          </w:p>
        </w:tc>
        <w:tc>
          <w:tcPr>
            <w:tcW w:w="2112" w:type="pct"/>
            <w:vAlign w:val="center"/>
          </w:tcPr>
          <w:p w14:paraId="575E75B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добавочного капитала:</w:t>
            </w:r>
          </w:p>
          <w:p w14:paraId="5DD6559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образования добавочного капитала;</w:t>
            </w:r>
          </w:p>
          <w:p w14:paraId="029DEAC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обоснованность использования средств добавочного капитала;</w:t>
            </w:r>
          </w:p>
          <w:p w14:paraId="7F44B03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отражения в учете и отчетности.</w:t>
            </w:r>
          </w:p>
        </w:tc>
      </w:tr>
      <w:tr w:rsidR="0022554A" w14:paraId="5F15A00E" w14:textId="77777777">
        <w:trPr>
          <w:trHeight w:val="1121"/>
        </w:trPr>
        <w:tc>
          <w:tcPr>
            <w:tcW w:w="269" w:type="pct"/>
            <w:vMerge/>
            <w:vAlign w:val="center"/>
          </w:tcPr>
          <w:p w14:paraId="1C620B97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7863501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5051B1D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918" w:type="pct"/>
            <w:vAlign w:val="center"/>
          </w:tcPr>
          <w:p w14:paraId="7FEDF26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нераспределенной прибыли (непокрытого убытка) </w:t>
            </w:r>
          </w:p>
        </w:tc>
        <w:tc>
          <w:tcPr>
            <w:tcW w:w="2112" w:type="pct"/>
            <w:vAlign w:val="center"/>
          </w:tcPr>
          <w:p w14:paraId="6678AB6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обоснованности корректировок нераспределенной прибыли;</w:t>
            </w:r>
          </w:p>
          <w:p w14:paraId="3E54C744" w14:textId="77777777" w:rsidR="0022554A" w:rsidRDefault="002255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556D59A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422C3D94" w14:textId="77777777">
        <w:trPr>
          <w:trHeight w:val="556"/>
        </w:trPr>
        <w:tc>
          <w:tcPr>
            <w:tcW w:w="269" w:type="pct"/>
            <w:vMerge/>
            <w:vAlign w:val="center"/>
          </w:tcPr>
          <w:p w14:paraId="5BAA15F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271ABA78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770577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918" w:type="pct"/>
            <w:vAlign w:val="center"/>
          </w:tcPr>
          <w:p w14:paraId="3BD89A8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целевого финансирования </w:t>
            </w:r>
          </w:p>
        </w:tc>
        <w:tc>
          <w:tcPr>
            <w:tcW w:w="2112" w:type="pct"/>
            <w:vAlign w:val="center"/>
          </w:tcPr>
          <w:p w14:paraId="7FAD9B5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по счетам в соответствующие строки отчетности. </w:t>
            </w:r>
          </w:p>
        </w:tc>
      </w:tr>
      <w:tr w:rsidR="0022554A" w14:paraId="3E1A41C8" w14:textId="77777777">
        <w:trPr>
          <w:trHeight w:val="2534"/>
        </w:trPr>
        <w:tc>
          <w:tcPr>
            <w:tcW w:w="269" w:type="pct"/>
            <w:vAlign w:val="center"/>
          </w:tcPr>
          <w:p w14:paraId="364337CC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3" w:type="pct"/>
            <w:vAlign w:val="center"/>
          </w:tcPr>
          <w:p w14:paraId="4BC06F91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доходов от обычных видов деятельности и прочих доходов</w:t>
            </w:r>
          </w:p>
        </w:tc>
        <w:tc>
          <w:tcPr>
            <w:tcW w:w="499" w:type="pct"/>
            <w:vAlign w:val="center"/>
          </w:tcPr>
          <w:p w14:paraId="3084DB14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73D55A17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5AEE1DA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и подтвердить полноту, своевременность признания доходов от обычных видов деятельности, прочих доходов;</w:t>
            </w:r>
          </w:p>
          <w:p w14:paraId="7BF4DF9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и подтвердить правильность оценки расчетной выручки, а также доходов, выраженных в иностранной валюте и/или ее эквиваленте;</w:t>
            </w:r>
          </w:p>
          <w:p w14:paraId="7C32A61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организации аналитического и синтетического учета на счетах бухгалтерского учета.</w:t>
            </w:r>
          </w:p>
        </w:tc>
      </w:tr>
      <w:tr w:rsidR="0022554A" w14:paraId="18428BA3" w14:textId="77777777">
        <w:trPr>
          <w:trHeight w:val="2534"/>
        </w:trPr>
        <w:tc>
          <w:tcPr>
            <w:tcW w:w="269" w:type="pct"/>
            <w:vAlign w:val="center"/>
          </w:tcPr>
          <w:p w14:paraId="105A5A85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3" w:type="pct"/>
            <w:vAlign w:val="center"/>
          </w:tcPr>
          <w:p w14:paraId="754F510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формирования финансовых результатов и распределения прибыли </w:t>
            </w:r>
          </w:p>
        </w:tc>
        <w:tc>
          <w:tcPr>
            <w:tcW w:w="499" w:type="pct"/>
            <w:vAlign w:val="center"/>
          </w:tcPr>
          <w:p w14:paraId="7EE40933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D41E86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47CBF0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установление правильности определения и отражения в учете прибыли (убытков) от продаж товаров, продукции, работ, услуг; </w:t>
            </w:r>
          </w:p>
          <w:p w14:paraId="30B88D8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анализ правильности учета доходов и расходов по обычным видам деятельности, прочих доходов и расходов; </w:t>
            </w:r>
          </w:p>
          <w:p w14:paraId="331AAA7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оценка правильности и обоснованности распределения чистой прибыли; </w:t>
            </w:r>
          </w:p>
          <w:p w14:paraId="210B88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определения доходов от реализации, а также внереализационных доходов, учитываемых для целей налогообложения прибыли;</w:t>
            </w:r>
          </w:p>
          <w:p w14:paraId="5290CE2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5A747E1F" w14:textId="77777777">
        <w:trPr>
          <w:trHeight w:val="1239"/>
        </w:trPr>
        <w:tc>
          <w:tcPr>
            <w:tcW w:w="269" w:type="pct"/>
            <w:vAlign w:val="center"/>
          </w:tcPr>
          <w:p w14:paraId="4BF3A649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3" w:type="pct"/>
            <w:vAlign w:val="center"/>
          </w:tcPr>
          <w:p w14:paraId="5D3F0F97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порядка ведения раздельного учета по видам деятельности</w:t>
            </w:r>
          </w:p>
        </w:tc>
        <w:tc>
          <w:tcPr>
            <w:tcW w:w="499" w:type="pct"/>
            <w:vAlign w:val="center"/>
          </w:tcPr>
          <w:p w14:paraId="5746023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33D033E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5563EDA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достоверности отражения в учете и отчетности информации о доходах, расходах и результатах финансово-хозяйственной деятельности по видам деятельности;</w:t>
            </w:r>
          </w:p>
          <w:p w14:paraId="75A1C7A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проверка правильности определения налоговой базы по налогу на прибыль организаций, в случаях, когда определение отдельной налоговой базы предусмотрено НК РФ.</w:t>
            </w:r>
          </w:p>
        </w:tc>
      </w:tr>
      <w:tr w:rsidR="0022554A" w14:paraId="3FE7DBCF" w14:textId="77777777">
        <w:trPr>
          <w:trHeight w:val="1266"/>
        </w:trPr>
        <w:tc>
          <w:tcPr>
            <w:tcW w:w="269" w:type="pct"/>
            <w:vAlign w:val="center"/>
          </w:tcPr>
          <w:p w14:paraId="4217573C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03" w:type="pct"/>
            <w:vAlign w:val="center"/>
          </w:tcPr>
          <w:p w14:paraId="147A68D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отложенных налоговых активов и отложенных налоговых обязательств</w:t>
            </w:r>
          </w:p>
        </w:tc>
        <w:tc>
          <w:tcPr>
            <w:tcW w:w="499" w:type="pct"/>
            <w:vAlign w:val="center"/>
          </w:tcPr>
          <w:p w14:paraId="371419D4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92FB62E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566CC63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классификации разниц на постоянные и временные;</w:t>
            </w:r>
          </w:p>
          <w:p w14:paraId="25FD456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 ставки, примененной для расчета отложенных налоговых активов и обязательств;</w:t>
            </w:r>
          </w:p>
          <w:p w14:paraId="005D8D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формирования сальдо отложенных налоговых активов и обязательств;</w:t>
            </w:r>
          </w:p>
          <w:p w14:paraId="1FFD55E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представления движения отложенных налогов в отчете о финансовых результатах;</w:t>
            </w:r>
          </w:p>
          <w:p w14:paraId="54D664D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раскрытия информации об отложенных налогах в пояснениях к бухгалтерскому балансу и отчету о финансовых результатах.</w:t>
            </w:r>
          </w:p>
        </w:tc>
      </w:tr>
      <w:tr w:rsidR="0022554A" w14:paraId="171E0C13" w14:textId="77777777">
        <w:trPr>
          <w:trHeight w:val="2826"/>
        </w:trPr>
        <w:tc>
          <w:tcPr>
            <w:tcW w:w="269" w:type="pct"/>
            <w:vAlign w:val="center"/>
          </w:tcPr>
          <w:p w14:paraId="3CE85B28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03" w:type="pct"/>
            <w:vAlign w:val="center"/>
          </w:tcPr>
          <w:p w14:paraId="38FDE7E5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забалансовых счетов </w:t>
            </w:r>
          </w:p>
        </w:tc>
        <w:tc>
          <w:tcPr>
            <w:tcW w:w="499" w:type="pct"/>
            <w:vAlign w:val="center"/>
          </w:tcPr>
          <w:p w14:paraId="7FB61846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07CE3EB4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0E4829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17B4FD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объектов забалансового учета;</w:t>
            </w:r>
          </w:p>
          <w:p w14:paraId="72B2C0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наличие и правильность оформления документов, подтверждающих право владения и распоряжения объектами забалансового учета, законность и обоснованность их получения и использования;</w:t>
            </w:r>
          </w:p>
          <w:p w14:paraId="4E88119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учета ценностей, учитываемых на забалансовых счетах;</w:t>
            </w:r>
          </w:p>
          <w:p w14:paraId="55183F3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ведения регистров накопительного учета и аналитической информации по объектам забалансового учета;</w:t>
            </w:r>
          </w:p>
          <w:p w14:paraId="1E3D63D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переноса данных забалансового учета в приложение к балансу;</w:t>
            </w:r>
          </w:p>
          <w:p w14:paraId="342C008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начисления и перечисления в федеральный бюджет арендной платы за использование земельных участков, федеральных зданий, помещений, сооружений, машин и оборудования.</w:t>
            </w:r>
          </w:p>
        </w:tc>
      </w:tr>
      <w:tr w:rsidR="0022554A" w14:paraId="3669BB68" w14:textId="77777777">
        <w:trPr>
          <w:trHeight w:val="3641"/>
        </w:trPr>
        <w:tc>
          <w:tcPr>
            <w:tcW w:w="269" w:type="pct"/>
            <w:vMerge w:val="restart"/>
            <w:vAlign w:val="center"/>
          </w:tcPr>
          <w:p w14:paraId="76C1E92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203" w:type="pct"/>
            <w:vMerge w:val="restart"/>
            <w:vAlign w:val="center"/>
          </w:tcPr>
          <w:p w14:paraId="0819619F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соответствия бухгалтерской (финансовой) отчетности требованиям действующего законодательства </w:t>
            </w:r>
          </w:p>
        </w:tc>
        <w:tc>
          <w:tcPr>
            <w:tcW w:w="499" w:type="pct"/>
            <w:vAlign w:val="center"/>
          </w:tcPr>
          <w:p w14:paraId="50C2C0F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918" w:type="pct"/>
            <w:vAlign w:val="center"/>
          </w:tcPr>
          <w:p w14:paraId="5A70AF85" w14:textId="77777777" w:rsidR="0022554A" w:rsidRDefault="00000000">
            <w:pPr>
              <w:spacing w:line="240" w:lineRule="auto"/>
              <w:ind w:hanging="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форм бухгалтерской (финансовой) отчетности </w:t>
            </w:r>
          </w:p>
        </w:tc>
        <w:tc>
          <w:tcPr>
            <w:tcW w:w="2112" w:type="pct"/>
            <w:vAlign w:val="center"/>
          </w:tcPr>
          <w:p w14:paraId="300A76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форм бухгалтерской отчетности, увязку ее показателей;</w:t>
            </w:r>
          </w:p>
          <w:p w14:paraId="1C73EFD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выразить мнение о достоверности показателей отчетности во всех существенных отношениях; </w:t>
            </w:r>
          </w:p>
          <w:p w14:paraId="26C60B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проверить правильность оценки статей отчетности; </w:t>
            </w:r>
          </w:p>
          <w:p w14:paraId="16AAED9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  <w:tr w:rsidR="0022554A" w14:paraId="2D39DAA9" w14:textId="77777777">
        <w:trPr>
          <w:trHeight w:val="1238"/>
        </w:trPr>
        <w:tc>
          <w:tcPr>
            <w:tcW w:w="269" w:type="pct"/>
            <w:vMerge/>
            <w:vAlign w:val="center"/>
          </w:tcPr>
          <w:p w14:paraId="114760C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7A5927AE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954398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918" w:type="pct"/>
            <w:vAlign w:val="center"/>
          </w:tcPr>
          <w:p w14:paraId="3F3062B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пояснений к бухгалтерскому балансу и отчету о финансовых результатах</w:t>
            </w:r>
          </w:p>
        </w:tc>
        <w:tc>
          <w:tcPr>
            <w:tcW w:w="2112" w:type="pct"/>
            <w:vAlign w:val="center"/>
          </w:tcPr>
          <w:p w14:paraId="3E48ACF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пояснений к бухгалтерскому балансу и отчету о финансовых результатах;</w:t>
            </w:r>
          </w:p>
          <w:p w14:paraId="051FBA4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полноту раскрытий информации в пояснениях к бухгалтерскому балансу и отчету о финансовых результатах в соответствии с требованиями действующего законодательства.</w:t>
            </w:r>
          </w:p>
        </w:tc>
      </w:tr>
      <w:tr w:rsidR="0022554A" w14:paraId="7E56CB9F" w14:textId="77777777">
        <w:trPr>
          <w:trHeight w:val="944"/>
        </w:trPr>
        <w:tc>
          <w:tcPr>
            <w:tcW w:w="269" w:type="pct"/>
            <w:vAlign w:val="center"/>
          </w:tcPr>
          <w:p w14:paraId="1F8646F6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03" w:type="pct"/>
            <w:vAlign w:val="center"/>
          </w:tcPr>
          <w:p w14:paraId="7D5CFC5E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вопросы </w:t>
            </w:r>
          </w:p>
        </w:tc>
        <w:tc>
          <w:tcPr>
            <w:tcW w:w="499" w:type="pct"/>
            <w:vAlign w:val="center"/>
          </w:tcPr>
          <w:p w14:paraId="734A9A68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012762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2F4B7F1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На усмотрение Аудитора, вопросы, необходимые для подтверждения достоверности Отчетности</w:t>
            </w:r>
          </w:p>
        </w:tc>
      </w:tr>
      <w:tr w:rsidR="0022554A" w14:paraId="2260AA31" w14:textId="77777777">
        <w:trPr>
          <w:trHeight w:val="600"/>
        </w:trPr>
        <w:tc>
          <w:tcPr>
            <w:tcW w:w="269" w:type="pct"/>
            <w:vAlign w:val="center"/>
          </w:tcPr>
          <w:p w14:paraId="62CE9D2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3" w:type="pct"/>
            <w:vAlign w:val="center"/>
          </w:tcPr>
          <w:p w14:paraId="2B6FCDE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по минимизации финансовых рисков</w:t>
            </w:r>
          </w:p>
        </w:tc>
        <w:tc>
          <w:tcPr>
            <w:tcW w:w="499" w:type="pct"/>
            <w:vAlign w:val="center"/>
          </w:tcPr>
          <w:p w14:paraId="7B3A6CCE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B6D17E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733A65C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Представить предложения по внешним и внутренним механизмам минимизации финансовых рисков.</w:t>
            </w:r>
          </w:p>
        </w:tc>
      </w:tr>
      <w:tr w:rsidR="0022554A" w14:paraId="1B5DCF89" w14:textId="77777777">
        <w:trPr>
          <w:trHeight w:val="509"/>
        </w:trPr>
        <w:tc>
          <w:tcPr>
            <w:tcW w:w="269" w:type="pct"/>
            <w:vAlign w:val="center"/>
          </w:tcPr>
          <w:p w14:paraId="716DD42B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3" w:type="pct"/>
            <w:vAlign w:val="center"/>
          </w:tcPr>
          <w:p w14:paraId="1D716292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качество ведения бухгалтерского и налогового учета</w:t>
            </w:r>
          </w:p>
        </w:tc>
        <w:tc>
          <w:tcPr>
            <w:tcW w:w="499" w:type="pct"/>
            <w:vAlign w:val="center"/>
          </w:tcPr>
          <w:p w14:paraId="21DF32B7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AA9486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1B4AB06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оценку качества ведения бухгалтерского и налогового учета, а также определить причины, вызвавшие некачественное ведение учета. Проверить следование действующим нормам законодательства по бухгалтерскому и налоговому учету.</w:t>
            </w:r>
          </w:p>
        </w:tc>
      </w:tr>
      <w:tr w:rsidR="0022554A" w14:paraId="53546802" w14:textId="77777777">
        <w:trPr>
          <w:trHeight w:val="414"/>
        </w:trPr>
        <w:tc>
          <w:tcPr>
            <w:tcW w:w="269" w:type="pct"/>
            <w:vAlign w:val="center"/>
          </w:tcPr>
          <w:p w14:paraId="78EF812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03" w:type="pct"/>
            <w:vAlign w:val="center"/>
          </w:tcPr>
          <w:p w14:paraId="173997F9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предъявленных обществу исков, условных фактов хозяйственной деятельности</w:t>
            </w:r>
          </w:p>
        </w:tc>
        <w:tc>
          <w:tcPr>
            <w:tcW w:w="499" w:type="pct"/>
            <w:vAlign w:val="center"/>
          </w:tcPr>
          <w:p w14:paraId="1787DBF0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520D4DA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63697DE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провести анализ предъявленных Заказчику исков, определить их существенность и влияние на финансовое и общественное положение Заказчика;</w:t>
            </w:r>
          </w:p>
          <w:p w14:paraId="610FC62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проанализировать выданные обеспечения, поручительства и гарантии, проверить полноту признания обязательств, в случае неплатежеспособности компании, по обязательствам которой выданы обеспечения;</w:t>
            </w:r>
          </w:p>
          <w:p w14:paraId="3531D20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проверить наличие, полноту раскрытия и/или признания обязательств по прочим условным фактам хозяйственной деятельности.</w:t>
            </w:r>
          </w:p>
        </w:tc>
      </w:tr>
      <w:tr w:rsidR="0022554A" w14:paraId="38A8A503" w14:textId="77777777">
        <w:trPr>
          <w:trHeight w:val="1537"/>
        </w:trPr>
        <w:tc>
          <w:tcPr>
            <w:tcW w:w="269" w:type="pct"/>
            <w:vAlign w:val="center"/>
          </w:tcPr>
          <w:p w14:paraId="6826F768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203" w:type="pct"/>
            <w:vAlign w:val="center"/>
          </w:tcPr>
          <w:p w14:paraId="39EE3316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соблюдения принципа непрерывности деятельности и анализ финансовой</w:t>
            </w:r>
          </w:p>
          <w:p w14:paraId="022AB8D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устойчивости</w:t>
            </w:r>
          </w:p>
        </w:tc>
        <w:tc>
          <w:tcPr>
            <w:tcW w:w="499" w:type="pct"/>
            <w:vAlign w:val="center"/>
          </w:tcPr>
          <w:p w14:paraId="3C01245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2DCAFA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74A3B3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правомерность применения принципа непрерывности деятельности как основы подготовки отчетности.</w:t>
            </w:r>
          </w:p>
          <w:p w14:paraId="35CE2E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характеристику финансовой устойчивости Заказчика:</w:t>
            </w:r>
          </w:p>
          <w:p w14:paraId="41EB2F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состав и размещение активов;</w:t>
            </w:r>
          </w:p>
          <w:p w14:paraId="7690400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динамику и структуру финансовых - источников;</w:t>
            </w:r>
          </w:p>
          <w:p w14:paraId="16F46FD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собственных оборотных средств;</w:t>
            </w:r>
          </w:p>
          <w:p w14:paraId="3A740A6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кредиторская задолженность;</w:t>
            </w:r>
          </w:p>
          <w:p w14:paraId="10BF4C0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и структура оборотных средств;</w:t>
            </w:r>
          </w:p>
          <w:p w14:paraId="15D4C77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дебиторская задолженность;</w:t>
            </w:r>
          </w:p>
          <w:p w14:paraId="1EF5040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платежеспособность.</w:t>
            </w:r>
          </w:p>
        </w:tc>
      </w:tr>
      <w:tr w:rsidR="0022554A" w14:paraId="675915A7" w14:textId="77777777">
        <w:trPr>
          <w:trHeight w:val="2215"/>
        </w:trPr>
        <w:tc>
          <w:tcPr>
            <w:tcW w:w="269" w:type="pct"/>
            <w:vAlign w:val="center"/>
          </w:tcPr>
          <w:p w14:paraId="38CF327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03" w:type="pct"/>
            <w:vAlign w:val="center"/>
          </w:tcPr>
          <w:p w14:paraId="7FCFD8EB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оценка системы внутреннего контроля</w:t>
            </w:r>
          </w:p>
        </w:tc>
        <w:tc>
          <w:tcPr>
            <w:tcW w:w="499" w:type="pct"/>
            <w:vAlign w:val="center"/>
          </w:tcPr>
          <w:p w14:paraId="63C19978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529723A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20FE8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и дать оценку качества и полноты системы внутреннего контроля Заказчика. Описать недостатки функционирования системы внутреннего контроля Заказчика и дать рекомендации по ее усовершенствованию.</w:t>
            </w:r>
          </w:p>
        </w:tc>
      </w:tr>
      <w:tr w:rsidR="0022554A" w14:paraId="4E9EFA1D" w14:textId="77777777">
        <w:trPr>
          <w:trHeight w:val="1834"/>
        </w:trPr>
        <w:tc>
          <w:tcPr>
            <w:tcW w:w="269" w:type="pct"/>
            <w:vAlign w:val="center"/>
          </w:tcPr>
          <w:p w14:paraId="5FA09CEE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03" w:type="pct"/>
            <w:vAlign w:val="center"/>
          </w:tcPr>
          <w:p w14:paraId="2FB13A91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событий после отчетной даты</w:t>
            </w:r>
          </w:p>
        </w:tc>
        <w:tc>
          <w:tcPr>
            <w:tcW w:w="499" w:type="pct"/>
            <w:vAlign w:val="center"/>
          </w:tcPr>
          <w:p w14:paraId="3D2099ED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26BDFD5B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61AD40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полноту раскрытия информации о событиях после отчетной даты, а также полноту отражения корректирующих событий после отчетной даты в отчетности.</w:t>
            </w:r>
          </w:p>
        </w:tc>
      </w:tr>
      <w:bookmarkEnd w:id="0"/>
      <w:bookmarkEnd w:id="1"/>
      <w:bookmarkEnd w:id="2"/>
    </w:tbl>
    <w:p w14:paraId="43EE0679" w14:textId="77777777" w:rsidR="0022554A" w:rsidRDefault="0022554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46FE8C" w14:textId="09073E1A" w:rsidR="00C306DE" w:rsidRPr="00C306DE" w:rsidRDefault="00C306DE" w:rsidP="00C306DE">
      <w:pPr>
        <w:pStyle w:val="af7"/>
        <w:numPr>
          <w:ilvl w:val="0"/>
          <w:numId w:val="10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C306DE">
        <w:rPr>
          <w:rFonts w:ascii="Times New Roman" w:hAnsi="Times New Roman"/>
          <w:sz w:val="24"/>
          <w:szCs w:val="24"/>
        </w:rPr>
        <w:t>Оплата оказанных услуг производится в размере 100% стоимости оказанных услуг после подписания Сторонами Акта оказанных услуг.</w:t>
      </w:r>
    </w:p>
    <w:p w14:paraId="201A8BE9" w14:textId="1C8639F4" w:rsidR="00813CF8" w:rsidRPr="00521701" w:rsidRDefault="00813CF8" w:rsidP="00C306DE">
      <w:pPr>
        <w:pStyle w:val="af7"/>
        <w:numPr>
          <w:ilvl w:val="0"/>
          <w:numId w:val="10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521701">
        <w:rPr>
          <w:rFonts w:ascii="Times New Roman" w:hAnsi="Times New Roman"/>
          <w:sz w:val="24"/>
          <w:szCs w:val="24"/>
        </w:rPr>
        <w:t>Сдача-приемка оказанных услуг производится Сторонами по итогу проведения аудита</w:t>
      </w:r>
      <w:r w:rsidR="006B3E67">
        <w:rPr>
          <w:rFonts w:ascii="Times New Roman" w:hAnsi="Times New Roman"/>
          <w:sz w:val="24"/>
          <w:szCs w:val="24"/>
        </w:rPr>
        <w:t>.</w:t>
      </w:r>
    </w:p>
    <w:p w14:paraId="35763147" w14:textId="77777777" w:rsidR="00813CF8" w:rsidRPr="00754CC8" w:rsidRDefault="00813CF8" w:rsidP="00813CF8">
      <w:pPr>
        <w:tabs>
          <w:tab w:val="left" w:pos="141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54CC8">
        <w:rPr>
          <w:rFonts w:ascii="Times New Roman" w:hAnsi="Times New Roman"/>
          <w:bCs/>
          <w:sz w:val="24"/>
          <w:szCs w:val="24"/>
        </w:rPr>
        <w:t>Требование к оформлению результатов аудита</w:t>
      </w:r>
    </w:p>
    <w:p w14:paraId="124D3D26" w14:textId="7757D04B" w:rsidR="00813CF8" w:rsidRPr="00754CC8" w:rsidRDefault="00813CF8" w:rsidP="00813CF8">
      <w:pPr>
        <w:pStyle w:val="afe"/>
        <w:tabs>
          <w:tab w:val="left" w:pos="1417"/>
        </w:tabs>
        <w:spacing w:before="60" w:after="6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По результатам оказания услуг по проведению аудита в отношении бухгалтерской (финансовой) отчетности по РСБУ за 202</w:t>
      </w:r>
      <w:r w:rsidR="002D7779">
        <w:rPr>
          <w:rFonts w:ascii="Times New Roman" w:hAnsi="Times New Roman"/>
          <w:sz w:val="24"/>
          <w:szCs w:val="24"/>
        </w:rPr>
        <w:t>6</w:t>
      </w:r>
      <w:r w:rsidRPr="00754CC8">
        <w:rPr>
          <w:rFonts w:ascii="Times New Roman" w:hAnsi="Times New Roman"/>
          <w:sz w:val="24"/>
          <w:szCs w:val="24"/>
        </w:rPr>
        <w:t xml:space="preserve"> г. формируются следующие отчетные (итоговые) документы:</w:t>
      </w:r>
    </w:p>
    <w:p w14:paraId="569DFC89" w14:textId="77777777" w:rsidR="00813CF8" w:rsidRPr="00754CC8" w:rsidRDefault="00813CF8" w:rsidP="00813CF8">
      <w:pPr>
        <w:pStyle w:val="af7"/>
        <w:numPr>
          <w:ilvl w:val="0"/>
          <w:numId w:val="9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письменная информация (отчет) руководству Заказчика по результатам аудита в 2 (двух) экземплярах на бумажном носителе и в 1 (одном) экземпляре в электронном виде на материальном флеш-накопителе;</w:t>
      </w:r>
    </w:p>
    <w:p w14:paraId="05EDF9D3" w14:textId="0B526601" w:rsidR="00813CF8" w:rsidRPr="00754CC8" w:rsidRDefault="00813CF8" w:rsidP="00813CF8">
      <w:pPr>
        <w:pStyle w:val="af7"/>
        <w:numPr>
          <w:ilvl w:val="0"/>
          <w:numId w:val="9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 xml:space="preserve">аудиторское заключение в 1 (одном) экземпляре в электронном виде на материальном флеш-накопителе и на бумажном носителе в количестве не менее чем в </w:t>
      </w:r>
      <w:r w:rsidR="00B1438B">
        <w:rPr>
          <w:rFonts w:ascii="Times New Roman" w:hAnsi="Times New Roman"/>
          <w:sz w:val="24"/>
          <w:szCs w:val="24"/>
        </w:rPr>
        <w:t>5</w:t>
      </w:r>
      <w:r w:rsidRPr="00754CC8">
        <w:rPr>
          <w:rFonts w:ascii="Times New Roman" w:hAnsi="Times New Roman"/>
          <w:sz w:val="24"/>
          <w:szCs w:val="24"/>
        </w:rPr>
        <w:t xml:space="preserve"> (</w:t>
      </w:r>
      <w:r w:rsidR="00B1438B">
        <w:rPr>
          <w:rFonts w:ascii="Times New Roman" w:hAnsi="Times New Roman"/>
          <w:sz w:val="24"/>
          <w:szCs w:val="24"/>
        </w:rPr>
        <w:t>пяти</w:t>
      </w:r>
      <w:r w:rsidRPr="00754CC8">
        <w:rPr>
          <w:rFonts w:ascii="Times New Roman" w:hAnsi="Times New Roman"/>
          <w:sz w:val="24"/>
          <w:szCs w:val="24"/>
        </w:rPr>
        <w:t xml:space="preserve">) подлинных экземплярах, </w:t>
      </w:r>
      <w:r w:rsidR="00B1438B">
        <w:rPr>
          <w:rFonts w:ascii="Times New Roman" w:hAnsi="Times New Roman"/>
          <w:sz w:val="24"/>
          <w:szCs w:val="24"/>
        </w:rPr>
        <w:t>4</w:t>
      </w:r>
      <w:r w:rsidRPr="00754CC8">
        <w:rPr>
          <w:rFonts w:ascii="Times New Roman" w:hAnsi="Times New Roman"/>
          <w:sz w:val="24"/>
          <w:szCs w:val="24"/>
        </w:rPr>
        <w:t xml:space="preserve"> (</w:t>
      </w:r>
      <w:r w:rsidR="00B1438B">
        <w:rPr>
          <w:rFonts w:ascii="Times New Roman" w:hAnsi="Times New Roman"/>
          <w:sz w:val="24"/>
          <w:szCs w:val="24"/>
        </w:rPr>
        <w:t>четыре</w:t>
      </w:r>
      <w:r w:rsidRPr="00754CC8">
        <w:rPr>
          <w:rFonts w:ascii="Times New Roman" w:hAnsi="Times New Roman"/>
          <w:sz w:val="24"/>
          <w:szCs w:val="24"/>
        </w:rPr>
        <w:t>) из которых передаются Заказчику, а один остается у Исполнителя для хранения в порядке, установленном действующим законодательством. К Аудиторскому заключению прилагается отчетность, в отношении которой Исполнителем выражается мнение.</w:t>
      </w:r>
    </w:p>
    <w:p w14:paraId="1595D644" w14:textId="77777777" w:rsidR="00813CF8" w:rsidRPr="00754CC8" w:rsidRDefault="00813CF8" w:rsidP="00813CF8">
      <w:pPr>
        <w:tabs>
          <w:tab w:val="left" w:pos="1417"/>
        </w:tabs>
        <w:spacing w:before="60" w:after="60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lastRenderedPageBreak/>
        <w:t>Аудиторское заключение и отчетность должны быть сброшюрованы в единый пакет, листы пронумерованы, прошнурованы, опечатаны печатью Исполнителя с указанием общего количества листов в пакете.</w:t>
      </w:r>
    </w:p>
    <w:p w14:paraId="3049B48A" w14:textId="77777777" w:rsidR="00813CF8" w:rsidRPr="00754CC8" w:rsidRDefault="00813CF8" w:rsidP="00813CF8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Документация, разрабатываемая в соответствии с техническим заданием, должна предоставляться в электронной форме и в форматах, совместимых с текстовым редактором/редактором электронных таблиц/редактором презентаций офисного пакета «Р7-ОФИС» (</w:t>
      </w:r>
      <w:hyperlink w:history="1">
        <w:r w:rsidRPr="00754CC8">
          <w:rPr>
            <w:rFonts w:ascii="Times New Roman" w:hAnsi="Times New Roman"/>
            <w:sz w:val="24"/>
            <w:szCs w:val="24"/>
          </w:rPr>
          <w:t>https://r7-office.online/</w:t>
        </w:r>
      </w:hyperlink>
      <w:r w:rsidRPr="00754CC8">
        <w:rPr>
          <w:rFonts w:ascii="Times New Roman" w:hAnsi="Times New Roman"/>
          <w:sz w:val="24"/>
          <w:szCs w:val="24"/>
        </w:rPr>
        <w:t>).</w:t>
      </w:r>
    </w:p>
    <w:p w14:paraId="169FD0B3" w14:textId="77777777" w:rsidR="00813CF8" w:rsidRPr="00754CC8" w:rsidRDefault="00813CF8" w:rsidP="00813CF8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Все текстовые, графические и иные элементы в составе документации должны корректно отображаться при работе сотрудниками Заказчика в «Р7-ОФИС».</w:t>
      </w:r>
    </w:p>
    <w:p w14:paraId="65AAC10A" w14:textId="77777777" w:rsidR="00813CF8" w:rsidRDefault="00813CF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22554A" w14:paraId="25871321" w14:textId="77777777">
        <w:tc>
          <w:tcPr>
            <w:tcW w:w="4785" w:type="dxa"/>
          </w:tcPr>
          <w:p w14:paraId="14B71728" w14:textId="77777777" w:rsidR="0022554A" w:rsidRDefault="0022554A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DC479F1" w14:textId="77777777" w:rsidR="0022554A" w:rsidRDefault="0022554A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F5A723" w14:textId="77777777" w:rsidR="0022554A" w:rsidRDefault="0022554A"/>
    <w:sectPr w:rsidR="0022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4032A" w14:textId="77777777" w:rsidR="00747B51" w:rsidRDefault="00747B51">
      <w:pPr>
        <w:spacing w:after="0" w:line="240" w:lineRule="auto"/>
      </w:pPr>
      <w:r>
        <w:separator/>
      </w:r>
    </w:p>
  </w:endnote>
  <w:endnote w:type="continuationSeparator" w:id="0">
    <w:p w14:paraId="60008E6A" w14:textId="77777777" w:rsidR="00747B51" w:rsidRDefault="0074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B67B9" w14:textId="77777777" w:rsidR="00747B51" w:rsidRDefault="00747B51">
      <w:pPr>
        <w:spacing w:after="0" w:line="240" w:lineRule="auto"/>
      </w:pPr>
      <w:r>
        <w:separator/>
      </w:r>
    </w:p>
  </w:footnote>
  <w:footnote w:type="continuationSeparator" w:id="0">
    <w:p w14:paraId="44619636" w14:textId="77777777" w:rsidR="00747B51" w:rsidRDefault="00747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210"/>
    <w:multiLevelType w:val="hybridMultilevel"/>
    <w:tmpl w:val="55BA47FE"/>
    <w:lvl w:ilvl="0" w:tplc="6D92E24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B4ACB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5D25D0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2A29AD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424B26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73A2CA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2BA15C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4AEEED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C608CE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9F05DB7"/>
    <w:multiLevelType w:val="hybridMultilevel"/>
    <w:tmpl w:val="E2349D30"/>
    <w:lvl w:ilvl="0" w:tplc="CD5E03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BC233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ADCC0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912F46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162EF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CA96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E84C3F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0988C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FF4F8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B8C1D31"/>
    <w:multiLevelType w:val="hybridMultilevel"/>
    <w:tmpl w:val="45FA1D32"/>
    <w:lvl w:ilvl="0" w:tplc="7E480A56">
      <w:start w:val="1"/>
      <w:numFmt w:val="decimal"/>
      <w:lvlText w:val="%1)"/>
      <w:lvlJc w:val="left"/>
      <w:pPr>
        <w:ind w:left="1417" w:hanging="360"/>
      </w:pPr>
    </w:lvl>
    <w:lvl w:ilvl="1" w:tplc="CC7ADFC8">
      <w:start w:val="1"/>
      <w:numFmt w:val="lowerLetter"/>
      <w:lvlText w:val="%2."/>
      <w:lvlJc w:val="left"/>
      <w:pPr>
        <w:ind w:left="2137" w:hanging="360"/>
      </w:pPr>
    </w:lvl>
    <w:lvl w:ilvl="2" w:tplc="AA2E3E0C">
      <w:start w:val="1"/>
      <w:numFmt w:val="lowerRoman"/>
      <w:lvlText w:val="%3."/>
      <w:lvlJc w:val="right"/>
      <w:pPr>
        <w:ind w:left="2857" w:hanging="180"/>
      </w:pPr>
    </w:lvl>
    <w:lvl w:ilvl="3" w:tplc="A024FBCC">
      <w:start w:val="1"/>
      <w:numFmt w:val="decimal"/>
      <w:lvlText w:val="%4."/>
      <w:lvlJc w:val="left"/>
      <w:pPr>
        <w:ind w:left="3577" w:hanging="360"/>
      </w:pPr>
    </w:lvl>
    <w:lvl w:ilvl="4" w:tplc="80B64DB8">
      <w:start w:val="1"/>
      <w:numFmt w:val="lowerLetter"/>
      <w:lvlText w:val="%5."/>
      <w:lvlJc w:val="left"/>
      <w:pPr>
        <w:ind w:left="4297" w:hanging="360"/>
      </w:pPr>
    </w:lvl>
    <w:lvl w:ilvl="5" w:tplc="19289B8C">
      <w:start w:val="1"/>
      <w:numFmt w:val="lowerRoman"/>
      <w:lvlText w:val="%6."/>
      <w:lvlJc w:val="right"/>
      <w:pPr>
        <w:ind w:left="5017" w:hanging="180"/>
      </w:pPr>
    </w:lvl>
    <w:lvl w:ilvl="6" w:tplc="D510675A">
      <w:start w:val="1"/>
      <w:numFmt w:val="decimal"/>
      <w:lvlText w:val="%7."/>
      <w:lvlJc w:val="left"/>
      <w:pPr>
        <w:ind w:left="5737" w:hanging="360"/>
      </w:pPr>
    </w:lvl>
    <w:lvl w:ilvl="7" w:tplc="838E56EE">
      <w:start w:val="1"/>
      <w:numFmt w:val="lowerLetter"/>
      <w:lvlText w:val="%8."/>
      <w:lvlJc w:val="left"/>
      <w:pPr>
        <w:ind w:left="6457" w:hanging="360"/>
      </w:pPr>
    </w:lvl>
    <w:lvl w:ilvl="8" w:tplc="7772DEA8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117C637A"/>
    <w:multiLevelType w:val="multilevel"/>
    <w:tmpl w:val="BEB6FF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ED0424D"/>
    <w:multiLevelType w:val="hybridMultilevel"/>
    <w:tmpl w:val="96F6C5C0"/>
    <w:lvl w:ilvl="0" w:tplc="056683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8A0EA2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D5387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22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167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AA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EA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423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04F2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D9024A6"/>
    <w:multiLevelType w:val="hybridMultilevel"/>
    <w:tmpl w:val="BEB23DD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A00B2"/>
    <w:multiLevelType w:val="hybridMultilevel"/>
    <w:tmpl w:val="B6D45EAA"/>
    <w:lvl w:ilvl="0" w:tplc="043236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3F04958">
      <w:start w:val="1"/>
      <w:numFmt w:val="lowerLetter"/>
      <w:lvlText w:val="%2."/>
      <w:lvlJc w:val="left"/>
      <w:pPr>
        <w:ind w:left="1647" w:hanging="360"/>
      </w:pPr>
    </w:lvl>
    <w:lvl w:ilvl="2" w:tplc="409CFC6E">
      <w:start w:val="1"/>
      <w:numFmt w:val="lowerRoman"/>
      <w:lvlText w:val="%3."/>
      <w:lvlJc w:val="right"/>
      <w:pPr>
        <w:ind w:left="2367" w:hanging="180"/>
      </w:pPr>
    </w:lvl>
    <w:lvl w:ilvl="3" w:tplc="CB7044D0">
      <w:start w:val="1"/>
      <w:numFmt w:val="decimal"/>
      <w:lvlText w:val="%4."/>
      <w:lvlJc w:val="left"/>
      <w:pPr>
        <w:ind w:left="3087" w:hanging="360"/>
      </w:pPr>
    </w:lvl>
    <w:lvl w:ilvl="4" w:tplc="4C782DD0">
      <w:start w:val="1"/>
      <w:numFmt w:val="lowerLetter"/>
      <w:lvlText w:val="%5."/>
      <w:lvlJc w:val="left"/>
      <w:pPr>
        <w:ind w:left="3807" w:hanging="360"/>
      </w:pPr>
    </w:lvl>
    <w:lvl w:ilvl="5" w:tplc="DE9A33DC">
      <w:start w:val="1"/>
      <w:numFmt w:val="lowerRoman"/>
      <w:lvlText w:val="%6."/>
      <w:lvlJc w:val="right"/>
      <w:pPr>
        <w:ind w:left="4527" w:hanging="180"/>
      </w:pPr>
    </w:lvl>
    <w:lvl w:ilvl="6" w:tplc="0C0219AC">
      <w:start w:val="1"/>
      <w:numFmt w:val="decimal"/>
      <w:lvlText w:val="%7."/>
      <w:lvlJc w:val="left"/>
      <w:pPr>
        <w:ind w:left="5247" w:hanging="360"/>
      </w:pPr>
    </w:lvl>
    <w:lvl w:ilvl="7" w:tplc="29285400">
      <w:start w:val="1"/>
      <w:numFmt w:val="lowerLetter"/>
      <w:lvlText w:val="%8."/>
      <w:lvlJc w:val="left"/>
      <w:pPr>
        <w:ind w:left="5967" w:hanging="360"/>
      </w:pPr>
    </w:lvl>
    <w:lvl w:ilvl="8" w:tplc="04AA55B0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7BF640A"/>
    <w:multiLevelType w:val="hybridMultilevel"/>
    <w:tmpl w:val="BEB23D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6061F"/>
    <w:multiLevelType w:val="hybridMultilevel"/>
    <w:tmpl w:val="0F745950"/>
    <w:lvl w:ilvl="0" w:tplc="D742887E">
      <w:start w:val="1"/>
      <w:numFmt w:val="decimal"/>
      <w:lvlText w:val="%1."/>
      <w:lvlJc w:val="left"/>
      <w:pPr>
        <w:ind w:left="709" w:hanging="360"/>
      </w:pPr>
    </w:lvl>
    <w:lvl w:ilvl="1" w:tplc="CD56F58E">
      <w:start w:val="1"/>
      <w:numFmt w:val="lowerLetter"/>
      <w:lvlText w:val="%2."/>
      <w:lvlJc w:val="left"/>
      <w:pPr>
        <w:ind w:left="1429" w:hanging="360"/>
      </w:pPr>
    </w:lvl>
    <w:lvl w:ilvl="2" w:tplc="D5F21D06">
      <w:start w:val="1"/>
      <w:numFmt w:val="lowerRoman"/>
      <w:lvlText w:val="%3."/>
      <w:lvlJc w:val="right"/>
      <w:pPr>
        <w:ind w:left="2149" w:hanging="180"/>
      </w:pPr>
    </w:lvl>
    <w:lvl w:ilvl="3" w:tplc="B76C54FC">
      <w:start w:val="1"/>
      <w:numFmt w:val="decimal"/>
      <w:lvlText w:val="%4."/>
      <w:lvlJc w:val="left"/>
      <w:pPr>
        <w:ind w:left="2869" w:hanging="360"/>
      </w:pPr>
    </w:lvl>
    <w:lvl w:ilvl="4" w:tplc="C8A4E20A">
      <w:start w:val="1"/>
      <w:numFmt w:val="lowerLetter"/>
      <w:lvlText w:val="%5."/>
      <w:lvlJc w:val="left"/>
      <w:pPr>
        <w:ind w:left="3589" w:hanging="360"/>
      </w:pPr>
    </w:lvl>
    <w:lvl w:ilvl="5" w:tplc="567644EA">
      <w:start w:val="1"/>
      <w:numFmt w:val="lowerRoman"/>
      <w:lvlText w:val="%6."/>
      <w:lvlJc w:val="right"/>
      <w:pPr>
        <w:ind w:left="4309" w:hanging="180"/>
      </w:pPr>
    </w:lvl>
    <w:lvl w:ilvl="6" w:tplc="12EAEE14">
      <w:start w:val="1"/>
      <w:numFmt w:val="decimal"/>
      <w:lvlText w:val="%7."/>
      <w:lvlJc w:val="left"/>
      <w:pPr>
        <w:ind w:left="5029" w:hanging="360"/>
      </w:pPr>
    </w:lvl>
    <w:lvl w:ilvl="7" w:tplc="099ADBF0">
      <w:start w:val="1"/>
      <w:numFmt w:val="lowerLetter"/>
      <w:lvlText w:val="%8."/>
      <w:lvlJc w:val="left"/>
      <w:pPr>
        <w:ind w:left="5749" w:hanging="360"/>
      </w:pPr>
    </w:lvl>
    <w:lvl w:ilvl="8" w:tplc="0D16653C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5FB5697F"/>
    <w:multiLevelType w:val="hybridMultilevel"/>
    <w:tmpl w:val="EC4CCBA4"/>
    <w:lvl w:ilvl="0" w:tplc="10C6E41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4C413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92A47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B860F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C76AD0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71E26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6181E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6AAF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84428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3806AF5"/>
    <w:multiLevelType w:val="hybridMultilevel"/>
    <w:tmpl w:val="FB6037F2"/>
    <w:lvl w:ilvl="0" w:tplc="A9A82544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2564AF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D9EE06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6217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1F87C8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93474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C568E1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6846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8835D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9CA41C8"/>
    <w:multiLevelType w:val="hybridMultilevel"/>
    <w:tmpl w:val="AEE28152"/>
    <w:lvl w:ilvl="0" w:tplc="989AC4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CDE75FE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588F4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AD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16A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6A3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CE5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C0C3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0A5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EDB0763"/>
    <w:multiLevelType w:val="hybridMultilevel"/>
    <w:tmpl w:val="0A223A1A"/>
    <w:lvl w:ilvl="0" w:tplc="4678FD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CD836D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BD23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0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AC9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E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DC4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8A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A4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56867067">
    <w:abstractNumId w:val="6"/>
  </w:num>
  <w:num w:numId="2" w16cid:durableId="1399860691">
    <w:abstractNumId w:val="3"/>
  </w:num>
  <w:num w:numId="3" w16cid:durableId="1704865104">
    <w:abstractNumId w:val="10"/>
  </w:num>
  <w:num w:numId="4" w16cid:durableId="380862423">
    <w:abstractNumId w:val="12"/>
  </w:num>
  <w:num w:numId="5" w16cid:durableId="93211496">
    <w:abstractNumId w:val="11"/>
  </w:num>
  <w:num w:numId="6" w16cid:durableId="790170001">
    <w:abstractNumId w:val="4"/>
  </w:num>
  <w:num w:numId="7" w16cid:durableId="583494321">
    <w:abstractNumId w:val="2"/>
  </w:num>
  <w:num w:numId="8" w16cid:durableId="205416052">
    <w:abstractNumId w:val="0"/>
  </w:num>
  <w:num w:numId="9" w16cid:durableId="2102677213">
    <w:abstractNumId w:val="1"/>
  </w:num>
  <w:num w:numId="10" w16cid:durableId="1087313039">
    <w:abstractNumId w:val="7"/>
  </w:num>
  <w:num w:numId="11" w16cid:durableId="2119131072">
    <w:abstractNumId w:val="8"/>
  </w:num>
  <w:num w:numId="12" w16cid:durableId="232400516">
    <w:abstractNumId w:val="9"/>
  </w:num>
  <w:num w:numId="13" w16cid:durableId="852064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54A"/>
    <w:rsid w:val="001C156B"/>
    <w:rsid w:val="0022554A"/>
    <w:rsid w:val="002B500F"/>
    <w:rsid w:val="002C1476"/>
    <w:rsid w:val="002D7779"/>
    <w:rsid w:val="00335F99"/>
    <w:rsid w:val="003B4047"/>
    <w:rsid w:val="003D5000"/>
    <w:rsid w:val="003D6F3F"/>
    <w:rsid w:val="003E6008"/>
    <w:rsid w:val="00430213"/>
    <w:rsid w:val="00521701"/>
    <w:rsid w:val="005339D2"/>
    <w:rsid w:val="00555904"/>
    <w:rsid w:val="00591410"/>
    <w:rsid w:val="005B6B61"/>
    <w:rsid w:val="005D2852"/>
    <w:rsid w:val="006B3E67"/>
    <w:rsid w:val="00701781"/>
    <w:rsid w:val="00747B51"/>
    <w:rsid w:val="007558A7"/>
    <w:rsid w:val="00813CF8"/>
    <w:rsid w:val="00894237"/>
    <w:rsid w:val="008F5C27"/>
    <w:rsid w:val="00935870"/>
    <w:rsid w:val="009367D6"/>
    <w:rsid w:val="00993E14"/>
    <w:rsid w:val="009E5E9B"/>
    <w:rsid w:val="00A907B9"/>
    <w:rsid w:val="00B1438B"/>
    <w:rsid w:val="00B2241F"/>
    <w:rsid w:val="00B67BD4"/>
    <w:rsid w:val="00B95C3F"/>
    <w:rsid w:val="00BC1158"/>
    <w:rsid w:val="00C306DE"/>
    <w:rsid w:val="00D338A0"/>
    <w:rsid w:val="00DF4C14"/>
    <w:rsid w:val="00E116A6"/>
    <w:rsid w:val="00F0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A8CF"/>
  <w15:docId w15:val="{60730702-BE01-4282-A18E-8C243DA9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1"/>
    <w:qFormat/>
    <w:pPr>
      <w:ind w:left="720"/>
      <w:contextualSpacing/>
    </w:pPr>
    <w:rPr>
      <w14:ligatures w14:val="standardContextual"/>
    </w:r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F5496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qFormat/>
    <w:rPr>
      <w:sz w:val="20"/>
      <w:szCs w:val="20"/>
      <w14:ligatures w14:val="none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  <w14:ligatures w14:val="none"/>
    </w:rPr>
  </w:style>
  <w:style w:type="character" w:styleId="aff2">
    <w:name w:val="Strong"/>
    <w:basedOn w:val="a0"/>
    <w:uiPriority w:val="22"/>
    <w:qFormat/>
    <w:rPr>
      <w:b/>
      <w:bCs/>
    </w:rPr>
  </w:style>
  <w:style w:type="character" w:styleId="aff3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4">
    <w:name w:val="Revision"/>
    <w:hidden/>
    <w:uiPriority w:val="99"/>
    <w:semiHidden/>
    <w:rsid w:val="00A907B9"/>
    <w:pPr>
      <w:spacing w:after="0" w:line="240" w:lineRule="auto"/>
    </w:pPr>
    <w:rPr>
      <w14:ligatures w14:val="none"/>
    </w:rPr>
  </w:style>
  <w:style w:type="character" w:customStyle="1" w:styleId="af8">
    <w:name w:val="Абзац списка Знак"/>
    <w:basedOn w:val="a0"/>
    <w:link w:val="af7"/>
    <w:uiPriority w:val="1"/>
    <w:qFormat/>
    <w:rsid w:val="00A90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4771</Words>
  <Characters>27201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Цыганкова</dc:creator>
  <cp:keywords/>
  <dc:description/>
  <cp:lastModifiedBy>Карцева Елена</cp:lastModifiedBy>
  <cp:revision>4</cp:revision>
  <dcterms:created xsi:type="dcterms:W3CDTF">2026-09-22T09:20:00Z</dcterms:created>
  <dcterms:modified xsi:type="dcterms:W3CDTF">2026-09-23T11:30:00Z</dcterms:modified>
</cp:coreProperties>
</file>