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DEE32" w14:textId="77777777" w:rsidR="00F0429A" w:rsidRPr="00CB643E" w:rsidRDefault="00F0429A" w:rsidP="00F0429A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43E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14:paraId="6864D031" w14:textId="2D0273DC" w:rsidR="000057F6" w:rsidRPr="00754CC8" w:rsidRDefault="000057F6" w:rsidP="000057F6">
      <w:pPr>
        <w:spacing w:line="240" w:lineRule="auto"/>
        <w:ind w:firstLine="708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оказание услуг по проведению аудита бухгалтерской (финансовой) отчетности Заказчика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202</w:t>
      </w:r>
      <w:r w:rsidR="005762A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г., </w:t>
      </w:r>
      <w:r w:rsidRPr="00754CC8">
        <w:rPr>
          <w:rFonts w:ascii="Times New Roman" w:hAnsi="Times New Roman"/>
          <w:sz w:val="24"/>
          <w:szCs w:val="24"/>
        </w:rPr>
        <w:t>подготовленной в соответствии с законодательством Российской Федерации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по тексту - «бухгалтерская отчетность», «аудит», «аудиторская проверка», «Услуги» соответственно) </w:t>
      </w:r>
    </w:p>
    <w:p w14:paraId="47420D34" w14:textId="77777777" w:rsidR="00F0429A" w:rsidRDefault="00F0429A" w:rsidP="00F0429A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015902" w14:textId="1D17A4C2" w:rsidR="00F0429A" w:rsidRPr="00607EEA" w:rsidRDefault="00F0429A" w:rsidP="00F0429A">
      <w:pPr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EEA">
        <w:rPr>
          <w:rFonts w:ascii="Times New Roman" w:hAnsi="Times New Roman" w:cs="Times New Roman"/>
          <w:sz w:val="24"/>
          <w:szCs w:val="24"/>
        </w:rPr>
        <w:t>Место п</w:t>
      </w:r>
      <w:r w:rsidRPr="005D7859">
        <w:rPr>
          <w:rFonts w:ascii="Times New Roman" w:hAnsi="Times New Roman" w:cs="Times New Roman"/>
          <w:sz w:val="24"/>
          <w:szCs w:val="24"/>
        </w:rPr>
        <w:t xml:space="preserve">роведения аудита: </w:t>
      </w:r>
      <w:r w:rsidR="000057F6" w:rsidRPr="00754CC8">
        <w:rPr>
          <w:rFonts w:ascii="Times New Roman" w:hAnsi="Times New Roman"/>
          <w:sz w:val="24"/>
          <w:szCs w:val="24"/>
        </w:rPr>
        <w:t xml:space="preserve">по адресу: г. Москва, ул. Красная Пресня, д. 22 и по месту нахождения </w:t>
      </w:r>
      <w:r w:rsidR="000057F6">
        <w:rPr>
          <w:rFonts w:ascii="Times New Roman" w:hAnsi="Times New Roman"/>
          <w:sz w:val="24"/>
          <w:szCs w:val="24"/>
        </w:rPr>
        <w:t>Аудитора</w:t>
      </w:r>
      <w:r w:rsidR="000057F6" w:rsidRPr="00754CC8">
        <w:rPr>
          <w:rFonts w:ascii="Times New Roman" w:hAnsi="Times New Roman"/>
          <w:sz w:val="24"/>
          <w:szCs w:val="24"/>
        </w:rPr>
        <w:t>.</w:t>
      </w:r>
    </w:p>
    <w:p w14:paraId="6AC088C0" w14:textId="77777777" w:rsidR="00F0429A" w:rsidRPr="00607EEA" w:rsidRDefault="00F0429A" w:rsidP="00F0429A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Toc145849796"/>
      <w:bookmarkStart w:id="1" w:name="_Toc145849795"/>
      <w:bookmarkStart w:id="2" w:name="_Toc517966156"/>
    </w:p>
    <w:p w14:paraId="774B2495" w14:textId="77777777" w:rsidR="00F0429A" w:rsidRPr="00607EEA" w:rsidRDefault="00F0429A" w:rsidP="00F0429A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7EEA">
        <w:rPr>
          <w:rFonts w:ascii="Times New Roman" w:hAnsi="Times New Roman" w:cs="Times New Roman"/>
          <w:sz w:val="24"/>
          <w:szCs w:val="24"/>
        </w:rPr>
        <w:t>Общие положения</w:t>
      </w:r>
    </w:p>
    <w:p w14:paraId="18C76B7B" w14:textId="09E6FF74" w:rsidR="00F0429A" w:rsidRPr="00607EEA" w:rsidRDefault="00F0429A" w:rsidP="00186E34">
      <w:pPr>
        <w:pStyle w:val="1"/>
        <w:numPr>
          <w:ilvl w:val="0"/>
          <w:numId w:val="1"/>
        </w:numPr>
        <w:shd w:val="clear" w:color="auto" w:fill="FFFFFF"/>
        <w:spacing w:before="390" w:after="150"/>
        <w:ind w:left="0" w:firstLine="567"/>
        <w:jc w:val="both"/>
        <w:textAlignment w:val="baseline"/>
        <w:rPr>
          <w:rFonts w:ascii="Times New Roman" w:hAnsi="Times New Roman" w:cs="Times New Roman"/>
          <w:color w:val="auto"/>
          <w:sz w:val="24"/>
          <w:szCs w:val="24"/>
        </w:rPr>
      </w:pPr>
      <w:r w:rsidRPr="00607EEA">
        <w:rPr>
          <w:rFonts w:ascii="Times New Roman" w:hAnsi="Times New Roman" w:cs="Times New Roman"/>
          <w:color w:val="auto"/>
          <w:sz w:val="24"/>
          <w:szCs w:val="24"/>
        </w:rPr>
        <w:t>Настоящее техническое задание на проведение аудита бухгалтерской (финансовой) отчетности (далее - аудит</w:t>
      </w:r>
      <w:r w:rsidRPr="00C40BE1">
        <w:rPr>
          <w:rFonts w:ascii="Times New Roman" w:hAnsi="Times New Roman" w:cs="Times New Roman"/>
          <w:color w:val="auto"/>
          <w:sz w:val="24"/>
          <w:szCs w:val="24"/>
        </w:rPr>
        <w:t xml:space="preserve">) </w:t>
      </w:r>
      <w:r w:rsidR="00C40BE1" w:rsidRPr="00C40B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ООО "КУРОРТНО-ОЗДОРОВИТЕЛЬНЫЙ КОМПЛЕКС "РУСИЧ"</w:t>
      </w:r>
      <w:r w:rsidR="00607EEA" w:rsidRPr="00607EE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607EEA">
        <w:rPr>
          <w:rFonts w:ascii="Times New Roman" w:hAnsi="Times New Roman" w:cs="Times New Roman"/>
          <w:color w:val="auto"/>
          <w:sz w:val="24"/>
          <w:szCs w:val="24"/>
        </w:rPr>
        <w:t>(далее – Заказчик) определяет состав задач и подзадач, необходимых для выполнения Аудитором</w:t>
      </w:r>
      <w:r w:rsidR="000057F6">
        <w:rPr>
          <w:rFonts w:ascii="Times New Roman" w:hAnsi="Times New Roman" w:cs="Times New Roman"/>
          <w:color w:val="auto"/>
          <w:sz w:val="24"/>
          <w:szCs w:val="24"/>
        </w:rPr>
        <w:t xml:space="preserve"> (далее – Исполнителем)</w:t>
      </w:r>
      <w:r w:rsidRPr="00607EEA">
        <w:rPr>
          <w:rFonts w:ascii="Times New Roman" w:hAnsi="Times New Roman" w:cs="Times New Roman"/>
          <w:color w:val="auto"/>
          <w:sz w:val="24"/>
          <w:szCs w:val="24"/>
        </w:rPr>
        <w:t xml:space="preserve"> в процессе осуществления аудита.</w:t>
      </w:r>
    </w:p>
    <w:p w14:paraId="2EE00326" w14:textId="2A249D2A" w:rsidR="00867162" w:rsidRPr="009523C5" w:rsidRDefault="00C40BE1" w:rsidP="00186E34">
      <w:pPr>
        <w:jc w:val="both"/>
        <w:rPr>
          <w:rStyle w:val="af2"/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40B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ООО "КУРОРТНО-ОЗДОРОВИТЕЛЬНЫЙ КОМПЛЕКС "РУСИЧ"</w:t>
      </w:r>
      <w:r w:rsidRPr="00607EEA">
        <w:rPr>
          <w:rFonts w:ascii="Times New Roman" w:hAnsi="Times New Roman" w:cs="Times New Roman"/>
          <w:sz w:val="24"/>
          <w:szCs w:val="24"/>
        </w:rPr>
        <w:t xml:space="preserve"> </w:t>
      </w:r>
      <w:r w:rsidR="00867162" w:rsidRPr="00607EE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осуществляет деятельность </w:t>
      </w:r>
      <w:r w:rsidR="00867162" w:rsidRPr="005D785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с </w:t>
      </w:r>
      <w:r w:rsidR="00607EEA" w:rsidRPr="005D785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0</w:t>
      </w:r>
      <w:r w:rsidRPr="005D785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7</w:t>
      </w:r>
      <w:r w:rsidR="00867162" w:rsidRPr="005D785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февраля 2023 г. </w:t>
      </w:r>
      <w:r w:rsidR="00867162" w:rsidRPr="005D7859"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Основной вид деятельности: </w:t>
      </w:r>
      <w:r w:rsidR="00867162" w:rsidRPr="005D7859">
        <w:rPr>
          <w:rStyle w:val="af2"/>
          <w:rFonts w:ascii="Times New Roman" w:hAnsi="Times New Roman" w:cs="Times New Roman"/>
          <w:sz w:val="24"/>
          <w:szCs w:val="24"/>
          <w:shd w:val="clear" w:color="auto" w:fill="FFFFFF"/>
        </w:rPr>
        <w:t>"Деятельность санаторно-курортных организаций"</w:t>
      </w:r>
      <w:bookmarkStart w:id="3" w:name="_Hlk213244476"/>
      <w:r w:rsidR="00656AEB" w:rsidRPr="00E72EB4">
        <w:rPr>
          <w:rStyle w:val="af2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.</w:t>
      </w:r>
    </w:p>
    <w:bookmarkEnd w:id="3"/>
    <w:p w14:paraId="26BF15A4" w14:textId="77777777" w:rsidR="000F4EF1" w:rsidRDefault="008E2414" w:rsidP="00186E34">
      <w:pPr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607EE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 </w:t>
      </w:r>
      <w:r w:rsidR="00C40BE1" w:rsidRPr="00C40B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ООО "КУРОРТНО-ОЗДОРОВИТЕЛЬНЫЙ КОМПЛЕКС "РУСИЧ"</w:t>
      </w:r>
      <w:r w:rsidR="00C40B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F4EF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филиалы и представительства отсутствуют.</w:t>
      </w:r>
      <w:r w:rsidR="005D7859" w:rsidRPr="000F4EF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</w:p>
    <w:p w14:paraId="2AB04B6E" w14:textId="251B6359" w:rsidR="008E2414" w:rsidRPr="009523C5" w:rsidRDefault="005D7859" w:rsidP="00186E34">
      <w:pPr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0F4EF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01.02.2024 г. создано и поставлено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на учет в налоговом органе обособленное подразделение, расположенное по адресу: 123376, г. Москва, Муниципальный округ Пресненский вн. тре. г., ул. Красная Пресня, д. 22, пом. 37.</w:t>
      </w:r>
    </w:p>
    <w:p w14:paraId="4CDF134E" w14:textId="2B2A6521" w:rsidR="008E2414" w:rsidRPr="00607EEA" w:rsidRDefault="008E2414" w:rsidP="00186E34">
      <w:pPr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0F4EF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 </w:t>
      </w:r>
      <w:r w:rsidR="00C40BE1" w:rsidRPr="000F4E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ООО "КУРОРТНО-ОЗДОРОВИТЕЛЬНЫЙ КОМПЛЕКС "РУСИЧ" </w:t>
      </w:r>
      <w:r w:rsidRPr="000F4EF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бухгалтерский учет ведется на программном продукте </w:t>
      </w:r>
      <w:r w:rsidR="00607EEA" w:rsidRPr="000F4EF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1</w:t>
      </w:r>
      <w:r w:rsidRPr="000F4EF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 «Бухгалтерия» 8.3 ПРОФ.</w:t>
      </w:r>
    </w:p>
    <w:p w14:paraId="1E3F8B74" w14:textId="0D449CBD" w:rsidR="008E2414" w:rsidRPr="000F4EF1" w:rsidRDefault="008E2414" w:rsidP="00186E34">
      <w:pPr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607EE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Выручка от реализации товаров, работ (услуг) в </w:t>
      </w:r>
      <w:r w:rsidR="00C40BE1" w:rsidRPr="00C40B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ООО "КУРОРТНО-ОЗДОРОВИТЕЛЬНЫЙ </w:t>
      </w:r>
      <w:r w:rsidR="00C40BE1" w:rsidRPr="000F4E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КОМПЛЕКС "РУСИЧ" </w:t>
      </w:r>
      <w:commentRangeStart w:id="4"/>
      <w:r w:rsidR="00BA72EE" w:rsidRPr="000F4EF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по состоянию на </w:t>
      </w:r>
      <w:r w:rsidR="00335425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30</w:t>
      </w:r>
      <w:r w:rsidR="00BA72EE" w:rsidRPr="000F4EF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</w:t>
      </w:r>
      <w:r w:rsidR="00335425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09</w:t>
      </w:r>
      <w:r w:rsidR="00BA72EE" w:rsidRPr="000F4EF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.202</w:t>
      </w:r>
      <w:r w:rsidR="005762A4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6</w:t>
      </w:r>
      <w:r w:rsidRPr="000F4EF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394AF9" w:rsidRPr="000F4EF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отсутствует.</w:t>
      </w:r>
      <w:commentRangeEnd w:id="4"/>
      <w:r w:rsidR="005762A4" w:rsidRPr="000F4EF1">
        <w:rPr>
          <w:rStyle w:val="ad"/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commentReference w:id="4"/>
      </w:r>
    </w:p>
    <w:p w14:paraId="26A17A93" w14:textId="22D8BEB6" w:rsidR="008E2414" w:rsidRPr="00607EEA" w:rsidRDefault="008E2414" w:rsidP="00186E34">
      <w:pPr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0F4EF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Штатная численность </w:t>
      </w:r>
      <w:r w:rsidR="00C40BE1" w:rsidRPr="000F4E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ООО "КУРОРТНО-ОЗДОРОВИТЕЛЬНЫЙ КОМПЛЕКС "РУСИЧ" </w:t>
      </w:r>
      <w:commentRangeStart w:id="5"/>
      <w:r w:rsidRPr="000F4EF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на </w:t>
      </w:r>
      <w:r w:rsidR="005762A4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30</w:t>
      </w:r>
      <w:r w:rsidRPr="000F4EF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</w:t>
      </w:r>
      <w:r w:rsidR="005762A4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09</w:t>
      </w:r>
      <w:r w:rsidRPr="000F4EF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.202</w:t>
      </w:r>
      <w:r w:rsidR="005762A4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6</w:t>
      </w:r>
      <w:r w:rsidRPr="000F4EF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г. составляет </w:t>
      </w:r>
      <w:r w:rsidR="00C40BE1" w:rsidRPr="000F4EF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6</w:t>
      </w:r>
      <w:r w:rsidRPr="000F4EF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человек</w:t>
      </w:r>
      <w:r w:rsidR="00C40BE1" w:rsidRPr="000F4EF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, из них в Обособленном подразделении </w:t>
      </w:r>
      <w:r w:rsidR="000F4EF1" w:rsidRPr="000F4EF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5</w:t>
      </w:r>
      <w:r w:rsidR="00C40BE1" w:rsidRPr="000F4EF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человек</w:t>
      </w:r>
      <w:r w:rsidRPr="000F4EF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</w:t>
      </w:r>
      <w:commentRangeEnd w:id="5"/>
      <w:r w:rsidR="005762A4" w:rsidRPr="00607EEA">
        <w:rPr>
          <w:rStyle w:val="ad"/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commentReference w:id="5"/>
      </w:r>
    </w:p>
    <w:p w14:paraId="35731132" w14:textId="2C6E8022" w:rsidR="00F0429A" w:rsidRPr="00607EEA" w:rsidRDefault="00F0429A" w:rsidP="00F0429A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7EEA">
        <w:rPr>
          <w:rFonts w:ascii="Times New Roman" w:hAnsi="Times New Roman" w:cs="Times New Roman"/>
          <w:sz w:val="24"/>
          <w:szCs w:val="24"/>
        </w:rPr>
        <w:t xml:space="preserve">2. Целью аудита является выражение мнения Аудитора о достоверности бухгалтерской (финансовой) отчетности Заказчика </w:t>
      </w:r>
      <w:r w:rsidR="002B7EDF" w:rsidRPr="00341E9E">
        <w:rPr>
          <w:rFonts w:ascii="Times New Roman" w:hAnsi="Times New Roman" w:cs="Times New Roman"/>
          <w:sz w:val="24"/>
          <w:szCs w:val="24"/>
        </w:rPr>
        <w:t>з</w:t>
      </w:r>
      <w:r w:rsidR="002B7EDF">
        <w:rPr>
          <w:rFonts w:ascii="Times New Roman" w:hAnsi="Times New Roman" w:cs="Times New Roman"/>
          <w:sz w:val="24"/>
          <w:szCs w:val="24"/>
        </w:rPr>
        <w:t>а 202</w:t>
      </w:r>
      <w:r w:rsidR="005762A4">
        <w:rPr>
          <w:rFonts w:ascii="Times New Roman" w:hAnsi="Times New Roman" w:cs="Times New Roman"/>
          <w:sz w:val="24"/>
          <w:szCs w:val="24"/>
        </w:rPr>
        <w:t>6</w:t>
      </w:r>
      <w:r w:rsidR="002B7EDF">
        <w:rPr>
          <w:rFonts w:ascii="Times New Roman" w:hAnsi="Times New Roman" w:cs="Times New Roman"/>
          <w:sz w:val="24"/>
          <w:szCs w:val="24"/>
        </w:rPr>
        <w:t xml:space="preserve"> г., </w:t>
      </w:r>
      <w:r w:rsidRPr="00607E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подготовленной в соответствии с законодательством Российской Федерации.</w:t>
      </w:r>
    </w:p>
    <w:p w14:paraId="1A6777E5" w14:textId="5C475711" w:rsidR="00F0429A" w:rsidRPr="00341E9E" w:rsidRDefault="00F0429A" w:rsidP="00F0429A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1E9E">
        <w:rPr>
          <w:rFonts w:ascii="Times New Roman" w:hAnsi="Times New Roman" w:cs="Times New Roman"/>
          <w:sz w:val="24"/>
          <w:szCs w:val="24"/>
        </w:rPr>
        <w:t xml:space="preserve">3. </w:t>
      </w:r>
      <w:r w:rsidR="000057F6" w:rsidRPr="00C65F0E">
        <w:rPr>
          <w:rFonts w:ascii="Times New Roman" w:hAnsi="Times New Roman" w:cs="Times New Roman"/>
          <w:sz w:val="24"/>
          <w:szCs w:val="24"/>
        </w:rPr>
        <w:t>При планировании, проведении аудита и коммуникациях с руководством Заказчика Аудитор должен руководствоваться</w:t>
      </w:r>
      <w:r w:rsidR="000057F6" w:rsidRPr="00C65F0E">
        <w:rPr>
          <w:rFonts w:ascii="Times New Roman" w:hAnsi="Times New Roman"/>
          <w:sz w:val="24"/>
          <w:szCs w:val="24"/>
        </w:rPr>
        <w:t xml:space="preserve"> Федеральным законом от 30.12.2008 № 307-ФЗ «Об аудиторской деятельности», </w:t>
      </w:r>
      <w:r w:rsidR="000057F6" w:rsidRPr="00C65F0E">
        <w:rPr>
          <w:rFonts w:ascii="Times New Roman" w:hAnsi="Times New Roman" w:cs="Times New Roman"/>
          <w:sz w:val="24"/>
          <w:szCs w:val="24"/>
        </w:rPr>
        <w:t>международными стандартами аудита (далее – МСА), введенными в действие на территории Российской Федерации приказом Минфина России от 09.01.2019 № 2н «О введении в действие международных стандартов аудита на территории Российской Федерации и о признании утратившими силу некоторых приказов Министерства финансов Российской Федерации» и принятыми в дополнение или изменение данного приказа распорядительные документы Минфина России, действующие на дату начала оказания услуг</w:t>
      </w:r>
      <w:r w:rsidR="000057F6">
        <w:rPr>
          <w:rFonts w:ascii="Times New Roman" w:hAnsi="Times New Roman" w:cs="Times New Roman"/>
          <w:sz w:val="24"/>
          <w:szCs w:val="24"/>
        </w:rPr>
        <w:t>.</w:t>
      </w:r>
    </w:p>
    <w:p w14:paraId="0E6F3FAC" w14:textId="77777777" w:rsidR="00F0429A" w:rsidRPr="00341E9E" w:rsidRDefault="00F0429A" w:rsidP="00F0429A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1E9E">
        <w:rPr>
          <w:rFonts w:ascii="Times New Roman" w:hAnsi="Times New Roman" w:cs="Times New Roman"/>
          <w:sz w:val="24"/>
          <w:szCs w:val="24"/>
        </w:rPr>
        <w:t>4. При подготовке и планировании аудиторских процедур необходимо исходить из принципа достаточности и уместности проведения конкретных аудиторских процедур в отношении бухгалтерской (финансовой) отчетности Заказчика.</w:t>
      </w:r>
    </w:p>
    <w:p w14:paraId="5CEA54CB" w14:textId="77777777" w:rsidR="00F0429A" w:rsidRDefault="00F0429A" w:rsidP="00F0429A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1E9E">
        <w:rPr>
          <w:rFonts w:ascii="Times New Roman" w:hAnsi="Times New Roman" w:cs="Times New Roman"/>
          <w:sz w:val="24"/>
          <w:szCs w:val="24"/>
        </w:rPr>
        <w:t xml:space="preserve">5. Аудитору следует в полном объеме исполнять установленные правила доступа на объекты Заказчика и иные внутренние правила, заблаговременно извещать руководство </w:t>
      </w:r>
      <w:r w:rsidRPr="00341E9E">
        <w:rPr>
          <w:rFonts w:ascii="Times New Roman" w:hAnsi="Times New Roman" w:cs="Times New Roman"/>
          <w:sz w:val="24"/>
          <w:szCs w:val="24"/>
        </w:rPr>
        <w:lastRenderedPageBreak/>
        <w:t>Заказчика о необходимости посещения объектов и своевременно предоставлять информацию, необходимую для организации таких работ.</w:t>
      </w:r>
    </w:p>
    <w:p w14:paraId="24C3C923" w14:textId="33E0E571" w:rsidR="00F0429A" w:rsidRPr="00C640C5" w:rsidRDefault="00FE2BD1" w:rsidP="00C640C5">
      <w:pPr>
        <w:pStyle w:val="a7"/>
        <w:numPr>
          <w:ilvl w:val="0"/>
          <w:numId w:val="6"/>
        </w:numPr>
        <w:tabs>
          <w:tab w:val="left" w:pos="1417"/>
        </w:tabs>
        <w:spacing w:after="0" w:line="240" w:lineRule="auto"/>
        <w:ind w:left="0" w:firstLine="34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Аудит </w:t>
      </w:r>
      <w:r w:rsidR="000057F6" w:rsidRPr="00FE2BD1">
        <w:rPr>
          <w:rFonts w:ascii="Times New Roman" w:hAnsi="Times New Roman"/>
          <w:sz w:val="24"/>
          <w:szCs w:val="24"/>
        </w:rPr>
        <w:t>в отношении бухгалтерской (финансовой) отчетности по РСБУ, подготовленной за период с 01 января 202</w:t>
      </w:r>
      <w:r w:rsidR="005762A4">
        <w:rPr>
          <w:rFonts w:ascii="Times New Roman" w:hAnsi="Times New Roman"/>
          <w:sz w:val="24"/>
          <w:szCs w:val="24"/>
        </w:rPr>
        <w:t>6</w:t>
      </w:r>
      <w:r w:rsidR="000057F6" w:rsidRPr="00FE2BD1">
        <w:rPr>
          <w:rFonts w:ascii="Times New Roman" w:hAnsi="Times New Roman"/>
          <w:sz w:val="24"/>
          <w:szCs w:val="24"/>
        </w:rPr>
        <w:t xml:space="preserve"> года по 31 декабря 202</w:t>
      </w:r>
      <w:r w:rsidR="005762A4">
        <w:rPr>
          <w:rFonts w:ascii="Times New Roman" w:hAnsi="Times New Roman"/>
          <w:sz w:val="24"/>
          <w:szCs w:val="24"/>
        </w:rPr>
        <w:t>6</w:t>
      </w:r>
      <w:r w:rsidR="000057F6" w:rsidRPr="00FE2BD1">
        <w:rPr>
          <w:rFonts w:ascii="Times New Roman" w:hAnsi="Times New Roman"/>
          <w:sz w:val="24"/>
          <w:szCs w:val="24"/>
        </w:rPr>
        <w:t xml:space="preserve"> года - Исполнитель обязуется провести </w:t>
      </w:r>
      <w:commentRangeStart w:id="6"/>
      <w:r w:rsidR="000057F6" w:rsidRPr="00FE2BD1">
        <w:rPr>
          <w:rFonts w:ascii="Times New Roman" w:hAnsi="Times New Roman"/>
          <w:sz w:val="24"/>
          <w:szCs w:val="24"/>
        </w:rPr>
        <w:t>в</w:t>
      </w:r>
      <w:r w:rsidR="00C640C5" w:rsidRPr="00F34792">
        <w:rPr>
          <w:rFonts w:ascii="Times New Roman" w:hAnsi="Times New Roman"/>
          <w:sz w:val="24"/>
          <w:szCs w:val="24"/>
        </w:rPr>
        <w:t xml:space="preserve"> период </w:t>
      </w:r>
      <w:r w:rsidR="00C640C5">
        <w:rPr>
          <w:rFonts w:ascii="Times New Roman" w:hAnsi="Times New Roman"/>
          <w:sz w:val="24"/>
          <w:szCs w:val="24"/>
        </w:rPr>
        <w:t xml:space="preserve">с </w:t>
      </w:r>
      <w:r w:rsidR="005762A4">
        <w:rPr>
          <w:rFonts w:ascii="Times New Roman" w:hAnsi="Times New Roman"/>
          <w:sz w:val="24"/>
          <w:szCs w:val="24"/>
        </w:rPr>
        <w:t>01.03.2027 г. по 19.03.2027 г.</w:t>
      </w:r>
      <w:r w:rsidR="00C640C5" w:rsidRPr="00FE2BD1">
        <w:rPr>
          <w:rFonts w:ascii="Times New Roman" w:hAnsi="Times New Roman"/>
          <w:sz w:val="24"/>
          <w:szCs w:val="24"/>
        </w:rPr>
        <w:t>;</w:t>
      </w:r>
      <w:commentRangeEnd w:id="6"/>
      <w:r w:rsidR="005762A4" w:rsidRPr="00C640C5">
        <w:rPr>
          <w:rStyle w:val="ad"/>
          <w:rFonts w:ascii="Times New Roman" w:hAnsi="Times New Roman"/>
          <w:sz w:val="24"/>
          <w:szCs w:val="24"/>
        </w:rPr>
        <w:commentReference w:id="6"/>
      </w:r>
    </w:p>
    <w:p w14:paraId="060811F2" w14:textId="13876E6A" w:rsidR="00F0429A" w:rsidRPr="000057F6" w:rsidRDefault="00F0429A" w:rsidP="000057F6">
      <w:pPr>
        <w:pStyle w:val="a7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7F6">
        <w:rPr>
          <w:rFonts w:ascii="Times New Roman" w:hAnsi="Times New Roman" w:cs="Times New Roman"/>
          <w:sz w:val="24"/>
          <w:szCs w:val="24"/>
        </w:rPr>
        <w:t xml:space="preserve">Задачи и подзадачи аудита: </w:t>
      </w:r>
    </w:p>
    <w:p w14:paraId="7EA5164D" w14:textId="77777777" w:rsidR="00F0429A" w:rsidRDefault="00F0429A" w:rsidP="00F0429A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1E9E">
        <w:rPr>
          <w:rFonts w:ascii="Times New Roman" w:hAnsi="Times New Roman" w:cs="Times New Roman"/>
          <w:sz w:val="24"/>
          <w:szCs w:val="24"/>
        </w:rPr>
        <w:t>Настоящее задание по аудиту бухгалтерской (финансовой) отчетности не отменяет и не заменяет процедур, которые должен выполнить Аудитор в соответствии с требованиями МСА. Настоящее задание определяет задачи, которые должны быть учтены при формировании плана аудита и результаты решения которых должны быть отражены в отчетных документах.</w:t>
      </w:r>
    </w:p>
    <w:p w14:paraId="1E557A51" w14:textId="77777777" w:rsidR="00F0429A" w:rsidRPr="00341E9E" w:rsidRDefault="00F0429A" w:rsidP="00F0429A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310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2421"/>
        <w:gridCol w:w="1004"/>
        <w:gridCol w:w="1707"/>
        <w:gridCol w:w="4249"/>
      </w:tblGrid>
      <w:tr w:rsidR="00F0429A" w:rsidRPr="00341E9E" w14:paraId="5B008DE1" w14:textId="77777777" w:rsidTr="000057F6">
        <w:trPr>
          <w:trHeight w:val="600"/>
          <w:tblHeader/>
        </w:trPr>
        <w:tc>
          <w:tcPr>
            <w:tcW w:w="273" w:type="pct"/>
            <w:vAlign w:val="center"/>
            <w:hideMark/>
          </w:tcPr>
          <w:p w14:paraId="50423018" w14:textId="77777777" w:rsidR="00F0429A" w:rsidRPr="00422096" w:rsidRDefault="00F0429A" w:rsidP="009C66D0">
            <w:pPr>
              <w:spacing w:line="240" w:lineRule="auto"/>
              <w:ind w:firstLine="29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22096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220" w:type="pct"/>
            <w:vAlign w:val="center"/>
            <w:hideMark/>
          </w:tcPr>
          <w:p w14:paraId="163BEB2D" w14:textId="77777777" w:rsidR="00F0429A" w:rsidRPr="00422096" w:rsidRDefault="00F0429A" w:rsidP="009C66D0">
            <w:pPr>
              <w:spacing w:line="240" w:lineRule="auto"/>
              <w:ind w:firstLine="27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22096">
              <w:rPr>
                <w:rFonts w:ascii="Times New Roman" w:hAnsi="Times New Roman" w:cs="Times New Roman"/>
                <w:b/>
              </w:rPr>
              <w:t>Наименование задачи</w:t>
            </w:r>
          </w:p>
        </w:tc>
        <w:tc>
          <w:tcPr>
            <w:tcW w:w="506" w:type="pct"/>
            <w:vAlign w:val="center"/>
            <w:hideMark/>
          </w:tcPr>
          <w:p w14:paraId="13B9EAC0" w14:textId="77777777" w:rsidR="00F0429A" w:rsidRPr="00422096" w:rsidRDefault="00F0429A" w:rsidP="009C66D0">
            <w:pPr>
              <w:spacing w:line="240" w:lineRule="auto"/>
              <w:ind w:firstLine="29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22096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860" w:type="pct"/>
            <w:vAlign w:val="center"/>
            <w:hideMark/>
          </w:tcPr>
          <w:p w14:paraId="5E6F9393" w14:textId="77777777" w:rsidR="00F0429A" w:rsidRPr="00422096" w:rsidRDefault="00F0429A" w:rsidP="009C66D0">
            <w:pPr>
              <w:spacing w:line="240" w:lineRule="auto"/>
              <w:ind w:hanging="6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22096">
              <w:rPr>
                <w:rFonts w:ascii="Times New Roman" w:hAnsi="Times New Roman" w:cs="Times New Roman"/>
                <w:b/>
              </w:rPr>
              <w:t>Наименование подзадачи</w:t>
            </w:r>
          </w:p>
        </w:tc>
        <w:tc>
          <w:tcPr>
            <w:tcW w:w="2142" w:type="pct"/>
            <w:vAlign w:val="center"/>
            <w:hideMark/>
          </w:tcPr>
          <w:p w14:paraId="797D67B5" w14:textId="77777777" w:rsidR="00F0429A" w:rsidRPr="00422096" w:rsidRDefault="00F0429A" w:rsidP="009C66D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22096">
              <w:rPr>
                <w:rFonts w:ascii="Times New Roman" w:hAnsi="Times New Roman" w:cs="Times New Roman"/>
                <w:b/>
              </w:rPr>
              <w:t>Последовательность решения задачи</w:t>
            </w:r>
          </w:p>
        </w:tc>
      </w:tr>
      <w:tr w:rsidR="00F0429A" w:rsidRPr="00341E9E" w14:paraId="2C4FBFD9" w14:textId="77777777" w:rsidTr="000057F6">
        <w:trPr>
          <w:trHeight w:val="600"/>
        </w:trPr>
        <w:tc>
          <w:tcPr>
            <w:tcW w:w="273" w:type="pct"/>
            <w:vAlign w:val="center"/>
            <w:hideMark/>
          </w:tcPr>
          <w:p w14:paraId="3F4FC5C8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20" w:type="pct"/>
            <w:vAlign w:val="center"/>
            <w:hideMark/>
          </w:tcPr>
          <w:p w14:paraId="726369B6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учредительных документов Заказчика </w:t>
            </w:r>
          </w:p>
        </w:tc>
        <w:tc>
          <w:tcPr>
            <w:tcW w:w="506" w:type="pct"/>
            <w:vAlign w:val="center"/>
            <w:hideMark/>
          </w:tcPr>
          <w:p w14:paraId="6ADB6612" w14:textId="77777777" w:rsidR="00F0429A" w:rsidRPr="00CB643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60" w:type="pct"/>
            <w:vAlign w:val="center"/>
            <w:hideMark/>
          </w:tcPr>
          <w:p w14:paraId="7DE7C396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2" w:type="pct"/>
            <w:vAlign w:val="center"/>
            <w:hideMark/>
          </w:tcPr>
          <w:p w14:paraId="3F4745DB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Проверить соответствие устава Заказчика и других учредительных документов действующему законодательству.</w:t>
            </w:r>
          </w:p>
        </w:tc>
      </w:tr>
      <w:tr w:rsidR="00F0429A" w:rsidRPr="00341E9E" w14:paraId="0F67D551" w14:textId="77777777" w:rsidTr="000057F6">
        <w:trPr>
          <w:trHeight w:val="1200"/>
        </w:trPr>
        <w:tc>
          <w:tcPr>
            <w:tcW w:w="273" w:type="pct"/>
            <w:vAlign w:val="center"/>
            <w:hideMark/>
          </w:tcPr>
          <w:p w14:paraId="0A7FA0C8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20" w:type="pct"/>
            <w:vAlign w:val="center"/>
            <w:hideMark/>
          </w:tcPr>
          <w:p w14:paraId="5D47CDEE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учетной политики Заказчика для целей бухгалтерского учета и для целей налогообложения</w:t>
            </w:r>
          </w:p>
        </w:tc>
        <w:tc>
          <w:tcPr>
            <w:tcW w:w="506" w:type="pct"/>
            <w:vAlign w:val="center"/>
            <w:hideMark/>
          </w:tcPr>
          <w:p w14:paraId="26B402EC" w14:textId="77777777" w:rsidR="00F0429A" w:rsidRPr="00422096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  <w:hideMark/>
          </w:tcPr>
          <w:p w14:paraId="62E0DAF1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2" w:type="pct"/>
            <w:vAlign w:val="center"/>
            <w:hideMark/>
          </w:tcPr>
          <w:p w14:paraId="673C4D21" w14:textId="005D6F31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Проверить </w:t>
            </w:r>
            <w:r w:rsidRPr="00341E9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полноту и соответствие законодательству Российский Федерации (далее - РФ) правил бухучета, принятых в </w:t>
            </w:r>
            <w:r w:rsidR="003B12D3" w:rsidRPr="003B12D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ООО "КУРОРТНО-ОЗДОРОВИТЕЛЬНЫЙ КОМПЛЕКС "РУСИЧ",</w:t>
            </w:r>
            <w:r w:rsidR="003B12D3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 </w:t>
            </w:r>
            <w:r w:rsidRPr="00341E9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 также корректность их применения</w:t>
            </w:r>
          </w:p>
        </w:tc>
      </w:tr>
      <w:tr w:rsidR="00F0429A" w:rsidRPr="00341E9E" w14:paraId="35E9E947" w14:textId="77777777" w:rsidTr="000057F6">
        <w:trPr>
          <w:trHeight w:val="1692"/>
        </w:trPr>
        <w:tc>
          <w:tcPr>
            <w:tcW w:w="273" w:type="pct"/>
            <w:vMerge w:val="restart"/>
            <w:vAlign w:val="center"/>
            <w:hideMark/>
          </w:tcPr>
          <w:p w14:paraId="1D6F2E3D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20" w:type="pct"/>
            <w:vMerge w:val="restart"/>
            <w:vAlign w:val="center"/>
            <w:hideMark/>
          </w:tcPr>
          <w:p w14:paraId="4D4D9B46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внеоборотных активов </w:t>
            </w:r>
          </w:p>
        </w:tc>
        <w:tc>
          <w:tcPr>
            <w:tcW w:w="506" w:type="pct"/>
            <w:vAlign w:val="center"/>
            <w:hideMark/>
          </w:tcPr>
          <w:p w14:paraId="354AA05A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860" w:type="pct"/>
            <w:vAlign w:val="center"/>
            <w:hideMark/>
          </w:tcPr>
          <w:p w14:paraId="0AF660F5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Общие вопросы</w:t>
            </w:r>
          </w:p>
        </w:tc>
        <w:tc>
          <w:tcPr>
            <w:tcW w:w="2142" w:type="pct"/>
            <w:vAlign w:val="center"/>
            <w:hideMark/>
          </w:tcPr>
          <w:p w14:paraId="28F25CB0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74DAA2ED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правильность оформления материалов инвентаризации внеоборотных активов и отражения результатов инвентаризации в учете и отчетности;</w:t>
            </w:r>
          </w:p>
          <w:p w14:paraId="02A959E2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полноту и правильность выделения и распределения незавершенных капитальных вложений и авансов, выданных на внеоборотные активы, в соответствующие статьи раздела «Внеоборотные активы» бухгалтерского баланса.</w:t>
            </w:r>
          </w:p>
        </w:tc>
      </w:tr>
      <w:tr w:rsidR="00F0429A" w:rsidRPr="00341E9E" w14:paraId="5C37DB95" w14:textId="77777777" w:rsidTr="000057F6">
        <w:trPr>
          <w:trHeight w:val="1338"/>
        </w:trPr>
        <w:tc>
          <w:tcPr>
            <w:tcW w:w="273" w:type="pct"/>
            <w:vMerge/>
            <w:vAlign w:val="center"/>
            <w:hideMark/>
          </w:tcPr>
          <w:p w14:paraId="69A708C8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4808D625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160C1C17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860" w:type="pct"/>
            <w:vAlign w:val="center"/>
            <w:hideMark/>
          </w:tcPr>
          <w:p w14:paraId="699E5F3E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капитальных вложений </w:t>
            </w:r>
          </w:p>
          <w:p w14:paraId="7BB8B2E6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2" w:type="pct"/>
            <w:vAlign w:val="center"/>
            <w:hideMark/>
          </w:tcPr>
          <w:p w14:paraId="77B4188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531E510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а) правильность определения балансовой стоимости объектов; </w:t>
            </w:r>
          </w:p>
          <w:p w14:paraId="4D1867B8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правильность аналитического и синтетического учета объектов;</w:t>
            </w:r>
          </w:p>
          <w:p w14:paraId="3C4FCB52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54ED9412" w14:textId="77777777" w:rsidTr="000057F6">
        <w:trPr>
          <w:trHeight w:val="2437"/>
        </w:trPr>
        <w:tc>
          <w:tcPr>
            <w:tcW w:w="273" w:type="pct"/>
            <w:vMerge/>
            <w:vAlign w:val="center"/>
            <w:hideMark/>
          </w:tcPr>
          <w:p w14:paraId="65EFD851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3D4A7890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6CFFFDAF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860" w:type="pct"/>
            <w:vAlign w:val="center"/>
            <w:hideMark/>
          </w:tcPr>
          <w:p w14:paraId="33B40674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основных средств </w:t>
            </w:r>
          </w:p>
        </w:tc>
        <w:tc>
          <w:tcPr>
            <w:tcW w:w="2142" w:type="pct"/>
            <w:vAlign w:val="center"/>
            <w:hideMark/>
          </w:tcPr>
          <w:p w14:paraId="1C686EED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6D744B51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а) наличие и сохранность основных средств; </w:t>
            </w:r>
          </w:p>
          <w:p w14:paraId="217A5EBC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б) правильность отражения в учете капитального ремонта основных средств; </w:t>
            </w:r>
          </w:p>
          <w:p w14:paraId="6E9112F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в) правильность начисления амортизации; </w:t>
            </w:r>
          </w:p>
          <w:p w14:paraId="4E9137D7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г) правильность определения балансовой стоимости основных средств; </w:t>
            </w:r>
          </w:p>
          <w:p w14:paraId="3418103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д) правильность отражения в учете операций поступления, внутреннего перемещения и выбытия основных средств; </w:t>
            </w:r>
          </w:p>
          <w:p w14:paraId="1A33EBE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е)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7C99ECA4" w14:textId="77777777" w:rsidTr="000057F6">
        <w:trPr>
          <w:trHeight w:val="1229"/>
        </w:trPr>
        <w:tc>
          <w:tcPr>
            <w:tcW w:w="273" w:type="pct"/>
            <w:vMerge/>
            <w:vAlign w:val="center"/>
            <w:hideMark/>
          </w:tcPr>
          <w:p w14:paraId="39565540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40114281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713128ED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860" w:type="pct"/>
            <w:vAlign w:val="center"/>
            <w:hideMark/>
          </w:tcPr>
          <w:p w14:paraId="05FBF2AE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государственной регистрации прав на недвижимое имущество</w:t>
            </w:r>
          </w:p>
        </w:tc>
        <w:tc>
          <w:tcPr>
            <w:tcW w:w="2142" w:type="pct"/>
            <w:vAlign w:val="center"/>
            <w:hideMark/>
          </w:tcPr>
          <w:p w14:paraId="2D99A3F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7A337797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правильность оформления государственной регистрации прав на недвижимое имущество;</w:t>
            </w:r>
          </w:p>
          <w:p w14:paraId="237FE5A7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правильность, полноту и обоснованность начисления резерва по длительно неиспользуемым незавершенным капитальным вложениям.</w:t>
            </w:r>
          </w:p>
        </w:tc>
      </w:tr>
      <w:tr w:rsidR="00F0429A" w:rsidRPr="00341E9E" w14:paraId="04829BE4" w14:textId="77777777" w:rsidTr="000057F6">
        <w:trPr>
          <w:trHeight w:val="1500"/>
        </w:trPr>
        <w:tc>
          <w:tcPr>
            <w:tcW w:w="273" w:type="pct"/>
            <w:vMerge/>
            <w:vAlign w:val="center"/>
            <w:hideMark/>
          </w:tcPr>
          <w:p w14:paraId="38183987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1463C3E4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525EBF1E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860" w:type="pct"/>
            <w:vAlign w:val="center"/>
            <w:hideMark/>
          </w:tcPr>
          <w:p w14:paraId="17D6D212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доходных вложений в материальные ценности </w:t>
            </w:r>
          </w:p>
        </w:tc>
        <w:tc>
          <w:tcPr>
            <w:tcW w:w="2142" w:type="pct"/>
            <w:vAlign w:val="center"/>
            <w:hideMark/>
          </w:tcPr>
          <w:p w14:paraId="2745ACCB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Проверить и подтвердить: </w:t>
            </w:r>
          </w:p>
          <w:p w14:paraId="3702C0B0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правильность оформления материалов инвентаризации доходных вложений в материальные ценности и отражения результатов инвентаризации в учете;</w:t>
            </w:r>
          </w:p>
          <w:p w14:paraId="7FA6EAB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правильность отражения в учете операций по доходным вложениям в материальные ценности;</w:t>
            </w:r>
          </w:p>
          <w:p w14:paraId="418752F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правильность синтетического и аналитического учета доходных вложений в материальные ценности;</w:t>
            </w:r>
          </w:p>
          <w:p w14:paraId="7F86712B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правильность определения балансовой стоимости доходных вложений в материальные ценности;</w:t>
            </w:r>
          </w:p>
          <w:p w14:paraId="63B07B9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304B8177" w14:textId="77777777" w:rsidTr="000057F6">
        <w:trPr>
          <w:trHeight w:val="1027"/>
        </w:trPr>
        <w:tc>
          <w:tcPr>
            <w:tcW w:w="273" w:type="pct"/>
            <w:vMerge/>
            <w:vAlign w:val="center"/>
            <w:hideMark/>
          </w:tcPr>
          <w:p w14:paraId="21A31E3F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09CC1502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754E9117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860" w:type="pct"/>
            <w:vAlign w:val="center"/>
            <w:hideMark/>
          </w:tcPr>
          <w:p w14:paraId="6221155E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нематериальных активов (НМА) </w:t>
            </w:r>
          </w:p>
        </w:tc>
        <w:tc>
          <w:tcPr>
            <w:tcW w:w="2142" w:type="pct"/>
            <w:vAlign w:val="center"/>
            <w:hideMark/>
          </w:tcPr>
          <w:p w14:paraId="2A3D9449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Проверить и подтвердить: </w:t>
            </w:r>
          </w:p>
          <w:p w14:paraId="176E85E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правильность синтетического и аналитического учета НМА;</w:t>
            </w:r>
          </w:p>
          <w:p w14:paraId="06135FB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746B35F5" w14:textId="77777777" w:rsidTr="000057F6">
        <w:trPr>
          <w:trHeight w:val="1200"/>
        </w:trPr>
        <w:tc>
          <w:tcPr>
            <w:tcW w:w="273" w:type="pct"/>
            <w:vAlign w:val="center"/>
          </w:tcPr>
          <w:p w14:paraId="5BB27C7C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0" w:type="pct"/>
            <w:vAlign w:val="center"/>
          </w:tcPr>
          <w:p w14:paraId="695E7B1C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долгосрочных активов к продаже</w:t>
            </w:r>
          </w:p>
        </w:tc>
        <w:tc>
          <w:tcPr>
            <w:tcW w:w="506" w:type="pct"/>
            <w:vAlign w:val="center"/>
          </w:tcPr>
          <w:p w14:paraId="68A5C7BF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</w:tcPr>
          <w:p w14:paraId="3AECDDC7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2" w:type="pct"/>
            <w:vAlign w:val="center"/>
          </w:tcPr>
          <w:p w14:paraId="2C04EAA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53AA7D21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наличие и сохранность долгосрочных активов к продаже;</w:t>
            </w:r>
          </w:p>
          <w:p w14:paraId="4E8F35E0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б) правильность оформления материалов инвентаризации долгосрочных активов к </w:t>
            </w:r>
            <w:r w:rsidRPr="00341E9E">
              <w:rPr>
                <w:rFonts w:ascii="Times New Roman" w:hAnsi="Times New Roman" w:cs="Times New Roman"/>
              </w:rPr>
              <w:lastRenderedPageBreak/>
              <w:t>продаже и отражения результатов инвентаризации в учете;</w:t>
            </w:r>
          </w:p>
          <w:p w14:paraId="6712B8E0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правильность синтетического и аналитического учета долгосрочных активов к продаже;</w:t>
            </w:r>
          </w:p>
          <w:p w14:paraId="544B55CC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правильность определения балансовой стоимости долгосрочных активов к продаже;</w:t>
            </w:r>
          </w:p>
          <w:p w14:paraId="6927469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правильность отражения в учете операций поступления, внутреннего перемещения и выбытия долгосрочных активов к продаже;</w:t>
            </w:r>
          </w:p>
          <w:p w14:paraId="22CB82F2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0DDB29AC" w14:textId="77777777" w:rsidTr="000057F6">
        <w:trPr>
          <w:trHeight w:val="1200"/>
        </w:trPr>
        <w:tc>
          <w:tcPr>
            <w:tcW w:w="273" w:type="pct"/>
            <w:vAlign w:val="center"/>
          </w:tcPr>
          <w:p w14:paraId="5001F31C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220" w:type="pct"/>
            <w:vAlign w:val="center"/>
          </w:tcPr>
          <w:p w14:paraId="75D863CB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запасов</w:t>
            </w:r>
          </w:p>
        </w:tc>
        <w:tc>
          <w:tcPr>
            <w:tcW w:w="506" w:type="pct"/>
            <w:vAlign w:val="center"/>
          </w:tcPr>
          <w:p w14:paraId="09794ECC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</w:tcPr>
          <w:p w14:paraId="0DD098E4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2" w:type="pct"/>
            <w:vAlign w:val="center"/>
          </w:tcPr>
          <w:p w14:paraId="16861FD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327F8F9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а) правильность оформления материалов инвентаризации производственных запасов и отражения результатов инвентаризации в учете; </w:t>
            </w:r>
          </w:p>
          <w:p w14:paraId="62B42E3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б) правильность определения и списания на издержки стоимости израсходованных запасов; </w:t>
            </w:r>
          </w:p>
          <w:p w14:paraId="355E64E0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в) правильность синтетического и аналитического учета запасов; </w:t>
            </w:r>
          </w:p>
          <w:p w14:paraId="0150BE3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г) соответствие фактически используемых способов оценки по отдельным группам материальных ценностей при их выбытии способам, предусмотренным учетной политикой; </w:t>
            </w:r>
          </w:p>
          <w:p w14:paraId="119F145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д) правильность порядка списания отклонений фактических расходов по приобретению материальных ценностей от их учетной цены (при использовании счетов 15 и 16); </w:t>
            </w:r>
          </w:p>
          <w:p w14:paraId="1EDBE97B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е) правильность порядка списания торговой наценки, относящейся к проданным товарам (при использовании способа учета товаров по продажной стоимости);</w:t>
            </w:r>
          </w:p>
          <w:p w14:paraId="7598E889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ж) правильность, полноту и обоснованность начисления резерва под снижение стоимости запасов;</w:t>
            </w:r>
          </w:p>
          <w:p w14:paraId="061DD7F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з) корректность отнесения мастер-планов к запасам и определения их балансовой стоимости; </w:t>
            </w:r>
          </w:p>
          <w:p w14:paraId="41F2776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4A88B11D" w14:textId="77777777" w:rsidTr="000057F6">
        <w:trPr>
          <w:trHeight w:val="2400"/>
        </w:trPr>
        <w:tc>
          <w:tcPr>
            <w:tcW w:w="273" w:type="pct"/>
            <w:vMerge w:val="restart"/>
            <w:vAlign w:val="center"/>
            <w:hideMark/>
          </w:tcPr>
          <w:p w14:paraId="2BDA6601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220" w:type="pct"/>
            <w:vMerge w:val="restart"/>
            <w:vAlign w:val="center"/>
            <w:hideMark/>
          </w:tcPr>
          <w:p w14:paraId="748808E1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затрат на производство </w:t>
            </w:r>
          </w:p>
        </w:tc>
        <w:tc>
          <w:tcPr>
            <w:tcW w:w="506" w:type="pct"/>
            <w:vAlign w:val="center"/>
            <w:hideMark/>
          </w:tcPr>
          <w:p w14:paraId="21C99BBF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860" w:type="pct"/>
            <w:vAlign w:val="center"/>
            <w:hideMark/>
          </w:tcPr>
          <w:p w14:paraId="4E68B98A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затрат для целей бухгалтерского учета</w:t>
            </w:r>
          </w:p>
        </w:tc>
        <w:tc>
          <w:tcPr>
            <w:tcW w:w="2142" w:type="pct"/>
            <w:vAlign w:val="center"/>
            <w:hideMark/>
          </w:tcPr>
          <w:p w14:paraId="22A2C418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Проверка и подтверждение достоверности отчетных данных о фактической себестоимости продукции (работ, услуг);</w:t>
            </w:r>
          </w:p>
          <w:p w14:paraId="594981D7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б) Анализ выполнения плана по себестоимости продукции (работ, услуг); </w:t>
            </w:r>
          </w:p>
          <w:p w14:paraId="74070CFD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Аудит себестоимости продукции (работ, услуг) по статьям затрат, оговариваемым отраслевыми инструкциями по учету затрат на производство и калькулированию себестоимости продукции (работ, услуг);</w:t>
            </w:r>
          </w:p>
          <w:p w14:paraId="4D8A37B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Проверка и подтверждение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6C8729CC" w14:textId="77777777" w:rsidTr="000057F6">
        <w:trPr>
          <w:trHeight w:val="4492"/>
        </w:trPr>
        <w:tc>
          <w:tcPr>
            <w:tcW w:w="273" w:type="pct"/>
            <w:vMerge/>
            <w:vAlign w:val="center"/>
            <w:hideMark/>
          </w:tcPr>
          <w:p w14:paraId="78FF7781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7B98851F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253800CE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860" w:type="pct"/>
            <w:vAlign w:val="center"/>
            <w:hideMark/>
          </w:tcPr>
          <w:p w14:paraId="7083B321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расходов для целей налогообложения</w:t>
            </w:r>
          </w:p>
        </w:tc>
        <w:tc>
          <w:tcPr>
            <w:tcW w:w="2142" w:type="pct"/>
            <w:vAlign w:val="center"/>
            <w:hideMark/>
          </w:tcPr>
          <w:p w14:paraId="077BE018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3650A9CC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а) правильность исчисления материальных расходов, предусмотренных ст. 254 НК РФ; </w:t>
            </w:r>
          </w:p>
          <w:p w14:paraId="4F8ECFF9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б) правильность исчисления расходов на оплату труда, предусмотренных ст. 255 НК РФ; </w:t>
            </w:r>
          </w:p>
          <w:p w14:paraId="34CD6DA2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в) правильность формирования состава амортизируемого имущества и определения его первоначальной стоимости в соответствии со ст. 256 и 257 НК РФ; </w:t>
            </w:r>
          </w:p>
          <w:p w14:paraId="47F3A217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г) правильность включения амортизируемого имущества в состав амортизационных групп в соответствии со ст. 258 НК РФ и постановлением Правительства Российской Федерации от 01.01.2002 N 1; </w:t>
            </w:r>
          </w:p>
          <w:p w14:paraId="689E15B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д) правильность расчета сумм амортизации в соответствии со ст. 259 НК РФ; </w:t>
            </w:r>
          </w:p>
          <w:p w14:paraId="13B3BA4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е) правильность включения в состав затрат аудируемого периода расходов на ремонт основных средств в соответствии со ст. 260 НК РФ; </w:t>
            </w:r>
          </w:p>
          <w:p w14:paraId="70FE742F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ж) правильность признания расходов на освоение природных ресурсов и соблюдение порядка их учета в соответствии со ст. 261 НК РФ;</w:t>
            </w:r>
          </w:p>
          <w:p w14:paraId="6CBC1DF7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з) правильность признания расходов на научно-исследовательские и (или) опытно-конструкторские разработки и соблюдение порядка их учета в соответствии со ст. 262 НК РФ; </w:t>
            </w:r>
          </w:p>
          <w:p w14:paraId="07D68658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и) обоснованность расходов на обязательное и добровольное страхование имущества в соответствии со ст. 263 НК РФ; </w:t>
            </w:r>
          </w:p>
          <w:p w14:paraId="4BEC89F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к) правильность списания на себестоимость прочих расходов, </w:t>
            </w:r>
            <w:r w:rsidRPr="00341E9E">
              <w:rPr>
                <w:rFonts w:ascii="Times New Roman" w:hAnsi="Times New Roman" w:cs="Times New Roman"/>
              </w:rPr>
              <w:lastRenderedPageBreak/>
              <w:t xml:space="preserve">связанных с производством и (или) реализацией (ст. 264 НК РФ); </w:t>
            </w:r>
          </w:p>
          <w:p w14:paraId="4C75210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л) правильность списания прочих расходов, связанных с производством и (или) реализацией (ст. 265 НК РФ); </w:t>
            </w:r>
          </w:p>
          <w:p w14:paraId="44808C51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м) правильность формирования и использования расходов на формирование резервов по сомнительным долгам (ст. 266 НК РФ);</w:t>
            </w:r>
          </w:p>
          <w:p w14:paraId="1293CE8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н) правильность образования и использования расходов на формирование резерва по гарантийному ремонту и гарантийному обслуживанию (ст. 267 НК РФ); </w:t>
            </w:r>
          </w:p>
          <w:p w14:paraId="4B67C9D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о) правильность определения расходов при реализации товаров и имущества (ст. 268 НК РФ); </w:t>
            </w:r>
          </w:p>
          <w:p w14:paraId="67B830E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п) правильность отнесения процентов по долговым обязательствам к расходам (ст. 269 НК РФ); </w:t>
            </w:r>
          </w:p>
          <w:p w14:paraId="2038CCEF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р) правильность определения расходов, не учитываемых в целях налогообложения (ст. 270 НК РФ);</w:t>
            </w:r>
          </w:p>
          <w:p w14:paraId="3E1ABD7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с) правильность учета доходов, расходов и финансовых результатов по операциям с ценными бумагами, финансовыми инструментами срочных сделок (ст. 280, 284, 284.2, 301, 302, 303, 304, 305 НК РФ);</w:t>
            </w:r>
          </w:p>
          <w:p w14:paraId="22E2A957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т) правильность переноса убытков на будущее (ст. 283 НК РФ).</w:t>
            </w:r>
          </w:p>
        </w:tc>
      </w:tr>
      <w:tr w:rsidR="00F0429A" w:rsidRPr="00341E9E" w14:paraId="197F469A" w14:textId="77777777" w:rsidTr="000057F6">
        <w:trPr>
          <w:trHeight w:val="4775"/>
        </w:trPr>
        <w:tc>
          <w:tcPr>
            <w:tcW w:w="273" w:type="pct"/>
            <w:vMerge/>
            <w:vAlign w:val="center"/>
            <w:hideMark/>
          </w:tcPr>
          <w:p w14:paraId="185B63FC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05176B2E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6E7772C3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860" w:type="pct"/>
            <w:vAlign w:val="center"/>
            <w:hideMark/>
          </w:tcPr>
          <w:p w14:paraId="777AA5BD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расходов будущих периодов</w:t>
            </w:r>
          </w:p>
        </w:tc>
        <w:tc>
          <w:tcPr>
            <w:tcW w:w="2142" w:type="pct"/>
            <w:vAlign w:val="center"/>
            <w:hideMark/>
          </w:tcPr>
          <w:p w14:paraId="37352A17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0D9C738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правильность оформления результатов инвентаризации расходов будущих периодов;</w:t>
            </w:r>
          </w:p>
          <w:p w14:paraId="460893E0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состав расходов будущих периодов;</w:t>
            </w:r>
          </w:p>
          <w:p w14:paraId="521DDB0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расчет распределения расходов будущих периодов по отчетным периодам;</w:t>
            </w:r>
          </w:p>
          <w:p w14:paraId="5E698A6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полноту и правильность отражения в синтетическом и аналитическом учете операций по учету расходов будущих периодов;</w:t>
            </w:r>
          </w:p>
          <w:p w14:paraId="11EF0429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75251DD0" w14:textId="77777777" w:rsidTr="000057F6">
        <w:trPr>
          <w:trHeight w:val="2546"/>
        </w:trPr>
        <w:tc>
          <w:tcPr>
            <w:tcW w:w="273" w:type="pct"/>
            <w:vMerge/>
            <w:vAlign w:val="center"/>
            <w:hideMark/>
          </w:tcPr>
          <w:p w14:paraId="42C45424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00DCCCE3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31ACD1D8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860" w:type="pct"/>
            <w:vAlign w:val="center"/>
            <w:hideMark/>
          </w:tcPr>
          <w:p w14:paraId="4DFB19D8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правильности отражения учета доходов и затрат по выделяемым видам деятельности</w:t>
            </w:r>
          </w:p>
        </w:tc>
        <w:tc>
          <w:tcPr>
            <w:tcW w:w="2142" w:type="pct"/>
            <w:vAlign w:val="center"/>
            <w:hideMark/>
          </w:tcPr>
          <w:p w14:paraId="351B58A9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Проверить и подтвердить правильность отражения учета доходов и затрат по выделяемым видам деятельности.</w:t>
            </w:r>
          </w:p>
        </w:tc>
      </w:tr>
      <w:tr w:rsidR="00F0429A" w:rsidRPr="00341E9E" w14:paraId="640AD4F5" w14:textId="77777777" w:rsidTr="000057F6">
        <w:trPr>
          <w:trHeight w:val="2517"/>
        </w:trPr>
        <w:tc>
          <w:tcPr>
            <w:tcW w:w="273" w:type="pct"/>
            <w:vMerge/>
            <w:vAlign w:val="center"/>
            <w:hideMark/>
          </w:tcPr>
          <w:p w14:paraId="2BF5AD46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0B0521E3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5EF1B191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860" w:type="pct"/>
            <w:vAlign w:val="center"/>
            <w:hideMark/>
          </w:tcPr>
          <w:p w14:paraId="7935F90A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незавершенного производства</w:t>
            </w:r>
          </w:p>
        </w:tc>
        <w:tc>
          <w:tcPr>
            <w:tcW w:w="2142" w:type="pct"/>
            <w:vAlign w:val="center"/>
            <w:hideMark/>
          </w:tcPr>
          <w:p w14:paraId="269FEE0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607AF32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правильность расчета незавершенного производства;</w:t>
            </w:r>
          </w:p>
          <w:p w14:paraId="67D022D8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соответствие расчета незавершенного производства положениям принятой учетной политики;</w:t>
            </w:r>
          </w:p>
          <w:p w14:paraId="36D5B15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отражение незавершенного производства в бухгалтерском учете;</w:t>
            </w:r>
          </w:p>
          <w:p w14:paraId="3F00BCD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порядок проведения инвентаризации незавершенного производства и отражения результатов инвентаризации в учете;</w:t>
            </w:r>
          </w:p>
          <w:p w14:paraId="1A58FEA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правильность синтетического и аналитического учета незавершенного производства;</w:t>
            </w:r>
          </w:p>
          <w:p w14:paraId="632D831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е) правильность определения балансовой стоимости незавершенного производства.</w:t>
            </w:r>
          </w:p>
        </w:tc>
      </w:tr>
      <w:tr w:rsidR="00F0429A" w:rsidRPr="00341E9E" w14:paraId="6C0B2224" w14:textId="77777777" w:rsidTr="000057F6">
        <w:trPr>
          <w:trHeight w:val="13721"/>
        </w:trPr>
        <w:tc>
          <w:tcPr>
            <w:tcW w:w="273" w:type="pct"/>
            <w:vMerge w:val="restart"/>
            <w:vAlign w:val="center"/>
            <w:hideMark/>
          </w:tcPr>
          <w:p w14:paraId="0E989F69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220" w:type="pct"/>
            <w:vMerge w:val="restart"/>
            <w:vAlign w:val="center"/>
            <w:hideMark/>
          </w:tcPr>
          <w:p w14:paraId="102841E9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денежных средств и денежных эквивалентов </w:t>
            </w:r>
          </w:p>
        </w:tc>
        <w:tc>
          <w:tcPr>
            <w:tcW w:w="506" w:type="pct"/>
            <w:vAlign w:val="center"/>
          </w:tcPr>
          <w:p w14:paraId="7375350C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860" w:type="pct"/>
            <w:vAlign w:val="center"/>
          </w:tcPr>
          <w:p w14:paraId="72811068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операций по расчетным счетам в рублях и иностранной валюте</w:t>
            </w:r>
          </w:p>
        </w:tc>
        <w:tc>
          <w:tcPr>
            <w:tcW w:w="2142" w:type="pct"/>
            <w:vAlign w:val="center"/>
          </w:tcPr>
          <w:p w14:paraId="5C5F5A2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определение сведений о расчетных счетах, открытых в банках;</w:t>
            </w:r>
          </w:p>
          <w:p w14:paraId="51121AB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проверка соответствия порядка ведения операций по расчетным счетам положению о безналичных расчетах в РФ и валютному законодательству;</w:t>
            </w:r>
          </w:p>
          <w:p w14:paraId="3E9830E1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проверка состояния учета и контроля за операциями на счетах в банке;</w:t>
            </w:r>
          </w:p>
          <w:p w14:paraId="6F98035F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проверка полноты и правильности отражения в учете операций по расчетным и иным счетам;</w:t>
            </w:r>
          </w:p>
          <w:p w14:paraId="35C6595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проверка правильности оформления материалов инвентаризации денежных средств в кредитных организациях и отражения результатов инвентаризации в учете;</w:t>
            </w:r>
          </w:p>
          <w:p w14:paraId="155DFB9B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е) проверка соответствия данных бухгалтерского учета об остатках по счетам учета денежных средств с подтверждениями банков;</w:t>
            </w:r>
          </w:p>
          <w:p w14:paraId="518A2819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ж) проверка правильности применения курсов валют при расчете рублевой оценки денежных средств в иностранной валюте;</w:t>
            </w:r>
          </w:p>
          <w:p w14:paraId="3C31292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з) проверка наличия остатков денежных средств в неплатежеспособных банках и полноты признания кредитных убытков;</w:t>
            </w:r>
          </w:p>
          <w:p w14:paraId="4505012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и) проверка полноты и правильности распределения остатков и оборотов (если применимо) по счетам в соответствующие строки отчетности. </w:t>
            </w:r>
          </w:p>
        </w:tc>
      </w:tr>
      <w:tr w:rsidR="00F0429A" w:rsidRPr="00341E9E" w14:paraId="596210BB" w14:textId="77777777" w:rsidTr="000057F6">
        <w:trPr>
          <w:trHeight w:val="5484"/>
        </w:trPr>
        <w:tc>
          <w:tcPr>
            <w:tcW w:w="273" w:type="pct"/>
            <w:vMerge/>
            <w:vAlign w:val="center"/>
            <w:hideMark/>
          </w:tcPr>
          <w:p w14:paraId="0229B685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154BAE1D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13633EF2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860" w:type="pct"/>
            <w:vAlign w:val="center"/>
            <w:hideMark/>
          </w:tcPr>
          <w:p w14:paraId="61727B11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операций по специальным счетам </w:t>
            </w:r>
          </w:p>
        </w:tc>
        <w:tc>
          <w:tcPr>
            <w:tcW w:w="2142" w:type="pct"/>
            <w:vAlign w:val="center"/>
            <w:hideMark/>
          </w:tcPr>
          <w:p w14:paraId="7FE81B01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проверка правильности бухгалтерского учета операций по специальным счетам;</w:t>
            </w:r>
          </w:p>
          <w:p w14:paraId="066101C8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проверка наличия остатков по специальным счетам;</w:t>
            </w:r>
          </w:p>
          <w:p w14:paraId="528E186B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сверка остатков по специальным счетам с подтверждающими документами;</w:t>
            </w:r>
          </w:p>
          <w:p w14:paraId="304B94A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проверка правильности ведения раздельного учета и использования денежных средств, полученных из федерального бюджета, Фонда национального благосостояния;</w:t>
            </w:r>
          </w:p>
          <w:p w14:paraId="5E92344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проверка правильности оформления материалов инвентаризации операций по специальным счетам и отражения результатов инвентаризации в учете;</w:t>
            </w:r>
          </w:p>
          <w:p w14:paraId="29EBE2A1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е) проверка правильности синтетического и аналитического учета операций по специальным счетам.</w:t>
            </w:r>
          </w:p>
        </w:tc>
      </w:tr>
      <w:tr w:rsidR="00F0429A" w:rsidRPr="00341E9E" w14:paraId="66DB254A" w14:textId="77777777" w:rsidTr="000057F6">
        <w:trPr>
          <w:trHeight w:val="1500"/>
        </w:trPr>
        <w:tc>
          <w:tcPr>
            <w:tcW w:w="273" w:type="pct"/>
            <w:vMerge/>
            <w:vAlign w:val="center"/>
            <w:hideMark/>
          </w:tcPr>
          <w:p w14:paraId="2228B266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0E50AC14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47E63782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860" w:type="pct"/>
            <w:vAlign w:val="center"/>
            <w:hideMark/>
          </w:tcPr>
          <w:p w14:paraId="65EC5190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денежных средств в пути </w:t>
            </w:r>
          </w:p>
        </w:tc>
        <w:tc>
          <w:tcPr>
            <w:tcW w:w="2142" w:type="pct"/>
            <w:vAlign w:val="center"/>
            <w:hideMark/>
          </w:tcPr>
          <w:p w14:paraId="3601EB4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02AB3D0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состояние учета и контроля за денежными средствами в пути;</w:t>
            </w:r>
          </w:p>
          <w:p w14:paraId="7E5157FC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полноту и правильность отражения в учете денежных средств в пути;</w:t>
            </w:r>
          </w:p>
          <w:p w14:paraId="11A956F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полноту зачисления денежных средств в пути на счета в банках после отчетной даты, полноту признания убытков от незачисления денежных средств в неплатежеспособных кредитных организациях;</w:t>
            </w:r>
          </w:p>
          <w:p w14:paraId="2879E1E0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2A6E88BB" w14:textId="77777777" w:rsidTr="000057F6">
        <w:trPr>
          <w:trHeight w:val="1931"/>
        </w:trPr>
        <w:tc>
          <w:tcPr>
            <w:tcW w:w="273" w:type="pct"/>
            <w:vMerge w:val="restart"/>
            <w:vAlign w:val="center"/>
            <w:hideMark/>
          </w:tcPr>
          <w:p w14:paraId="00327CB3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20" w:type="pct"/>
            <w:vMerge w:val="restart"/>
            <w:vAlign w:val="center"/>
            <w:hideMark/>
          </w:tcPr>
          <w:p w14:paraId="2BE69953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финансовых вложений </w:t>
            </w:r>
          </w:p>
        </w:tc>
        <w:tc>
          <w:tcPr>
            <w:tcW w:w="506" w:type="pct"/>
            <w:vAlign w:val="center"/>
            <w:hideMark/>
          </w:tcPr>
          <w:p w14:paraId="4894C4C5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860" w:type="pct"/>
            <w:vAlign w:val="center"/>
            <w:hideMark/>
          </w:tcPr>
          <w:p w14:paraId="0E4D8399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финансовых вложений </w:t>
            </w:r>
          </w:p>
        </w:tc>
        <w:tc>
          <w:tcPr>
            <w:tcW w:w="2142" w:type="pct"/>
            <w:vAlign w:val="center"/>
            <w:hideMark/>
          </w:tcPr>
          <w:p w14:paraId="4EBE49B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а) проверка и подтверждение правильности оформления материалов инвентаризации финансовых вложений и отражения результатов инвентаризации в учете; </w:t>
            </w:r>
          </w:p>
          <w:p w14:paraId="751FCA99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б) оценка системы внутреннего контроля и бухгалтерского учета финансовых вложений; </w:t>
            </w:r>
          </w:p>
          <w:p w14:paraId="5FAC41D9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в) определение рентабельности финансовых вложений; </w:t>
            </w:r>
          </w:p>
          <w:p w14:paraId="6E66FBD2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проверка правильности определения рыночной стоимости финансовых вложений, по которым определяется рыночная стоимость;</w:t>
            </w:r>
          </w:p>
          <w:p w14:paraId="7FD786E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д) проверка правильности отражения в учете операций с финансовыми вложениями; </w:t>
            </w:r>
          </w:p>
          <w:p w14:paraId="0A5EF6B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lastRenderedPageBreak/>
              <w:t>е) подтверждение достоверности начисления, поступления и отражения в учете доходов по операциям с финансовыми вложениями;</w:t>
            </w:r>
          </w:p>
          <w:p w14:paraId="782B2670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ж)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2BCE40E1" w14:textId="77777777" w:rsidTr="000057F6">
        <w:trPr>
          <w:trHeight w:val="5233"/>
        </w:trPr>
        <w:tc>
          <w:tcPr>
            <w:tcW w:w="273" w:type="pct"/>
            <w:vMerge/>
            <w:vAlign w:val="center"/>
            <w:hideMark/>
          </w:tcPr>
          <w:p w14:paraId="6D803317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6A34EC4B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0B59EBAA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860" w:type="pct"/>
            <w:vAlign w:val="center"/>
            <w:hideMark/>
          </w:tcPr>
          <w:p w14:paraId="13B29A40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резервов под обесценение финансовых вложений </w:t>
            </w:r>
          </w:p>
        </w:tc>
        <w:tc>
          <w:tcPr>
            <w:tcW w:w="2142" w:type="pct"/>
            <w:vAlign w:val="center"/>
            <w:hideMark/>
          </w:tcPr>
          <w:p w14:paraId="45D43349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подтверждение остатков средств, зарезервированных под обесценение вложений в ценные бумаги;</w:t>
            </w:r>
          </w:p>
          <w:p w14:paraId="78C04D89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проверка полноты, правильности и обоснованности начисления резерва под обеспечение вложений в ценные бумаги;</w:t>
            </w:r>
          </w:p>
          <w:p w14:paraId="046B6EB1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проверка полноты и правильности использования резерва под обесценение вложений в ценные бумаги;</w:t>
            </w:r>
          </w:p>
          <w:p w14:paraId="288241C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проверка полноты и правильности отражения в синтетическом и аналитическом учете операций по резерву под обесценение вложений в ценные бумаги;</w:t>
            </w:r>
          </w:p>
          <w:p w14:paraId="282197E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4ADC10C8" w14:textId="77777777" w:rsidTr="000057F6">
        <w:trPr>
          <w:trHeight w:val="1313"/>
        </w:trPr>
        <w:tc>
          <w:tcPr>
            <w:tcW w:w="273" w:type="pct"/>
            <w:vMerge w:val="restart"/>
            <w:vAlign w:val="center"/>
            <w:hideMark/>
          </w:tcPr>
          <w:p w14:paraId="229BD327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20" w:type="pct"/>
            <w:vMerge w:val="restart"/>
            <w:vAlign w:val="center"/>
            <w:hideMark/>
          </w:tcPr>
          <w:p w14:paraId="4F0049B9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расчетов </w:t>
            </w:r>
          </w:p>
        </w:tc>
        <w:tc>
          <w:tcPr>
            <w:tcW w:w="506" w:type="pct"/>
            <w:vAlign w:val="center"/>
            <w:hideMark/>
          </w:tcPr>
          <w:p w14:paraId="59190DC8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860" w:type="pct"/>
            <w:vAlign w:val="center"/>
            <w:hideMark/>
          </w:tcPr>
          <w:p w14:paraId="313287C0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расчетов с поставщиками и подрядчиками, покупателями и заказчиками, дебиторами и кредиторами </w:t>
            </w:r>
          </w:p>
        </w:tc>
        <w:tc>
          <w:tcPr>
            <w:tcW w:w="2142" w:type="pct"/>
            <w:vAlign w:val="center"/>
            <w:hideMark/>
          </w:tcPr>
          <w:p w14:paraId="7A8E9F4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проверка и подтверждение полноты и правильности проведенных инвентаризаций расчетов с дебиторами и кредиторами и отражения их результатов в учете;</w:t>
            </w:r>
          </w:p>
          <w:p w14:paraId="4C81280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б) проверка и подтверждение правильности оформления первичных документов по приобретению товарно-материальных ценностей, работ, услуг с целью подтверждения обоснованности возникновения кредиторской задолженности; </w:t>
            </w:r>
          </w:p>
          <w:p w14:paraId="11EA830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в) подтверждение своевременности погашения и правильность отражения на счетах бухгалтерского учета кредиторской задолженности; </w:t>
            </w:r>
          </w:p>
          <w:p w14:paraId="6CB119CD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г) оценка правильности оформления и отражения в учете предъявленных претензий; </w:t>
            </w:r>
          </w:p>
          <w:p w14:paraId="6137B62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д) проверка правильности оформления первичных документов по продаже товаров, работ, услуг с целью подтверждения обоснованности возникновения дебиторской задолженности; </w:t>
            </w:r>
          </w:p>
          <w:p w14:paraId="3153A03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lastRenderedPageBreak/>
              <w:t xml:space="preserve">е) подтверждение своевременности погашения и правильность отражения на счетах бухгалтерского учета дебиторской задолженности; </w:t>
            </w:r>
          </w:p>
          <w:p w14:paraId="7035C0E8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ж) проверка правильности оформления и отражения на счетах бухгалтерского учета расчетов с дочерними (зависимыми) Обществами </w:t>
            </w:r>
          </w:p>
          <w:p w14:paraId="5936723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з) сверка остатков, а также закупок и продаж по счетам расчетов с подписанными актами сверки дебиторской, кредиторской задолженности</w:t>
            </w:r>
          </w:p>
          <w:p w14:paraId="18C7FA5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и)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2EBD5CAA" w14:textId="77777777" w:rsidTr="000057F6">
        <w:trPr>
          <w:trHeight w:val="2542"/>
        </w:trPr>
        <w:tc>
          <w:tcPr>
            <w:tcW w:w="273" w:type="pct"/>
            <w:vMerge/>
            <w:vAlign w:val="center"/>
            <w:hideMark/>
          </w:tcPr>
          <w:p w14:paraId="777CAA6F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04A3661B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0B90BE01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9.2</w:t>
            </w:r>
          </w:p>
        </w:tc>
        <w:tc>
          <w:tcPr>
            <w:tcW w:w="860" w:type="pct"/>
            <w:vAlign w:val="center"/>
            <w:hideMark/>
          </w:tcPr>
          <w:p w14:paraId="4AD5D593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резервов по сомнительным долгам </w:t>
            </w:r>
          </w:p>
        </w:tc>
        <w:tc>
          <w:tcPr>
            <w:tcW w:w="2142" w:type="pct"/>
            <w:vAlign w:val="center"/>
            <w:hideMark/>
          </w:tcPr>
          <w:p w14:paraId="086F3E80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подтверждение остатков средств, зарезервированных по сомнительным долгам;</w:t>
            </w:r>
            <w:r w:rsidRPr="00341E9E">
              <w:rPr>
                <w:rFonts w:ascii="Times New Roman" w:hAnsi="Times New Roman" w:cs="Times New Roman"/>
              </w:rPr>
              <w:br/>
              <w:t>б) проверка полноты, правильности и обоснованности начисления резерва по сомнительным долгам;</w:t>
            </w:r>
            <w:r w:rsidRPr="00341E9E">
              <w:rPr>
                <w:rFonts w:ascii="Times New Roman" w:hAnsi="Times New Roman" w:cs="Times New Roman"/>
              </w:rPr>
              <w:br/>
              <w:t>в) проверка полноты и правильности использования резерва по сомнительным долгам;</w:t>
            </w:r>
            <w:r w:rsidRPr="00341E9E">
              <w:rPr>
                <w:rFonts w:ascii="Times New Roman" w:hAnsi="Times New Roman" w:cs="Times New Roman"/>
              </w:rPr>
              <w:br/>
              <w:t>г) проверка полноты и правильности отражения в синтетическом и аналитическом учете операций по резерву по сомнительным долгам;</w:t>
            </w:r>
            <w:r w:rsidRPr="00341E9E">
              <w:rPr>
                <w:rFonts w:ascii="Times New Roman" w:hAnsi="Times New Roman" w:cs="Times New Roman"/>
              </w:rPr>
              <w:br/>
              <w:t>д) проверка правильности формирования резерва по сомнительным долгам в налоговом учете;</w:t>
            </w:r>
            <w:r w:rsidRPr="00341E9E">
              <w:rPr>
                <w:rFonts w:ascii="Times New Roman" w:hAnsi="Times New Roman" w:cs="Times New Roman"/>
              </w:rPr>
              <w:br/>
              <w:t>е)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554D5CD1" w14:textId="77777777" w:rsidTr="000057F6">
        <w:trPr>
          <w:trHeight w:val="1313"/>
        </w:trPr>
        <w:tc>
          <w:tcPr>
            <w:tcW w:w="273" w:type="pct"/>
            <w:vMerge/>
            <w:vAlign w:val="center"/>
            <w:hideMark/>
          </w:tcPr>
          <w:p w14:paraId="3198A706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484C4CAC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322644DE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9.3</w:t>
            </w:r>
          </w:p>
        </w:tc>
        <w:tc>
          <w:tcPr>
            <w:tcW w:w="860" w:type="pct"/>
            <w:vAlign w:val="center"/>
            <w:hideMark/>
          </w:tcPr>
          <w:p w14:paraId="012CBF16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расчетов по кредитам и займам </w:t>
            </w:r>
          </w:p>
        </w:tc>
        <w:tc>
          <w:tcPr>
            <w:tcW w:w="2142" w:type="pct"/>
            <w:vAlign w:val="center"/>
            <w:hideMark/>
          </w:tcPr>
          <w:p w14:paraId="2CAB589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проверка правильности оформления и отражения на счетах бухгалтерского учета операций по получению и возврату кредитов банка;</w:t>
            </w:r>
          </w:p>
          <w:p w14:paraId="4471F85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подтверждение целевого использования кредитов банка;</w:t>
            </w:r>
          </w:p>
          <w:p w14:paraId="6350E70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проверка обоснованности установления и правильность расчета сумм платежей за пользование кредитами банков и их списание за счет соответствующих источников;</w:t>
            </w:r>
          </w:p>
          <w:p w14:paraId="31BBC95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проверка правильности начисления процентов и обоснованности их распределения между расходами и включением в стоимость инвестиционных активов;</w:t>
            </w:r>
          </w:p>
          <w:p w14:paraId="0C28DC1D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д) проверка правильности оформления и отражения на счетах бухгалтерского учета </w:t>
            </w:r>
            <w:r w:rsidRPr="00341E9E">
              <w:rPr>
                <w:rFonts w:ascii="Times New Roman" w:hAnsi="Times New Roman" w:cs="Times New Roman"/>
              </w:rPr>
              <w:lastRenderedPageBreak/>
              <w:t>займов, полученных у других организаций и физических лиц;</w:t>
            </w:r>
          </w:p>
          <w:p w14:paraId="16910A8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е) проверка полноты и правильности распределения остатков и оборотов (если применимо) по счетам в соответствующие строки отчетности. </w:t>
            </w:r>
          </w:p>
        </w:tc>
      </w:tr>
      <w:tr w:rsidR="00F0429A" w:rsidRPr="00341E9E" w14:paraId="5F20CC3E" w14:textId="77777777" w:rsidTr="000057F6">
        <w:trPr>
          <w:trHeight w:val="289"/>
        </w:trPr>
        <w:tc>
          <w:tcPr>
            <w:tcW w:w="273" w:type="pct"/>
            <w:vMerge/>
            <w:vAlign w:val="center"/>
            <w:hideMark/>
          </w:tcPr>
          <w:p w14:paraId="13EEA93A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45DECDBE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0F87CA4B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9.4</w:t>
            </w:r>
          </w:p>
        </w:tc>
        <w:tc>
          <w:tcPr>
            <w:tcW w:w="860" w:type="pct"/>
            <w:vAlign w:val="center"/>
            <w:hideMark/>
          </w:tcPr>
          <w:p w14:paraId="676851AC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расчетов с бюджетом </w:t>
            </w:r>
          </w:p>
        </w:tc>
        <w:tc>
          <w:tcPr>
            <w:tcW w:w="2142" w:type="pct"/>
            <w:vAlign w:val="center"/>
            <w:hideMark/>
          </w:tcPr>
          <w:p w14:paraId="281216B1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Проверка:</w:t>
            </w:r>
          </w:p>
          <w:p w14:paraId="58FD4AA8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правильности определения налогооблагаемой базы;</w:t>
            </w:r>
          </w:p>
          <w:p w14:paraId="0825FE61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правильности применения налоговых ставок;</w:t>
            </w:r>
          </w:p>
          <w:p w14:paraId="349C7F91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правомерности применения льгот при расчете и уплате налогов;</w:t>
            </w:r>
          </w:p>
          <w:p w14:paraId="72D6BD9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правильности начисления, полноты и своевременности перечисления налоговых платежей, правильность составления налоговой отчетности;</w:t>
            </w:r>
          </w:p>
          <w:p w14:paraId="3333EA27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правильности исчисления налога на прибыль организаций с выплачиваемых дивидендов;</w:t>
            </w:r>
          </w:p>
          <w:p w14:paraId="69AA98BB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е) правильности исчисления и удержания налога с доходов, выплачиваемых иностранным организациям;</w:t>
            </w:r>
          </w:p>
          <w:p w14:paraId="50B23179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ж)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3EE5F6DB" w14:textId="77777777" w:rsidTr="000057F6">
        <w:trPr>
          <w:trHeight w:val="3251"/>
        </w:trPr>
        <w:tc>
          <w:tcPr>
            <w:tcW w:w="273" w:type="pct"/>
            <w:vMerge/>
            <w:vAlign w:val="center"/>
            <w:hideMark/>
          </w:tcPr>
          <w:p w14:paraId="084845D6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57ABD804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768AF0E9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9.5</w:t>
            </w:r>
          </w:p>
        </w:tc>
        <w:tc>
          <w:tcPr>
            <w:tcW w:w="860" w:type="pct"/>
            <w:vAlign w:val="center"/>
            <w:hideMark/>
          </w:tcPr>
          <w:p w14:paraId="4B490438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расчетов по оплате труда и страховым взносам во внебюджетные фонды </w:t>
            </w:r>
          </w:p>
        </w:tc>
        <w:tc>
          <w:tcPr>
            <w:tcW w:w="2142" w:type="pct"/>
            <w:vAlign w:val="center"/>
            <w:hideMark/>
          </w:tcPr>
          <w:p w14:paraId="4B33AFA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проверка соблюдения положений законодательства о труде, состояние внутреннего учета и контроля по трудовым отношениям;</w:t>
            </w:r>
          </w:p>
          <w:p w14:paraId="18E5CB2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б) проверка организации учета и контроля выработки и начисления заработной платы; </w:t>
            </w:r>
          </w:p>
          <w:p w14:paraId="42AF167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проверка расчетов удержаний из заработной платы с физических лиц;</w:t>
            </w:r>
          </w:p>
          <w:p w14:paraId="51FEC7A0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проверка налогооблагаемой базы, налогов и платежей в бюджет и внебюджетные фонды;</w:t>
            </w:r>
          </w:p>
          <w:p w14:paraId="363D158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проверка депонированных сумм по заработной плате;</w:t>
            </w:r>
          </w:p>
          <w:p w14:paraId="606F8BB2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е) проверка правильности и обоснованности образования и использования мотивационного фонда;</w:t>
            </w:r>
          </w:p>
          <w:p w14:paraId="324F199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ж) проверка полноты и правильности расчетов с персоналом по прочим операциям;</w:t>
            </w:r>
          </w:p>
          <w:p w14:paraId="1F9554E1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з) проверка полноты и правильности распределения остатков и оборотов (если применимо) по счетам в соответствующие строки отчетности. </w:t>
            </w:r>
          </w:p>
        </w:tc>
      </w:tr>
      <w:tr w:rsidR="00F0429A" w:rsidRPr="00341E9E" w14:paraId="7F002807" w14:textId="77777777" w:rsidTr="000057F6">
        <w:trPr>
          <w:trHeight w:val="420"/>
        </w:trPr>
        <w:tc>
          <w:tcPr>
            <w:tcW w:w="273" w:type="pct"/>
            <w:vMerge/>
            <w:vAlign w:val="center"/>
            <w:hideMark/>
          </w:tcPr>
          <w:p w14:paraId="173C1577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77102AE7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424AD45B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9.6</w:t>
            </w:r>
          </w:p>
        </w:tc>
        <w:tc>
          <w:tcPr>
            <w:tcW w:w="860" w:type="pct"/>
            <w:vAlign w:val="center"/>
            <w:hideMark/>
          </w:tcPr>
          <w:p w14:paraId="4BC18B63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расчетов с подотчетными </w:t>
            </w:r>
            <w:r w:rsidRPr="00341E9E">
              <w:rPr>
                <w:rFonts w:ascii="Times New Roman" w:hAnsi="Times New Roman" w:cs="Times New Roman"/>
              </w:rPr>
              <w:lastRenderedPageBreak/>
              <w:t>лицами и персоналом по прочим операциям</w:t>
            </w:r>
          </w:p>
        </w:tc>
        <w:tc>
          <w:tcPr>
            <w:tcW w:w="2142" w:type="pct"/>
            <w:vAlign w:val="center"/>
            <w:hideMark/>
          </w:tcPr>
          <w:p w14:paraId="5B0D371F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lastRenderedPageBreak/>
              <w:t>а) проверка утвержденного состава подотчетных лиц;</w:t>
            </w:r>
          </w:p>
          <w:p w14:paraId="25087828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lastRenderedPageBreak/>
              <w:t>б) проверка документального оформления авансовых отчетов;</w:t>
            </w:r>
          </w:p>
          <w:p w14:paraId="50F64C7B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проверка правильности отражения в учете командировочных расходов;</w:t>
            </w:r>
          </w:p>
          <w:p w14:paraId="13E0DC22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проверка правильности выделения сумм НДС из сумм командировочных расходов;</w:t>
            </w:r>
          </w:p>
          <w:p w14:paraId="3469C8D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проверка соблюдения сроков отчетов по выданным подотчетным суммам и наличия остатков неиспользованных сумм;</w:t>
            </w:r>
          </w:p>
          <w:p w14:paraId="594A945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е) проверка авансовых отчетов по представительским расходам;</w:t>
            </w:r>
          </w:p>
          <w:p w14:paraId="1D294B8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ж) проверка правильности ведения учета командировочных расходов в пределах и сверх лимитов;</w:t>
            </w:r>
          </w:p>
          <w:p w14:paraId="544290C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з) проверка правильности отражения расчетов с персоналом по прочим операциям;</w:t>
            </w:r>
          </w:p>
          <w:p w14:paraId="18B8A78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и) проверка полноты и правильности распределения остатков и оборотов (если применимо) по счетам в соответствующие строки отчетности. </w:t>
            </w:r>
          </w:p>
        </w:tc>
      </w:tr>
      <w:tr w:rsidR="00F0429A" w:rsidRPr="00341E9E" w14:paraId="71C9BC02" w14:textId="77777777" w:rsidTr="000057F6">
        <w:trPr>
          <w:trHeight w:val="1312"/>
        </w:trPr>
        <w:tc>
          <w:tcPr>
            <w:tcW w:w="273" w:type="pct"/>
            <w:vMerge/>
            <w:vAlign w:val="center"/>
            <w:hideMark/>
          </w:tcPr>
          <w:p w14:paraId="440C9F03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333D0358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46B604DC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9.7</w:t>
            </w:r>
          </w:p>
        </w:tc>
        <w:tc>
          <w:tcPr>
            <w:tcW w:w="860" w:type="pct"/>
            <w:vAlign w:val="center"/>
            <w:hideMark/>
          </w:tcPr>
          <w:p w14:paraId="4FE5471C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расчетов с учредителями </w:t>
            </w:r>
          </w:p>
        </w:tc>
        <w:tc>
          <w:tcPr>
            <w:tcW w:w="2142" w:type="pct"/>
            <w:vAlign w:val="center"/>
            <w:hideMark/>
          </w:tcPr>
          <w:p w14:paraId="29E5D92F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Проверка полноты и правильности распределения остатков и оборотов (если применимо) по счетам в соответствующие строки отчетности. </w:t>
            </w:r>
          </w:p>
        </w:tc>
      </w:tr>
      <w:tr w:rsidR="00F0429A" w:rsidRPr="00341E9E" w14:paraId="5DD36160" w14:textId="77777777" w:rsidTr="000057F6">
        <w:trPr>
          <w:trHeight w:val="1089"/>
        </w:trPr>
        <w:tc>
          <w:tcPr>
            <w:tcW w:w="273" w:type="pct"/>
            <w:vMerge/>
            <w:vAlign w:val="center"/>
            <w:hideMark/>
          </w:tcPr>
          <w:p w14:paraId="633E940F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72C2DCB0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38993297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9.8</w:t>
            </w:r>
          </w:p>
        </w:tc>
        <w:tc>
          <w:tcPr>
            <w:tcW w:w="860" w:type="pct"/>
            <w:vAlign w:val="center"/>
            <w:hideMark/>
          </w:tcPr>
          <w:p w14:paraId="68369EFF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расчетов по претензиям и возмещению материального ущерба </w:t>
            </w:r>
          </w:p>
        </w:tc>
        <w:tc>
          <w:tcPr>
            <w:tcW w:w="2142" w:type="pct"/>
            <w:vAlign w:val="center"/>
            <w:hideMark/>
          </w:tcPr>
          <w:p w14:paraId="127E9C2B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а) проверка своевременности предъявления претензий вследствие нарушения договорных обязательств, за пропажу и недостачу груза в пути и т.д.; </w:t>
            </w:r>
          </w:p>
          <w:p w14:paraId="1E39D6F2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б) выяснение своевременности принятых мер по возмещению нанесенного ущерба, проверить обоснованность претензий; </w:t>
            </w:r>
          </w:p>
          <w:p w14:paraId="2BF7B3AB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в) подтверждение законности списания претензионных сумм на издержки производства и финансовые результаты; </w:t>
            </w:r>
          </w:p>
          <w:p w14:paraId="58B471F9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проверка расчетов по недостачам, растратам и хищениям;</w:t>
            </w:r>
          </w:p>
          <w:p w14:paraId="1D8548E8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д) установление соблюдения сроков и порядка рассмотрения случаев недостач, потерь и растрат; </w:t>
            </w:r>
          </w:p>
          <w:p w14:paraId="1D4AB1E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е) проверка правильности оформления материалов о претензиях по недостачам, потерям и хищениям; </w:t>
            </w:r>
          </w:p>
          <w:p w14:paraId="559747D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ж) изучение причин, вызвавших недостачи, растраты и хищения; </w:t>
            </w:r>
          </w:p>
          <w:p w14:paraId="27AC4FBD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з) проверить, по всем ли дебиторам (должникам) имеются обязательства о погашении задолженности или исполнительные листы, систематически ли поступают суммы в погашение задолженности, какие меры принимаются к должникам, от которых прекратились поступления денег и т.п.;</w:t>
            </w:r>
          </w:p>
          <w:p w14:paraId="187BBB7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lastRenderedPageBreak/>
              <w:t xml:space="preserve">и) проверка полноты и правильности распределения остатков и оборотов (если применимо) по счетам в соответствующие строки отчетности. </w:t>
            </w:r>
          </w:p>
        </w:tc>
      </w:tr>
      <w:tr w:rsidR="00F0429A" w:rsidRPr="00341E9E" w14:paraId="4D9E1AE5" w14:textId="77777777" w:rsidTr="000057F6">
        <w:trPr>
          <w:trHeight w:val="445"/>
        </w:trPr>
        <w:tc>
          <w:tcPr>
            <w:tcW w:w="273" w:type="pct"/>
            <w:vMerge/>
            <w:vAlign w:val="center"/>
            <w:hideMark/>
          </w:tcPr>
          <w:p w14:paraId="114B92F8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1B51E792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302D9DB6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9.9</w:t>
            </w:r>
          </w:p>
        </w:tc>
        <w:tc>
          <w:tcPr>
            <w:tcW w:w="860" w:type="pct"/>
            <w:vAlign w:val="center"/>
            <w:hideMark/>
          </w:tcPr>
          <w:p w14:paraId="61082881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расчетов по совместной деятельности </w:t>
            </w:r>
          </w:p>
        </w:tc>
        <w:tc>
          <w:tcPr>
            <w:tcW w:w="2142" w:type="pct"/>
            <w:vAlign w:val="center"/>
            <w:hideMark/>
          </w:tcPr>
          <w:p w14:paraId="1106D17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4BBAFDC8" w14:textId="77777777" w:rsidTr="000057F6">
        <w:trPr>
          <w:trHeight w:val="1975"/>
        </w:trPr>
        <w:tc>
          <w:tcPr>
            <w:tcW w:w="273" w:type="pct"/>
            <w:vAlign w:val="center"/>
          </w:tcPr>
          <w:p w14:paraId="457A8F2B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20" w:type="pct"/>
            <w:vAlign w:val="center"/>
          </w:tcPr>
          <w:p w14:paraId="09D34582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оценочных обязательств</w:t>
            </w:r>
          </w:p>
        </w:tc>
        <w:tc>
          <w:tcPr>
            <w:tcW w:w="506" w:type="pct"/>
            <w:vAlign w:val="center"/>
          </w:tcPr>
          <w:p w14:paraId="091E3A63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</w:tcPr>
          <w:p w14:paraId="67B2973E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2" w:type="pct"/>
            <w:vAlign w:val="center"/>
          </w:tcPr>
          <w:p w14:paraId="496116F7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проверка положения учетной политики в отношении начисления оценочных обязательств и методологии их расчета (неиспользованные отпуска, премии и бонусы, судебные иски, гарантийные обязательства, и прочие);</w:t>
            </w:r>
          </w:p>
          <w:p w14:paraId="2CBADBB9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проверка правильности, полноты и обоснованности расчета обязательств;</w:t>
            </w:r>
          </w:p>
          <w:p w14:paraId="178C017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проверка правильности представления оценочных обязательств по срокам погашения;</w:t>
            </w:r>
          </w:p>
          <w:p w14:paraId="71209049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проверка отражения обязательств в отчетности в случае корректировки нераспределенной прибыли;</w:t>
            </w:r>
          </w:p>
          <w:p w14:paraId="094C35DC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1817BC22" w14:textId="77777777" w:rsidTr="000057F6">
        <w:trPr>
          <w:trHeight w:val="2400"/>
        </w:trPr>
        <w:tc>
          <w:tcPr>
            <w:tcW w:w="273" w:type="pct"/>
            <w:vMerge w:val="restart"/>
            <w:vAlign w:val="center"/>
            <w:hideMark/>
          </w:tcPr>
          <w:p w14:paraId="5FA6B8B9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20" w:type="pct"/>
            <w:vMerge w:val="restart"/>
            <w:vAlign w:val="center"/>
            <w:hideMark/>
          </w:tcPr>
          <w:p w14:paraId="1A096D99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капитала </w:t>
            </w:r>
          </w:p>
        </w:tc>
        <w:tc>
          <w:tcPr>
            <w:tcW w:w="506" w:type="pct"/>
            <w:vAlign w:val="center"/>
            <w:hideMark/>
          </w:tcPr>
          <w:p w14:paraId="76BE38A2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11.1</w:t>
            </w:r>
          </w:p>
        </w:tc>
        <w:tc>
          <w:tcPr>
            <w:tcW w:w="860" w:type="pct"/>
            <w:vAlign w:val="center"/>
            <w:hideMark/>
          </w:tcPr>
          <w:p w14:paraId="7A8F8593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уставного капитала </w:t>
            </w:r>
          </w:p>
        </w:tc>
        <w:tc>
          <w:tcPr>
            <w:tcW w:w="2142" w:type="pct"/>
            <w:vAlign w:val="center"/>
            <w:hideMark/>
          </w:tcPr>
          <w:p w14:paraId="6F0459CD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Проверка достоверности учетных и отчетных данных уставного капитала:</w:t>
            </w:r>
          </w:p>
          <w:p w14:paraId="14F601FD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соответствие размера уставного капитала данным учредительных документов и законодательству РФ;</w:t>
            </w:r>
          </w:p>
          <w:p w14:paraId="3CB70BC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полнота и правильность формирования уставного капитала;</w:t>
            </w:r>
          </w:p>
          <w:p w14:paraId="554B5BA2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полнота и своевременность отражения в учете расчетов по взносам акционеров, их доли в уставный капитал с учетом порядка, размера, способов и сроков, предусмотренных учредительными документами;</w:t>
            </w:r>
          </w:p>
          <w:p w14:paraId="4707323D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г) обоснованность изменения величины уставного капитала; </w:t>
            </w:r>
          </w:p>
          <w:p w14:paraId="7A1F269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правильность отражения в учете и отчетности.</w:t>
            </w:r>
          </w:p>
        </w:tc>
      </w:tr>
      <w:tr w:rsidR="00F0429A" w:rsidRPr="00341E9E" w14:paraId="12DD9ECD" w14:textId="77777777" w:rsidTr="000057F6">
        <w:trPr>
          <w:trHeight w:val="1257"/>
        </w:trPr>
        <w:tc>
          <w:tcPr>
            <w:tcW w:w="273" w:type="pct"/>
            <w:vMerge/>
            <w:vAlign w:val="center"/>
            <w:hideMark/>
          </w:tcPr>
          <w:p w14:paraId="61991906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4961EF9E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4D326494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11.2</w:t>
            </w:r>
          </w:p>
        </w:tc>
        <w:tc>
          <w:tcPr>
            <w:tcW w:w="860" w:type="pct"/>
            <w:vAlign w:val="center"/>
            <w:hideMark/>
          </w:tcPr>
          <w:p w14:paraId="214955FD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резервного капитала </w:t>
            </w:r>
          </w:p>
        </w:tc>
        <w:tc>
          <w:tcPr>
            <w:tcW w:w="2142" w:type="pct"/>
            <w:vAlign w:val="center"/>
            <w:hideMark/>
          </w:tcPr>
          <w:p w14:paraId="157484AF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Проверка достоверности учетных и отчетных данных резервного капитала:</w:t>
            </w:r>
          </w:p>
          <w:p w14:paraId="3212E2C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соответствие размера резервного капитала данным учредительных документов и законодательству РФ;</w:t>
            </w:r>
          </w:p>
          <w:p w14:paraId="19929E6C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правильность формирования резервного капитала;</w:t>
            </w:r>
          </w:p>
          <w:p w14:paraId="28D45C91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целевое использование резервного капитала;</w:t>
            </w:r>
          </w:p>
          <w:p w14:paraId="75EFFD8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правильность отражения в учете и отчетности.</w:t>
            </w:r>
          </w:p>
        </w:tc>
      </w:tr>
      <w:tr w:rsidR="00F0429A" w:rsidRPr="00341E9E" w14:paraId="24318443" w14:textId="77777777" w:rsidTr="000057F6">
        <w:trPr>
          <w:trHeight w:val="1105"/>
        </w:trPr>
        <w:tc>
          <w:tcPr>
            <w:tcW w:w="273" w:type="pct"/>
            <w:vMerge/>
            <w:vAlign w:val="center"/>
            <w:hideMark/>
          </w:tcPr>
          <w:p w14:paraId="5B21DD09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3D2995CF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7F65037B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11.3</w:t>
            </w:r>
          </w:p>
        </w:tc>
        <w:tc>
          <w:tcPr>
            <w:tcW w:w="860" w:type="pct"/>
            <w:vAlign w:val="center"/>
            <w:hideMark/>
          </w:tcPr>
          <w:p w14:paraId="61438B5B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добавочного капитала </w:t>
            </w:r>
          </w:p>
        </w:tc>
        <w:tc>
          <w:tcPr>
            <w:tcW w:w="2142" w:type="pct"/>
            <w:vAlign w:val="center"/>
            <w:hideMark/>
          </w:tcPr>
          <w:p w14:paraId="7745FDB1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Проверка достоверности учетных и отчетных данных добавочного капитала:</w:t>
            </w:r>
          </w:p>
          <w:p w14:paraId="5322751F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правильность образования добавочного капитала;</w:t>
            </w:r>
          </w:p>
          <w:p w14:paraId="6BF40FFC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обоснованность использования средств добавочного капитала;</w:t>
            </w:r>
          </w:p>
          <w:p w14:paraId="0D161BB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правильность отражения в учете и отчетности.</w:t>
            </w:r>
          </w:p>
        </w:tc>
      </w:tr>
      <w:tr w:rsidR="00F0429A" w:rsidRPr="00341E9E" w14:paraId="0C826446" w14:textId="77777777" w:rsidTr="000057F6">
        <w:trPr>
          <w:trHeight w:val="1121"/>
        </w:trPr>
        <w:tc>
          <w:tcPr>
            <w:tcW w:w="273" w:type="pct"/>
            <w:vMerge/>
            <w:vAlign w:val="center"/>
            <w:hideMark/>
          </w:tcPr>
          <w:p w14:paraId="1AABB6D7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489207EF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25472DA6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11.4</w:t>
            </w:r>
          </w:p>
        </w:tc>
        <w:tc>
          <w:tcPr>
            <w:tcW w:w="860" w:type="pct"/>
            <w:vAlign w:val="center"/>
            <w:hideMark/>
          </w:tcPr>
          <w:p w14:paraId="36AEFA45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нераспределенной прибыли (непокрытого убытка) </w:t>
            </w:r>
          </w:p>
        </w:tc>
        <w:tc>
          <w:tcPr>
            <w:tcW w:w="2142" w:type="pct"/>
            <w:vAlign w:val="center"/>
            <w:hideMark/>
          </w:tcPr>
          <w:p w14:paraId="71C3EF0C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проверка обоснованности корректировок нераспределенной прибыли;</w:t>
            </w:r>
          </w:p>
          <w:p w14:paraId="04B6923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  <w:p w14:paraId="6B14801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в) проверка полноты и правильности распределения остатков и оборотов (если применимо) по счетам в соответствующие строки отчетности. </w:t>
            </w:r>
          </w:p>
        </w:tc>
      </w:tr>
      <w:tr w:rsidR="00F0429A" w:rsidRPr="00341E9E" w14:paraId="5E470126" w14:textId="77777777" w:rsidTr="000057F6">
        <w:trPr>
          <w:trHeight w:val="556"/>
        </w:trPr>
        <w:tc>
          <w:tcPr>
            <w:tcW w:w="273" w:type="pct"/>
            <w:vMerge/>
            <w:vAlign w:val="center"/>
            <w:hideMark/>
          </w:tcPr>
          <w:p w14:paraId="014D7F37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151613C9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0B01BF58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11.5</w:t>
            </w:r>
          </w:p>
        </w:tc>
        <w:tc>
          <w:tcPr>
            <w:tcW w:w="860" w:type="pct"/>
            <w:vAlign w:val="center"/>
            <w:hideMark/>
          </w:tcPr>
          <w:p w14:paraId="5D165039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целевого финансирования </w:t>
            </w:r>
          </w:p>
        </w:tc>
        <w:tc>
          <w:tcPr>
            <w:tcW w:w="2142" w:type="pct"/>
            <w:vAlign w:val="center"/>
            <w:hideMark/>
          </w:tcPr>
          <w:p w14:paraId="3C10743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Проверка полноты и правильности распределения остатков и оборотов по счетам в соответствующие строки отчетности. </w:t>
            </w:r>
          </w:p>
        </w:tc>
      </w:tr>
      <w:tr w:rsidR="00F0429A" w:rsidRPr="00341E9E" w14:paraId="0935778A" w14:textId="77777777" w:rsidTr="000057F6">
        <w:trPr>
          <w:trHeight w:val="2534"/>
        </w:trPr>
        <w:tc>
          <w:tcPr>
            <w:tcW w:w="273" w:type="pct"/>
            <w:vAlign w:val="center"/>
          </w:tcPr>
          <w:p w14:paraId="6503FE39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20" w:type="pct"/>
            <w:vAlign w:val="center"/>
          </w:tcPr>
          <w:p w14:paraId="653CAE5E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доходов от обычных видов деятельности и прочих доходов</w:t>
            </w:r>
          </w:p>
        </w:tc>
        <w:tc>
          <w:tcPr>
            <w:tcW w:w="506" w:type="pct"/>
            <w:vAlign w:val="center"/>
          </w:tcPr>
          <w:p w14:paraId="63FA27EF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</w:tcPr>
          <w:p w14:paraId="0EDAE939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2" w:type="pct"/>
            <w:vAlign w:val="center"/>
          </w:tcPr>
          <w:p w14:paraId="7F31EAAC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проверить и подтвердить полноту, своевременность признания доходов от обычных видов деятельности, прочих доходов;</w:t>
            </w:r>
          </w:p>
          <w:p w14:paraId="3904C6D0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проверить и подтвердить правильность оценки расчетной выручки, а также доходов, выраженных в иностранной валюте и/или ее эквиваленте;</w:t>
            </w:r>
          </w:p>
          <w:p w14:paraId="074BFCFF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проверка правильности организации аналитического и синтетического учета на счетах бухгалтерского учета.</w:t>
            </w:r>
          </w:p>
        </w:tc>
      </w:tr>
      <w:tr w:rsidR="00F0429A" w:rsidRPr="00341E9E" w14:paraId="27B5DED9" w14:textId="77777777" w:rsidTr="000057F6">
        <w:trPr>
          <w:trHeight w:val="2534"/>
        </w:trPr>
        <w:tc>
          <w:tcPr>
            <w:tcW w:w="273" w:type="pct"/>
            <w:vAlign w:val="center"/>
            <w:hideMark/>
          </w:tcPr>
          <w:p w14:paraId="6337A5BF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20" w:type="pct"/>
            <w:vAlign w:val="center"/>
            <w:hideMark/>
          </w:tcPr>
          <w:p w14:paraId="68DE8E90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формирования финансовых результатов и распределения прибыли </w:t>
            </w:r>
          </w:p>
        </w:tc>
        <w:tc>
          <w:tcPr>
            <w:tcW w:w="506" w:type="pct"/>
            <w:vAlign w:val="center"/>
            <w:hideMark/>
          </w:tcPr>
          <w:p w14:paraId="3D102605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60" w:type="pct"/>
            <w:vAlign w:val="center"/>
            <w:hideMark/>
          </w:tcPr>
          <w:p w14:paraId="2F8F6363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2" w:type="pct"/>
            <w:vAlign w:val="center"/>
            <w:hideMark/>
          </w:tcPr>
          <w:p w14:paraId="2AE4911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а) установление правильности определения и отражения в учете прибыли (убытков) от продаж товаров, продукции, работ, услуг; </w:t>
            </w:r>
          </w:p>
          <w:p w14:paraId="1D9E640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б) анализ правильности учета доходов и расходов по обычным видам деятельности, прочих доходов и расходов; </w:t>
            </w:r>
          </w:p>
          <w:p w14:paraId="606FA652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в) оценка правильности и обоснованности распределения чистой прибыли; </w:t>
            </w:r>
          </w:p>
          <w:p w14:paraId="364C92D2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проверка правильности определения доходов от реализации, а также внереализационных доходов, учитываемых для целей налогообложения прибыли;</w:t>
            </w:r>
          </w:p>
          <w:p w14:paraId="32A965DF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15EF3EE6" w14:textId="77777777" w:rsidTr="000057F6">
        <w:trPr>
          <w:trHeight w:val="1239"/>
        </w:trPr>
        <w:tc>
          <w:tcPr>
            <w:tcW w:w="273" w:type="pct"/>
            <w:vAlign w:val="center"/>
            <w:hideMark/>
          </w:tcPr>
          <w:p w14:paraId="07330593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20" w:type="pct"/>
            <w:vAlign w:val="center"/>
            <w:hideMark/>
          </w:tcPr>
          <w:p w14:paraId="4B698A9B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порядка ведения раздельного учета по видам деятельности</w:t>
            </w:r>
          </w:p>
        </w:tc>
        <w:tc>
          <w:tcPr>
            <w:tcW w:w="506" w:type="pct"/>
            <w:vAlign w:val="center"/>
            <w:hideMark/>
          </w:tcPr>
          <w:p w14:paraId="2AF72A9C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60" w:type="pct"/>
            <w:vAlign w:val="center"/>
            <w:hideMark/>
          </w:tcPr>
          <w:p w14:paraId="672A7564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2" w:type="pct"/>
            <w:vAlign w:val="center"/>
            <w:hideMark/>
          </w:tcPr>
          <w:p w14:paraId="62E66B8C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проверка полноты и достоверности отражения в учете и отчетности информации о доходах, расходах и результатах финансово-хозяйственной деятельности по видам деятельности;</w:t>
            </w:r>
          </w:p>
          <w:p w14:paraId="3CB8BB1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lastRenderedPageBreak/>
              <w:t>б) проверка правильности определения налоговой базы по налогу на прибыль организаций, в случаях, когда определение отдельной налоговой базы предусмотрено НК РФ.</w:t>
            </w:r>
          </w:p>
        </w:tc>
      </w:tr>
      <w:tr w:rsidR="00F0429A" w:rsidRPr="00341E9E" w14:paraId="1E6D17A2" w14:textId="77777777" w:rsidTr="000057F6">
        <w:trPr>
          <w:trHeight w:val="1266"/>
        </w:trPr>
        <w:tc>
          <w:tcPr>
            <w:tcW w:w="273" w:type="pct"/>
            <w:vAlign w:val="center"/>
          </w:tcPr>
          <w:p w14:paraId="164CBE98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1220" w:type="pct"/>
            <w:vAlign w:val="center"/>
          </w:tcPr>
          <w:p w14:paraId="19389A2C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отложенных налоговых активов и отложенных налоговых обязательств</w:t>
            </w:r>
          </w:p>
        </w:tc>
        <w:tc>
          <w:tcPr>
            <w:tcW w:w="506" w:type="pct"/>
            <w:vAlign w:val="center"/>
          </w:tcPr>
          <w:p w14:paraId="2B7F525E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</w:tcPr>
          <w:p w14:paraId="4E87A575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2" w:type="pct"/>
            <w:vAlign w:val="center"/>
          </w:tcPr>
          <w:p w14:paraId="44E3540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проверка правильности классификации разниц на постоянные и временные;</w:t>
            </w:r>
          </w:p>
          <w:p w14:paraId="601B077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проверка правильности ставки, примененной для расчета отложенных налоговых активов и обязательств;</w:t>
            </w:r>
          </w:p>
          <w:p w14:paraId="07FAADFD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проверка правильности формирования сальдо отложенных налоговых активов и обязательств;</w:t>
            </w:r>
          </w:p>
          <w:p w14:paraId="36F16E2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проверка правильности представления движения отложенных налогов в отчете о финансовых результатах;</w:t>
            </w:r>
          </w:p>
          <w:p w14:paraId="671B53DC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проверка правильности раскрытия информации об отложенных налогах в пояснениях к бухгалтерскому балансу и отчету о финансовых результатах.</w:t>
            </w:r>
          </w:p>
        </w:tc>
      </w:tr>
      <w:tr w:rsidR="00F0429A" w:rsidRPr="00341E9E" w14:paraId="1DF738B4" w14:textId="77777777" w:rsidTr="000057F6">
        <w:trPr>
          <w:trHeight w:val="2826"/>
        </w:trPr>
        <w:tc>
          <w:tcPr>
            <w:tcW w:w="273" w:type="pct"/>
            <w:vAlign w:val="center"/>
            <w:hideMark/>
          </w:tcPr>
          <w:p w14:paraId="5A306D3A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20" w:type="pct"/>
            <w:vAlign w:val="center"/>
            <w:hideMark/>
          </w:tcPr>
          <w:p w14:paraId="0EDB3FF0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забалансовых счетов </w:t>
            </w:r>
          </w:p>
        </w:tc>
        <w:tc>
          <w:tcPr>
            <w:tcW w:w="506" w:type="pct"/>
            <w:vAlign w:val="center"/>
          </w:tcPr>
          <w:p w14:paraId="0C3082F4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</w:tcPr>
          <w:p w14:paraId="3C1C76EC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2" w:type="pct"/>
            <w:vAlign w:val="center"/>
            <w:hideMark/>
          </w:tcPr>
          <w:p w14:paraId="2B0B22FD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654A02EC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наличие объектов забалансового учета;</w:t>
            </w:r>
          </w:p>
          <w:p w14:paraId="635F0EB8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наличие и правильность оформления документов, подтверждающих право владения и распоряжения объектами забалансового учета, законность и обоснованность их получения и использования;</w:t>
            </w:r>
          </w:p>
          <w:p w14:paraId="50C493C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правильность учета ценностей, учитываемых на забалансовых счетах;</w:t>
            </w:r>
          </w:p>
          <w:p w14:paraId="2065A7C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правильность ведения регистров накопительного учета и аналитической информации по объектам забалансового учета;</w:t>
            </w:r>
          </w:p>
          <w:p w14:paraId="76E1AA58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правильность переноса данных забалансового учета в приложение к балансу;</w:t>
            </w:r>
          </w:p>
          <w:p w14:paraId="4A50EF40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е) правильность начисления и перечисления в федеральный бюджет арендной платы за использование земельных участков, федеральных зданий, помещений, сооружений, машин и оборудования.</w:t>
            </w:r>
          </w:p>
        </w:tc>
      </w:tr>
      <w:tr w:rsidR="00F0429A" w:rsidRPr="00341E9E" w14:paraId="7303D3A4" w14:textId="77777777" w:rsidTr="000057F6">
        <w:trPr>
          <w:trHeight w:val="3641"/>
        </w:trPr>
        <w:tc>
          <w:tcPr>
            <w:tcW w:w="273" w:type="pct"/>
            <w:vMerge w:val="restart"/>
            <w:vAlign w:val="center"/>
            <w:hideMark/>
          </w:tcPr>
          <w:p w14:paraId="30470BB0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1220" w:type="pct"/>
            <w:vMerge w:val="restart"/>
            <w:vAlign w:val="center"/>
            <w:hideMark/>
          </w:tcPr>
          <w:p w14:paraId="30981E8E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Проверка соответствия бухгалтерской (финансовой) отчетности требованиям действующего законодательства </w:t>
            </w:r>
          </w:p>
        </w:tc>
        <w:tc>
          <w:tcPr>
            <w:tcW w:w="506" w:type="pct"/>
            <w:vAlign w:val="center"/>
            <w:hideMark/>
          </w:tcPr>
          <w:p w14:paraId="56D8E93A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17.1</w:t>
            </w:r>
          </w:p>
        </w:tc>
        <w:tc>
          <w:tcPr>
            <w:tcW w:w="860" w:type="pct"/>
            <w:vAlign w:val="center"/>
            <w:hideMark/>
          </w:tcPr>
          <w:p w14:paraId="5A784663" w14:textId="77777777" w:rsidR="00F0429A" w:rsidRPr="00341E9E" w:rsidRDefault="00F0429A" w:rsidP="009C66D0">
            <w:pPr>
              <w:spacing w:line="240" w:lineRule="auto"/>
              <w:ind w:hanging="6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форм бухгалтерской (финансовой) отчетности </w:t>
            </w:r>
          </w:p>
        </w:tc>
        <w:tc>
          <w:tcPr>
            <w:tcW w:w="2142" w:type="pct"/>
            <w:vAlign w:val="center"/>
            <w:hideMark/>
          </w:tcPr>
          <w:p w14:paraId="5331288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проверить состав и содержание форм бухгалтерской отчетности, увязку ее показателей;</w:t>
            </w:r>
          </w:p>
          <w:p w14:paraId="1FEC470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б) выразить мнение о достоверности показателей отчетности во всех существенных отношениях; </w:t>
            </w:r>
          </w:p>
          <w:p w14:paraId="466D2FFB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в) проверить правильность оценки статей отчетности; </w:t>
            </w:r>
          </w:p>
          <w:p w14:paraId="65D68D9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предложить внести (при необходимости) изменения в отчетность на основе оценки количественного влияния на ее показатели существенных отклонений, выявленных в процессе аудита.</w:t>
            </w:r>
          </w:p>
        </w:tc>
      </w:tr>
      <w:tr w:rsidR="00F0429A" w:rsidRPr="00341E9E" w14:paraId="14F4D2EC" w14:textId="77777777" w:rsidTr="000057F6">
        <w:trPr>
          <w:trHeight w:val="1238"/>
        </w:trPr>
        <w:tc>
          <w:tcPr>
            <w:tcW w:w="273" w:type="pct"/>
            <w:vMerge/>
            <w:vAlign w:val="center"/>
            <w:hideMark/>
          </w:tcPr>
          <w:p w14:paraId="74DB3455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1873A787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27EEA941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17.2</w:t>
            </w:r>
          </w:p>
        </w:tc>
        <w:tc>
          <w:tcPr>
            <w:tcW w:w="860" w:type="pct"/>
            <w:vAlign w:val="center"/>
            <w:hideMark/>
          </w:tcPr>
          <w:p w14:paraId="09DFF9D5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пояснений к бухгалтерскому балансу и отчету о финансовых результатах</w:t>
            </w:r>
          </w:p>
        </w:tc>
        <w:tc>
          <w:tcPr>
            <w:tcW w:w="2142" w:type="pct"/>
            <w:vAlign w:val="center"/>
            <w:hideMark/>
          </w:tcPr>
          <w:p w14:paraId="7080245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проверить состав и содержание пояснений к бухгалтерскому балансу и отчету о финансовых результатах;</w:t>
            </w:r>
          </w:p>
          <w:p w14:paraId="7EFEEDC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проверить полноту раскрытий информации в пояснениях к бухгалтерскому балансу и отчету о финансовых результатах в соответствии с требованиями действующего законодательства.</w:t>
            </w:r>
          </w:p>
        </w:tc>
      </w:tr>
      <w:tr w:rsidR="00F0429A" w:rsidRPr="00341E9E" w14:paraId="5B98141B" w14:textId="77777777" w:rsidTr="000057F6">
        <w:trPr>
          <w:trHeight w:val="944"/>
        </w:trPr>
        <w:tc>
          <w:tcPr>
            <w:tcW w:w="273" w:type="pct"/>
            <w:vAlign w:val="center"/>
            <w:hideMark/>
          </w:tcPr>
          <w:p w14:paraId="0F4C634E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20" w:type="pct"/>
            <w:vAlign w:val="center"/>
            <w:hideMark/>
          </w:tcPr>
          <w:p w14:paraId="008A6A53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Прочие вопросы </w:t>
            </w:r>
          </w:p>
        </w:tc>
        <w:tc>
          <w:tcPr>
            <w:tcW w:w="506" w:type="pct"/>
            <w:vAlign w:val="center"/>
            <w:hideMark/>
          </w:tcPr>
          <w:p w14:paraId="591DB476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60" w:type="pct"/>
            <w:vAlign w:val="center"/>
            <w:hideMark/>
          </w:tcPr>
          <w:p w14:paraId="63A1098E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2" w:type="pct"/>
            <w:vAlign w:val="center"/>
            <w:hideMark/>
          </w:tcPr>
          <w:p w14:paraId="33F8671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На усмотрение Аудитора, вопросы, необходимые для подтверждения достоверности Отчетности</w:t>
            </w:r>
          </w:p>
        </w:tc>
      </w:tr>
      <w:tr w:rsidR="00F0429A" w:rsidRPr="00341E9E" w14:paraId="17459BDC" w14:textId="77777777" w:rsidTr="000057F6">
        <w:trPr>
          <w:trHeight w:val="600"/>
        </w:trPr>
        <w:tc>
          <w:tcPr>
            <w:tcW w:w="273" w:type="pct"/>
            <w:vAlign w:val="center"/>
            <w:hideMark/>
          </w:tcPr>
          <w:p w14:paraId="74482A78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20" w:type="pct"/>
            <w:vAlign w:val="center"/>
            <w:hideMark/>
          </w:tcPr>
          <w:p w14:paraId="0F92358F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Предложения по минимизации финансовых рисков</w:t>
            </w:r>
          </w:p>
        </w:tc>
        <w:tc>
          <w:tcPr>
            <w:tcW w:w="506" w:type="pct"/>
            <w:vAlign w:val="center"/>
            <w:hideMark/>
          </w:tcPr>
          <w:p w14:paraId="771D5B14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60" w:type="pct"/>
            <w:vAlign w:val="center"/>
            <w:hideMark/>
          </w:tcPr>
          <w:p w14:paraId="3C3C0DF2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2" w:type="pct"/>
            <w:vAlign w:val="center"/>
            <w:hideMark/>
          </w:tcPr>
          <w:p w14:paraId="66EFC42B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Представить предложения по внешним и внутренним механизмам минимизации финансовых рисков.</w:t>
            </w:r>
          </w:p>
        </w:tc>
      </w:tr>
      <w:tr w:rsidR="00F0429A" w:rsidRPr="00341E9E" w14:paraId="6132D54E" w14:textId="77777777" w:rsidTr="000057F6">
        <w:trPr>
          <w:trHeight w:val="509"/>
        </w:trPr>
        <w:tc>
          <w:tcPr>
            <w:tcW w:w="273" w:type="pct"/>
            <w:vAlign w:val="center"/>
            <w:hideMark/>
          </w:tcPr>
          <w:p w14:paraId="64791286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20" w:type="pct"/>
            <w:vAlign w:val="center"/>
            <w:hideMark/>
          </w:tcPr>
          <w:p w14:paraId="13C88316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Оценить качество ведения бухгалтерского и налогового учета</w:t>
            </w:r>
          </w:p>
        </w:tc>
        <w:tc>
          <w:tcPr>
            <w:tcW w:w="506" w:type="pct"/>
            <w:vAlign w:val="center"/>
            <w:hideMark/>
          </w:tcPr>
          <w:p w14:paraId="0E59A5C2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60" w:type="pct"/>
            <w:vAlign w:val="center"/>
            <w:hideMark/>
          </w:tcPr>
          <w:p w14:paraId="2038B0E3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2" w:type="pct"/>
            <w:vAlign w:val="center"/>
            <w:hideMark/>
          </w:tcPr>
          <w:p w14:paraId="39E6AAC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Дать оценку качества ведения бухгалтерского и налогового учета, а также определить причины, вызвавшие некачественное ведение учета. Проверить следование действующим нормам законодательства по бухгалтерскому и налоговому учету.</w:t>
            </w:r>
          </w:p>
        </w:tc>
      </w:tr>
      <w:tr w:rsidR="00F0429A" w:rsidRPr="00341E9E" w14:paraId="0E43B720" w14:textId="77777777" w:rsidTr="000057F6">
        <w:trPr>
          <w:trHeight w:val="414"/>
        </w:trPr>
        <w:tc>
          <w:tcPr>
            <w:tcW w:w="273" w:type="pct"/>
            <w:vAlign w:val="center"/>
            <w:hideMark/>
          </w:tcPr>
          <w:p w14:paraId="762E0DF0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20" w:type="pct"/>
            <w:vAlign w:val="center"/>
            <w:hideMark/>
          </w:tcPr>
          <w:p w14:paraId="5FD9B303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Анализ предъявленных обществу исков, условных фактов хозяйственной деятельности</w:t>
            </w:r>
          </w:p>
        </w:tc>
        <w:tc>
          <w:tcPr>
            <w:tcW w:w="506" w:type="pct"/>
            <w:vAlign w:val="center"/>
            <w:hideMark/>
          </w:tcPr>
          <w:p w14:paraId="3DB559A0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60" w:type="pct"/>
            <w:vAlign w:val="center"/>
            <w:hideMark/>
          </w:tcPr>
          <w:p w14:paraId="713C194D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2" w:type="pct"/>
            <w:vAlign w:val="center"/>
            <w:hideMark/>
          </w:tcPr>
          <w:p w14:paraId="29A3986F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провести анализ предъявленных Заказчику исков, определить их существенность и влияние на финансовое и общественное положение Заказчика;</w:t>
            </w:r>
          </w:p>
          <w:p w14:paraId="041B9EBD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проанализировать выданные обеспечения, поручительства и гарантии, проверить полноту признания обязательств, в случае неплатежеспособности компании, по обязательствам которой выданы обеспечения;</w:t>
            </w:r>
          </w:p>
          <w:p w14:paraId="32A565EB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проверить наличие, полноту раскрытия и/или признания обязательств по прочим условным фактам хозяйственной деятельности.</w:t>
            </w:r>
          </w:p>
        </w:tc>
      </w:tr>
      <w:tr w:rsidR="00F0429A" w:rsidRPr="00341E9E" w14:paraId="160072CB" w14:textId="77777777" w:rsidTr="000057F6">
        <w:trPr>
          <w:trHeight w:val="1537"/>
        </w:trPr>
        <w:tc>
          <w:tcPr>
            <w:tcW w:w="273" w:type="pct"/>
            <w:vAlign w:val="center"/>
            <w:hideMark/>
          </w:tcPr>
          <w:p w14:paraId="56D4F66E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1220" w:type="pct"/>
            <w:vAlign w:val="center"/>
            <w:hideMark/>
          </w:tcPr>
          <w:p w14:paraId="42FEAF74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Анализ соблюдения принципа непрерывности деятельности и анализ финансовой</w:t>
            </w:r>
          </w:p>
          <w:p w14:paraId="3F9DD8A5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устойчивости</w:t>
            </w:r>
          </w:p>
        </w:tc>
        <w:tc>
          <w:tcPr>
            <w:tcW w:w="506" w:type="pct"/>
            <w:vAlign w:val="center"/>
            <w:hideMark/>
          </w:tcPr>
          <w:p w14:paraId="258D142D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60" w:type="pct"/>
            <w:vAlign w:val="center"/>
            <w:hideMark/>
          </w:tcPr>
          <w:p w14:paraId="304BBAD8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2" w:type="pct"/>
            <w:vAlign w:val="center"/>
            <w:hideMark/>
          </w:tcPr>
          <w:p w14:paraId="644BC8A8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Оценить правомерность применения принципа непрерывности деятельности как основы подготовки отчетности.</w:t>
            </w:r>
          </w:p>
          <w:p w14:paraId="4A5DCD37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Дать характеристику финансовой устойчивости Заказчика:</w:t>
            </w:r>
          </w:p>
          <w:p w14:paraId="0B969E4F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- состав и размещение активов;</w:t>
            </w:r>
          </w:p>
          <w:p w14:paraId="2C4402AF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- динамику и структуру финансовых - источников;</w:t>
            </w:r>
          </w:p>
          <w:p w14:paraId="4827C01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- наличие собственных оборотных средств;</w:t>
            </w:r>
          </w:p>
          <w:p w14:paraId="3800843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- кредиторская задолженность;</w:t>
            </w:r>
          </w:p>
          <w:p w14:paraId="06DC7691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- наличие и структура оборотных средств;</w:t>
            </w:r>
          </w:p>
          <w:p w14:paraId="52BD4A9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- дебиторская задолженность;</w:t>
            </w:r>
          </w:p>
          <w:p w14:paraId="42E2E88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- платежеспособность.</w:t>
            </w:r>
          </w:p>
        </w:tc>
      </w:tr>
      <w:tr w:rsidR="00F0429A" w:rsidRPr="00341E9E" w14:paraId="6248B732" w14:textId="77777777" w:rsidTr="000057F6">
        <w:trPr>
          <w:trHeight w:val="2215"/>
        </w:trPr>
        <w:tc>
          <w:tcPr>
            <w:tcW w:w="273" w:type="pct"/>
            <w:vAlign w:val="center"/>
            <w:hideMark/>
          </w:tcPr>
          <w:p w14:paraId="2A409C1B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20" w:type="pct"/>
            <w:vAlign w:val="center"/>
            <w:hideMark/>
          </w:tcPr>
          <w:p w14:paraId="0BB180CB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Анализ и оценка системы внутреннего контроля</w:t>
            </w:r>
          </w:p>
        </w:tc>
        <w:tc>
          <w:tcPr>
            <w:tcW w:w="506" w:type="pct"/>
            <w:vAlign w:val="center"/>
            <w:hideMark/>
          </w:tcPr>
          <w:p w14:paraId="33A69C13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  <w:hideMark/>
          </w:tcPr>
          <w:p w14:paraId="19BE64D0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2" w:type="pct"/>
            <w:vAlign w:val="center"/>
            <w:hideMark/>
          </w:tcPr>
          <w:p w14:paraId="382E4638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Провести анализ и дать оценку качества и полноты системы внутреннего контроля Заказчика. Описать недостатки функционирования системы внутреннего контроля Заказчика и дать рекомендации по ее усовершенствованию.</w:t>
            </w:r>
          </w:p>
        </w:tc>
      </w:tr>
      <w:tr w:rsidR="00F0429A" w:rsidRPr="00341E9E" w14:paraId="66275F9D" w14:textId="77777777" w:rsidTr="000057F6">
        <w:trPr>
          <w:trHeight w:val="1834"/>
        </w:trPr>
        <w:tc>
          <w:tcPr>
            <w:tcW w:w="273" w:type="pct"/>
            <w:vAlign w:val="center"/>
            <w:hideMark/>
          </w:tcPr>
          <w:p w14:paraId="1AA8E5BD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20" w:type="pct"/>
            <w:vAlign w:val="center"/>
            <w:hideMark/>
          </w:tcPr>
          <w:p w14:paraId="5C823EB4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Анализ событий после отчетной даты</w:t>
            </w:r>
          </w:p>
        </w:tc>
        <w:tc>
          <w:tcPr>
            <w:tcW w:w="506" w:type="pct"/>
            <w:vAlign w:val="center"/>
            <w:hideMark/>
          </w:tcPr>
          <w:p w14:paraId="0BAC5E54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  <w:hideMark/>
          </w:tcPr>
          <w:p w14:paraId="6EAB754F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2" w:type="pct"/>
            <w:vAlign w:val="center"/>
            <w:hideMark/>
          </w:tcPr>
          <w:p w14:paraId="42C04BC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Проверить полноту раскрытия информации о событиях после отчетной даты, а также полноту отражения корректирующих событий после отчетной даты в отчетности.</w:t>
            </w:r>
          </w:p>
        </w:tc>
      </w:tr>
    </w:tbl>
    <w:p w14:paraId="60EFE7C0" w14:textId="77777777" w:rsidR="000057F6" w:rsidRDefault="000057F6" w:rsidP="000057F6">
      <w:pPr>
        <w:tabs>
          <w:tab w:val="left" w:pos="1417"/>
        </w:tabs>
        <w:spacing w:before="60" w:after="113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C4C71EB" w14:textId="40CD27FE" w:rsidR="005E2CF9" w:rsidRPr="005E2CF9" w:rsidRDefault="005E2CF9" w:rsidP="005E2CF9">
      <w:pPr>
        <w:pStyle w:val="a7"/>
        <w:numPr>
          <w:ilvl w:val="0"/>
          <w:numId w:val="6"/>
        </w:numPr>
        <w:tabs>
          <w:tab w:val="left" w:pos="1417"/>
        </w:tabs>
        <w:spacing w:before="60" w:after="113"/>
        <w:jc w:val="both"/>
        <w:rPr>
          <w:rFonts w:ascii="Times New Roman" w:hAnsi="Times New Roman"/>
          <w:sz w:val="24"/>
          <w:szCs w:val="24"/>
        </w:rPr>
      </w:pPr>
      <w:r w:rsidRPr="005E2CF9">
        <w:rPr>
          <w:rFonts w:ascii="Times New Roman" w:hAnsi="Times New Roman"/>
          <w:sz w:val="24"/>
          <w:szCs w:val="24"/>
        </w:rPr>
        <w:t>Оплата оказанных услуг производится в размере 100% стоимости оказанных услуг после подписания Сторонами Акта оказанных услуг.</w:t>
      </w:r>
    </w:p>
    <w:p w14:paraId="0A18D1DB" w14:textId="66AD2AB6" w:rsidR="000057F6" w:rsidRPr="000057F6" w:rsidRDefault="000057F6" w:rsidP="005E2CF9">
      <w:pPr>
        <w:pStyle w:val="a7"/>
        <w:numPr>
          <w:ilvl w:val="0"/>
          <w:numId w:val="6"/>
        </w:numPr>
        <w:tabs>
          <w:tab w:val="left" w:pos="1417"/>
        </w:tabs>
        <w:spacing w:before="60" w:after="1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0057F6">
        <w:rPr>
          <w:rFonts w:ascii="Times New Roman" w:hAnsi="Times New Roman"/>
          <w:sz w:val="24"/>
          <w:szCs w:val="24"/>
        </w:rPr>
        <w:t>Сдача-приемка оказанных услуг производится Сторонами по итогу проведения аудита</w:t>
      </w:r>
      <w:r w:rsidR="00FE2BD1">
        <w:rPr>
          <w:rFonts w:ascii="Times New Roman" w:hAnsi="Times New Roman"/>
          <w:sz w:val="24"/>
          <w:szCs w:val="24"/>
        </w:rPr>
        <w:t>.</w:t>
      </w:r>
    </w:p>
    <w:p w14:paraId="75376FEF" w14:textId="77777777" w:rsidR="000057F6" w:rsidRPr="00754CC8" w:rsidRDefault="000057F6" w:rsidP="000057F6">
      <w:pPr>
        <w:tabs>
          <w:tab w:val="left" w:pos="1417"/>
        </w:tabs>
        <w:ind w:firstLine="709"/>
        <w:rPr>
          <w:rFonts w:ascii="Times New Roman" w:hAnsi="Times New Roman"/>
          <w:b/>
          <w:sz w:val="24"/>
          <w:szCs w:val="24"/>
        </w:rPr>
      </w:pPr>
      <w:r w:rsidRPr="00754CC8">
        <w:rPr>
          <w:rFonts w:ascii="Times New Roman" w:hAnsi="Times New Roman"/>
          <w:bCs/>
          <w:sz w:val="24"/>
          <w:szCs w:val="24"/>
        </w:rPr>
        <w:t>Требование к оформлению результатов аудита</w:t>
      </w:r>
    </w:p>
    <w:p w14:paraId="6ACE188F" w14:textId="748D0823" w:rsidR="000057F6" w:rsidRPr="00754CC8" w:rsidRDefault="000057F6" w:rsidP="000057F6">
      <w:pPr>
        <w:pStyle w:val="ae"/>
        <w:tabs>
          <w:tab w:val="left" w:pos="1417"/>
        </w:tabs>
        <w:spacing w:before="60" w:after="6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54CC8">
        <w:rPr>
          <w:rFonts w:ascii="Times New Roman" w:hAnsi="Times New Roman"/>
          <w:sz w:val="24"/>
          <w:szCs w:val="24"/>
        </w:rPr>
        <w:t>По результатам оказания услуг по проведению аудита в отношении бухгалтерской (финансовой) отчетности по РСБУ за 202</w:t>
      </w:r>
      <w:r w:rsidR="005762A4">
        <w:rPr>
          <w:rFonts w:ascii="Times New Roman" w:hAnsi="Times New Roman"/>
          <w:sz w:val="24"/>
          <w:szCs w:val="24"/>
        </w:rPr>
        <w:t>6</w:t>
      </w:r>
      <w:r w:rsidRPr="00754CC8">
        <w:rPr>
          <w:rFonts w:ascii="Times New Roman" w:hAnsi="Times New Roman"/>
          <w:sz w:val="24"/>
          <w:szCs w:val="24"/>
        </w:rPr>
        <w:t xml:space="preserve"> г. формируются следующие отчетные (итоговые) документы:</w:t>
      </w:r>
    </w:p>
    <w:p w14:paraId="7F912626" w14:textId="77777777" w:rsidR="000057F6" w:rsidRPr="00754CC8" w:rsidRDefault="000057F6" w:rsidP="000057F6">
      <w:pPr>
        <w:pStyle w:val="a7"/>
        <w:numPr>
          <w:ilvl w:val="0"/>
          <w:numId w:val="7"/>
        </w:numPr>
        <w:tabs>
          <w:tab w:val="left" w:pos="1417"/>
        </w:tabs>
        <w:spacing w:before="60" w:after="6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4CC8">
        <w:rPr>
          <w:rFonts w:ascii="Times New Roman" w:hAnsi="Times New Roman"/>
          <w:sz w:val="24"/>
          <w:szCs w:val="24"/>
        </w:rPr>
        <w:t>письменная информация (отчет) руководству Заказчика по результатам аудита в 2 (двух) экземплярах на бумажном носителе и в 1 (одном) экземпляре в электронном виде на материальном флеш-накопителе;</w:t>
      </w:r>
    </w:p>
    <w:p w14:paraId="7E7177E9" w14:textId="77777777" w:rsidR="000057F6" w:rsidRPr="00754CC8" w:rsidRDefault="000057F6" w:rsidP="000057F6">
      <w:pPr>
        <w:pStyle w:val="a7"/>
        <w:numPr>
          <w:ilvl w:val="0"/>
          <w:numId w:val="7"/>
        </w:numPr>
        <w:tabs>
          <w:tab w:val="left" w:pos="1417"/>
        </w:tabs>
        <w:spacing w:before="60" w:after="6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4CC8">
        <w:rPr>
          <w:rFonts w:ascii="Times New Roman" w:hAnsi="Times New Roman"/>
          <w:sz w:val="24"/>
          <w:szCs w:val="24"/>
        </w:rPr>
        <w:t xml:space="preserve">аудиторское заключение в 1 (одном) экземпляре в электронном виде на материальном флеш-накопителе и на бумажном носителе в количестве </w:t>
      </w:r>
      <w:r w:rsidRPr="005762A4">
        <w:rPr>
          <w:rFonts w:ascii="Times New Roman" w:hAnsi="Times New Roman"/>
          <w:sz w:val="24"/>
          <w:szCs w:val="24"/>
          <w:highlight w:val="yellow"/>
        </w:rPr>
        <w:t>не менее чем в 6 (шести) подлинных экземплярах, 5 (пять) из которых передаются Заказчику</w:t>
      </w:r>
      <w:r w:rsidRPr="00754CC8">
        <w:rPr>
          <w:rFonts w:ascii="Times New Roman" w:hAnsi="Times New Roman"/>
          <w:sz w:val="24"/>
          <w:szCs w:val="24"/>
        </w:rPr>
        <w:t>, а один остается у Исполнителя для хранения в порядке, установленном действующим законодательством. К Аудиторскому заключению прилагается отчетность, в отношении которой Исполнителем выражается мнение.</w:t>
      </w:r>
    </w:p>
    <w:p w14:paraId="62122C70" w14:textId="77777777" w:rsidR="000057F6" w:rsidRPr="00754CC8" w:rsidRDefault="000057F6" w:rsidP="000057F6">
      <w:pPr>
        <w:tabs>
          <w:tab w:val="left" w:pos="1417"/>
        </w:tabs>
        <w:spacing w:before="60" w:after="60"/>
        <w:ind w:firstLine="709"/>
        <w:jc w:val="both"/>
        <w:rPr>
          <w:rFonts w:ascii="Times New Roman" w:hAnsi="Times New Roman"/>
          <w:sz w:val="24"/>
          <w:szCs w:val="24"/>
        </w:rPr>
      </w:pPr>
      <w:r w:rsidRPr="00754CC8">
        <w:rPr>
          <w:rFonts w:ascii="Times New Roman" w:hAnsi="Times New Roman"/>
          <w:sz w:val="24"/>
          <w:szCs w:val="24"/>
        </w:rPr>
        <w:lastRenderedPageBreak/>
        <w:t>Аудиторское заключение и отчетность должны быть сброшюрованы в единый пакет, листы пронумерованы, прошнурованы, опечатаны печатью Исполнителя с указанием общего количества листов в пакете.</w:t>
      </w:r>
    </w:p>
    <w:p w14:paraId="6E3FBC32" w14:textId="77777777" w:rsidR="000057F6" w:rsidRPr="00754CC8" w:rsidRDefault="000057F6" w:rsidP="000057F6">
      <w:pPr>
        <w:widowControl w:val="0"/>
        <w:tabs>
          <w:tab w:val="left" w:pos="1417"/>
        </w:tabs>
        <w:ind w:firstLine="709"/>
        <w:contextualSpacing/>
        <w:jc w:val="both"/>
        <w:rPr>
          <w:rFonts w:ascii="Times New Roman" w:hAnsi="Times New Roman"/>
        </w:rPr>
      </w:pPr>
      <w:r w:rsidRPr="00754CC8">
        <w:rPr>
          <w:rFonts w:ascii="Times New Roman" w:hAnsi="Times New Roman"/>
          <w:sz w:val="24"/>
          <w:szCs w:val="24"/>
        </w:rPr>
        <w:t>Документация, разрабатываемая в соответствии с техническим заданием, должна предоставляться в электронной форме и в форматах, совместимых с текстовым редактором/редактором электронных таблиц/редактором презентаций офисного пакета «Р7-ОФИС» (</w:t>
      </w:r>
      <w:hyperlink w:history="1">
        <w:r w:rsidRPr="00754CC8">
          <w:rPr>
            <w:rFonts w:ascii="Times New Roman" w:hAnsi="Times New Roman"/>
            <w:sz w:val="24"/>
            <w:szCs w:val="24"/>
          </w:rPr>
          <w:t>https://r7-office.online/</w:t>
        </w:r>
      </w:hyperlink>
      <w:r w:rsidRPr="00754CC8">
        <w:rPr>
          <w:rFonts w:ascii="Times New Roman" w:hAnsi="Times New Roman"/>
          <w:sz w:val="24"/>
          <w:szCs w:val="24"/>
        </w:rPr>
        <w:t>).</w:t>
      </w:r>
    </w:p>
    <w:p w14:paraId="1E23BF81" w14:textId="77777777" w:rsidR="000057F6" w:rsidRPr="00754CC8" w:rsidRDefault="000057F6" w:rsidP="000057F6">
      <w:pPr>
        <w:widowControl w:val="0"/>
        <w:tabs>
          <w:tab w:val="left" w:pos="1417"/>
        </w:tabs>
        <w:ind w:firstLine="709"/>
        <w:contextualSpacing/>
        <w:jc w:val="both"/>
        <w:rPr>
          <w:rFonts w:ascii="Times New Roman" w:hAnsi="Times New Roman"/>
        </w:rPr>
      </w:pPr>
      <w:r w:rsidRPr="00754CC8">
        <w:rPr>
          <w:rFonts w:ascii="Times New Roman" w:hAnsi="Times New Roman"/>
          <w:sz w:val="24"/>
          <w:szCs w:val="24"/>
        </w:rPr>
        <w:t>Все текстовые, графические и иные элементы в составе документации должны корректно отображаться при работе сотрудниками Заказчика в «Р7-ОФИС».</w:t>
      </w:r>
    </w:p>
    <w:bookmarkEnd w:id="0"/>
    <w:bookmarkEnd w:id="1"/>
    <w:bookmarkEnd w:id="2"/>
    <w:p w14:paraId="0F8BF9D5" w14:textId="77777777" w:rsidR="00F0429A" w:rsidRPr="00422096" w:rsidRDefault="00F0429A" w:rsidP="00F0429A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sectPr w:rsidR="00F0429A" w:rsidRPr="00422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Н. Цыганкова" w:date="2026-09-22T12:06:00Z" w:initials="НЦ">
    <w:p w14:paraId="1C3DB8F5" w14:textId="77777777" w:rsidR="005762A4" w:rsidRDefault="005762A4" w:rsidP="005762A4">
      <w:pPr>
        <w:pStyle w:val="ae"/>
      </w:pPr>
      <w:r>
        <w:rPr>
          <w:rStyle w:val="ad"/>
        </w:rPr>
        <w:annotationRef/>
      </w:r>
      <w:r>
        <w:t>Перепроверить</w:t>
      </w:r>
    </w:p>
  </w:comment>
  <w:comment w:id="5" w:author="Н. Цыганкова" w:date="2026-09-22T12:08:00Z" w:initials="НЦ">
    <w:p w14:paraId="70191EC3" w14:textId="77777777" w:rsidR="005762A4" w:rsidRDefault="005762A4" w:rsidP="005762A4">
      <w:pPr>
        <w:pStyle w:val="ae"/>
      </w:pPr>
      <w:r>
        <w:rPr>
          <w:rStyle w:val="ad"/>
        </w:rPr>
        <w:annotationRef/>
      </w:r>
      <w:r>
        <w:t>Перепроверить</w:t>
      </w:r>
    </w:p>
  </w:comment>
  <w:comment w:id="6" w:author="Н. Цыганкова" w:date="2026-09-22T12:10:00Z" w:initials="НЦ">
    <w:p w14:paraId="55CEF8EA" w14:textId="59208E49" w:rsidR="005762A4" w:rsidRDefault="005762A4" w:rsidP="005762A4">
      <w:pPr>
        <w:pStyle w:val="ae"/>
      </w:pPr>
      <w:r>
        <w:rPr>
          <w:rStyle w:val="ad"/>
        </w:rPr>
        <w:annotationRef/>
      </w:r>
      <w:r>
        <w:t>Перепроверить период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C3DB8F5" w15:done="0"/>
  <w15:commentEx w15:paraId="70191EC3" w15:done="0"/>
  <w15:commentEx w15:paraId="55CEF8E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F61C0C9" w16cex:dateUtc="2026-09-22T09:06:00Z"/>
  <w16cex:commentExtensible w16cex:durableId="3D7943DC" w16cex:dateUtc="2026-09-22T09:08:00Z"/>
  <w16cex:commentExtensible w16cex:durableId="664B6279" w16cex:dateUtc="2026-09-22T09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C3DB8F5" w16cid:durableId="6F61C0C9"/>
  <w16cid:commentId w16cid:paraId="70191EC3" w16cid:durableId="3D7943DC"/>
  <w16cid:commentId w16cid:paraId="55CEF8EA" w16cid:durableId="664B627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05DB7"/>
    <w:multiLevelType w:val="hybridMultilevel"/>
    <w:tmpl w:val="E2349D30"/>
    <w:lvl w:ilvl="0" w:tplc="CD5E039E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1BC233E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1ADCC09E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2912F46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162EFA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42CA96E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2E84C3FC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30988C0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9FF4F81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F75365E"/>
    <w:multiLevelType w:val="hybridMultilevel"/>
    <w:tmpl w:val="BEB23DD8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0424D"/>
    <w:multiLevelType w:val="hybridMultilevel"/>
    <w:tmpl w:val="96F6C5C0"/>
    <w:lvl w:ilvl="0" w:tplc="0566833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C68A0EA2">
      <w:start w:val="1"/>
      <w:numFmt w:val="bullet"/>
      <w:lvlText w:val="–"/>
      <w:lvlJc w:val="left"/>
      <w:pPr>
        <w:ind w:left="1440" w:hanging="360"/>
      </w:pPr>
      <w:rPr>
        <w:rFonts w:ascii="Arial" w:eastAsia="Arial" w:hAnsi="Arial" w:cs="Arial"/>
      </w:rPr>
    </w:lvl>
    <w:lvl w:ilvl="2" w:tplc="D5387E0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E32230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A167ED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E4AAA3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F8EA2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84235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004F2F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37BF640A"/>
    <w:multiLevelType w:val="hybridMultilevel"/>
    <w:tmpl w:val="BEB23DD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1A4511"/>
    <w:multiLevelType w:val="hybridMultilevel"/>
    <w:tmpl w:val="50764784"/>
    <w:lvl w:ilvl="0" w:tplc="5EA2D0F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3806AF5"/>
    <w:multiLevelType w:val="hybridMultilevel"/>
    <w:tmpl w:val="FB6037F2"/>
    <w:lvl w:ilvl="0" w:tplc="A9A82544">
      <w:start w:val="1"/>
      <w:numFmt w:val="decimal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2564AF1C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D9EE06C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462172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E1F87C8E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C93474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DC568E1A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7684698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B48835DE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9CA41C8"/>
    <w:multiLevelType w:val="hybridMultilevel"/>
    <w:tmpl w:val="AEE28152"/>
    <w:lvl w:ilvl="0" w:tplc="989AC4F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9CDE75FE">
      <w:start w:val="1"/>
      <w:numFmt w:val="bullet"/>
      <w:lvlText w:val="–"/>
      <w:lvlJc w:val="left"/>
      <w:pPr>
        <w:ind w:left="1440" w:hanging="360"/>
      </w:pPr>
      <w:rPr>
        <w:rFonts w:ascii="Arial" w:eastAsia="Arial" w:hAnsi="Arial" w:cs="Arial"/>
      </w:rPr>
    </w:lvl>
    <w:lvl w:ilvl="2" w:tplc="3588F4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EBADB6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316ACC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06A343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5CE534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BC0C3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C0A542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6EDB0763"/>
    <w:multiLevelType w:val="hybridMultilevel"/>
    <w:tmpl w:val="0A223A1A"/>
    <w:lvl w:ilvl="0" w:tplc="4678FD3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5CD836D6">
      <w:start w:val="1"/>
      <w:numFmt w:val="bullet"/>
      <w:lvlText w:val="–"/>
      <w:lvlJc w:val="left"/>
      <w:pPr>
        <w:ind w:left="1440" w:hanging="360"/>
      </w:pPr>
      <w:rPr>
        <w:rFonts w:ascii="Arial" w:eastAsia="Arial" w:hAnsi="Arial" w:cs="Arial"/>
      </w:rPr>
    </w:lvl>
    <w:lvl w:ilvl="2" w:tplc="3BD23D4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85010C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4AC9C6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EA4E44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8DC43E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798AE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0CA46E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1696879642">
    <w:abstractNumId w:val="4"/>
  </w:num>
  <w:num w:numId="2" w16cid:durableId="1704865104">
    <w:abstractNumId w:val="5"/>
  </w:num>
  <w:num w:numId="3" w16cid:durableId="380862423">
    <w:abstractNumId w:val="7"/>
  </w:num>
  <w:num w:numId="4" w16cid:durableId="93211496">
    <w:abstractNumId w:val="6"/>
  </w:num>
  <w:num w:numId="5" w16cid:durableId="790170001">
    <w:abstractNumId w:val="2"/>
  </w:num>
  <w:num w:numId="6" w16cid:durableId="1087313039">
    <w:abstractNumId w:val="3"/>
  </w:num>
  <w:num w:numId="7" w16cid:durableId="2102677213">
    <w:abstractNumId w:val="0"/>
  </w:num>
  <w:num w:numId="8" w16cid:durableId="1841506951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Н. Цыганкова">
    <w15:presenceInfo w15:providerId="None" w15:userId="Н. Цыганков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29A"/>
    <w:rsid w:val="000057F6"/>
    <w:rsid w:val="000E27C1"/>
    <w:rsid w:val="000F4EF1"/>
    <w:rsid w:val="00186E34"/>
    <w:rsid w:val="002B500F"/>
    <w:rsid w:val="002B7EDF"/>
    <w:rsid w:val="00335425"/>
    <w:rsid w:val="00346C2C"/>
    <w:rsid w:val="00394AF9"/>
    <w:rsid w:val="003A0882"/>
    <w:rsid w:val="003B077B"/>
    <w:rsid w:val="003B12D3"/>
    <w:rsid w:val="004B6EF9"/>
    <w:rsid w:val="005427C9"/>
    <w:rsid w:val="00555904"/>
    <w:rsid w:val="005762A4"/>
    <w:rsid w:val="005D7859"/>
    <w:rsid w:val="005E2CF9"/>
    <w:rsid w:val="00603E2D"/>
    <w:rsid w:val="00607EEA"/>
    <w:rsid w:val="00656AEB"/>
    <w:rsid w:val="007453B7"/>
    <w:rsid w:val="007558A7"/>
    <w:rsid w:val="008058CA"/>
    <w:rsid w:val="0082162B"/>
    <w:rsid w:val="00867162"/>
    <w:rsid w:val="008913EF"/>
    <w:rsid w:val="008E2414"/>
    <w:rsid w:val="008F5C27"/>
    <w:rsid w:val="009523C5"/>
    <w:rsid w:val="009C07E2"/>
    <w:rsid w:val="00A108DF"/>
    <w:rsid w:val="00B60EE6"/>
    <w:rsid w:val="00B8700D"/>
    <w:rsid w:val="00BA72EE"/>
    <w:rsid w:val="00BC1158"/>
    <w:rsid w:val="00C32449"/>
    <w:rsid w:val="00C40BE1"/>
    <w:rsid w:val="00C640C5"/>
    <w:rsid w:val="00D825ED"/>
    <w:rsid w:val="00E72EB4"/>
    <w:rsid w:val="00E752B6"/>
    <w:rsid w:val="00F03C01"/>
    <w:rsid w:val="00F0429A"/>
    <w:rsid w:val="00FE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0B5E8"/>
  <w15:chartTrackingRefBased/>
  <w15:docId w15:val="{C8A09AF6-2443-450B-AC1E-0EFD84D77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29A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42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42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42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42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42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42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42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42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42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42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42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42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429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429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42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42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42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42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42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042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42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042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429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0429A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1"/>
    <w:qFormat/>
    <w:rsid w:val="00F0429A"/>
    <w:pPr>
      <w:ind w:left="720"/>
      <w:contextualSpacing/>
    </w:pPr>
    <w:rPr>
      <w:kern w:val="2"/>
      <w14:ligatures w14:val="standardContextual"/>
    </w:rPr>
  </w:style>
  <w:style w:type="character" w:styleId="a9">
    <w:name w:val="Intense Emphasis"/>
    <w:basedOn w:val="a0"/>
    <w:uiPriority w:val="21"/>
    <w:qFormat/>
    <w:rsid w:val="00F0429A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F042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F0429A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F0429A"/>
    <w:rPr>
      <w:b/>
      <w:bCs/>
      <w:smallCaps/>
      <w:color w:val="2F5496" w:themeColor="accent1" w:themeShade="BF"/>
      <w:spacing w:val="5"/>
    </w:rPr>
  </w:style>
  <w:style w:type="character" w:styleId="ad">
    <w:name w:val="annotation reference"/>
    <w:basedOn w:val="a0"/>
    <w:uiPriority w:val="99"/>
    <w:semiHidden/>
    <w:unhideWhenUsed/>
    <w:rsid w:val="00F0429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qFormat/>
    <w:rsid w:val="00F0429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qFormat/>
    <w:rsid w:val="00F0429A"/>
    <w:rPr>
      <w:kern w:val="0"/>
      <w:sz w:val="20"/>
      <w:szCs w:val="20"/>
      <w14:ligatures w14:val="none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0429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F0429A"/>
    <w:rPr>
      <w:b/>
      <w:bCs/>
      <w:kern w:val="0"/>
      <w:sz w:val="20"/>
      <w:szCs w:val="20"/>
      <w14:ligatures w14:val="none"/>
    </w:rPr>
  </w:style>
  <w:style w:type="character" w:styleId="af2">
    <w:name w:val="Strong"/>
    <w:basedOn w:val="a0"/>
    <w:uiPriority w:val="22"/>
    <w:qFormat/>
    <w:rsid w:val="00867162"/>
    <w:rPr>
      <w:b/>
      <w:bCs/>
    </w:rPr>
  </w:style>
  <w:style w:type="character" w:customStyle="1" w:styleId="a8">
    <w:name w:val="Абзац списка Знак"/>
    <w:basedOn w:val="a0"/>
    <w:link w:val="a7"/>
    <w:uiPriority w:val="1"/>
    <w:qFormat/>
    <w:rsid w:val="000057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4822</Words>
  <Characters>27490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 Цыганкова</dc:creator>
  <cp:keywords/>
  <dc:description/>
  <cp:lastModifiedBy>Н. Цыганкова</cp:lastModifiedBy>
  <cp:revision>2</cp:revision>
  <cp:lastPrinted>2025-11-10T08:07:00Z</cp:lastPrinted>
  <dcterms:created xsi:type="dcterms:W3CDTF">2026-09-22T09:16:00Z</dcterms:created>
  <dcterms:modified xsi:type="dcterms:W3CDTF">2026-09-22T09:16:00Z</dcterms:modified>
</cp:coreProperties>
</file>