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0" w:after="40"/>
        <w:jc w:val="right"/>
        <w:rPr/>
      </w:pPr>
      <w:r>
        <w:rPr>
          <w:sz w:val="26"/>
          <w:szCs w:val="26"/>
        </w:rPr>
        <w:t>Приложение №1 к Запросу ТКП</w:t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  <w:t>ОКПД 2: 28.13.28 Поставка компрессора для нужд Камчатского филиала АО "ТК РусГидро"</w:t>
      </w:r>
    </w:p>
    <w:p>
      <w:pPr>
        <w:pStyle w:val="Normal"/>
        <w:keepNext w:val="true"/>
        <w:keepLines/>
        <w:jc w:val="center"/>
        <w:rPr>
          <w:rFonts w:eastAsia="Calibri"/>
          <w:i/>
          <w:i/>
        </w:rPr>
      </w:pPr>
      <w:r>
        <w:rPr>
          <w:rFonts w:eastAsia="Calibri"/>
        </w:rPr>
        <w:t>Лот № 1092-ТПИР ОНМ-2026-ТК-КФ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caps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caps/>
              <w:vanish w:val="false"/>
              <w:rFonts w:eastAsia="Calibri"/>
            </w:rPr>
            <w:fldChar w:fldCharType="separate"/>
          </w:r>
          <w:hyperlink w:anchor="_Toc229490649">
            <w:r>
              <w:rPr>
                <w:webHidden/>
                <w:rStyle w:val="Style14"/>
                <w:rFonts w:eastAsia="Calibri"/>
                <w:caps/>
                <w:vanish w:val="false"/>
              </w:rPr>
              <w:t>1.</w:t>
            </w:r>
            <w:r>
              <w:rPr>
                <w:rStyle w:val="Style14"/>
                <w:rFonts w:eastAsia="Calibri"/>
              </w:rPr>
              <w:t xml:space="preserve">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50">
            <w:r>
              <w:rPr>
                <w:webHidden/>
                <w:rStyle w:val="Style14"/>
                <w:rFonts w:eastAsia="Calibri"/>
                <w:iCs/>
                <w:vanish w:val="false"/>
              </w:rPr>
              <w:t>1.1.</w:t>
            </w:r>
            <w:r>
              <w:rPr>
                <w:rStyle w:val="Style14"/>
                <w:rFonts w:eastAsia="Calibri"/>
              </w:rPr>
              <w:t xml:space="preserve"> 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51">
            <w:r>
              <w:rPr>
                <w:webHidden/>
                <w:rStyle w:val="Style14"/>
                <w:rFonts w:eastAsia="Calibri"/>
                <w:iCs/>
                <w:vanish w:val="false"/>
              </w:rPr>
              <w:t>1.2.</w:t>
            </w:r>
            <w:r>
              <w:rPr>
                <w:rStyle w:val="Style14"/>
                <w:rFonts w:eastAsia="Calibri"/>
              </w:rPr>
              <w:t xml:space="preserve"> 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52">
            <w:r>
              <w:rPr>
                <w:webHidden/>
                <w:rStyle w:val="Style14"/>
                <w:rFonts w:eastAsia="Calibri"/>
                <w:iCs/>
                <w:vanish w:val="false"/>
              </w:rPr>
              <w:t>1.3.</w:t>
            </w:r>
            <w:r>
              <w:rPr>
                <w:rStyle w:val="Style14"/>
                <w:rFonts w:eastAsia="Calibri"/>
              </w:rPr>
              <w:t xml:space="preserve"> 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54">
            <w:r>
              <w:rPr>
                <w:webHidden/>
                <w:rStyle w:val="Style14"/>
                <w:rFonts w:eastAsia="Calibri"/>
                <w:iCs/>
                <w:vanish w:val="false"/>
              </w:rPr>
              <w:t>1.4.</w:t>
            </w:r>
            <w:r>
              <w:rPr>
                <w:rStyle w:val="Style14"/>
                <w:rFonts w:eastAsia="Calibri"/>
              </w:rPr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9490655">
            <w:r>
              <w:rPr>
                <w:webHidden/>
                <w:rStyle w:val="Style14"/>
                <w:rFonts w:eastAsia="Calibri"/>
                <w:caps/>
                <w:vanish w:val="false"/>
              </w:rPr>
              <w:t>2.</w:t>
            </w:r>
            <w:r>
              <w:rPr>
                <w:rStyle w:val="Style14"/>
                <w:rFonts w:eastAsia="Calibri"/>
              </w:rPr>
              <w:t xml:space="preserve">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56">
            <w:r>
              <w:rPr>
                <w:webHidden/>
                <w:rStyle w:val="Style14"/>
                <w:rFonts w:eastAsia="Calibri"/>
                <w:vanish w:val="false"/>
              </w:rPr>
              <w:t>2.1 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57">
            <w:r>
              <w:rPr>
                <w:webHidden/>
                <w:rStyle w:val="Style14"/>
                <w:rFonts w:eastAsia="Calibri"/>
                <w:vanish w:val="false"/>
              </w:rPr>
              <w:t>2.1.1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9490658">
            <w:r>
              <w:rPr>
                <w:webHidden/>
                <w:rStyle w:val="Style14"/>
                <w:rFonts w:eastAsia="Calibri"/>
                <w:vanish w:val="false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59">
            <w:r>
              <w:rPr>
                <w:webHidden/>
                <w:rStyle w:val="Style14"/>
                <w:rFonts w:eastAsia="Calibri"/>
                <w:vanish w:val="false"/>
              </w:rPr>
              <w:t>2.1.2 Требования к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9490660">
            <w:r>
              <w:rPr>
                <w:webHidden/>
                <w:rStyle w:val="Style14"/>
                <w:rFonts w:eastAsia="Calibri"/>
                <w:vanish w:val="false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61">
            <w:r>
              <w:rPr>
                <w:webHidden/>
                <w:rStyle w:val="Style14"/>
                <w:rFonts w:eastAsia="Calibri"/>
                <w:vanish w:val="false"/>
              </w:rPr>
              <w:t>2.2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29490662">
            <w:r>
              <w:rPr>
                <w:webHidden/>
                <w:rStyle w:val="Style14"/>
                <w:rFonts w:eastAsia="Calibri"/>
                <w:vanish w:val="false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_Toc229490662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456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9490664">
            <w:r>
              <w:rPr>
                <w:webHidden/>
                <w:rStyle w:val="Style14"/>
                <w:rFonts w:eastAsia="Calibri"/>
                <w:vanish w:val="false"/>
              </w:rPr>
              <w:t>3. 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_Toc229490664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10456" w:leader="dot"/>
        </w:tabs>
        <w:rPr/>
      </w:pPr>
      <w:r>
        <w:rPr/>
      </w:r>
    </w:p>
    <w:p>
      <w:pPr>
        <w:pStyle w:val="TOC1"/>
        <w:tabs>
          <w:tab w:val="clear" w:pos="708"/>
          <w:tab w:val="right" w:pos="10456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ascii="Calibri" w:hAnsi="Calibri" w:asciiTheme="minorHAnsi" w:cstheme="minorBidi" w:eastAsiaTheme="minorEastAsia" w:hAnsiTheme="minorHAnsi"/>
          <w:b w:val="false"/>
          <w:bCs w:val="false"/>
          <w:sz w:val="22"/>
          <w:szCs w:val="22"/>
        </w:rPr>
        <w:t>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8"/>
        </w:numPr>
        <w:rPr>
          <w:caps/>
        </w:rPr>
      </w:pPr>
      <w:bookmarkStart w:id="0" w:name="_Toc229490649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7"/>
        </w:numPr>
        <w:rPr>
          <w:rStyle w:val="Style8"/>
          <w:b/>
          <w:i w:val="false"/>
          <w:i w:val="false"/>
          <w:shd w:fill="auto" w:val="clear"/>
        </w:rPr>
      </w:pPr>
      <w:bookmarkStart w:id="2" w:name="_Toc229490650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i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i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7"/>
        </w:numPr>
        <w:rPr/>
      </w:pPr>
      <w:bookmarkStart w:id="4" w:name="_Toc229490651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ОКПД 2: 28.13.28 Поставка компрессора для нужд Камчатского филиала АО "ТК РусГидро"</w:t>
      </w:r>
      <w:r>
        <w:rPr>
          <w:sz w:val="24"/>
          <w:szCs w:val="24"/>
        </w:rPr>
        <w:t>.</w:t>
      </w:r>
    </w:p>
    <w:p>
      <w:pPr>
        <w:pStyle w:val="Heading4"/>
        <w:numPr>
          <w:ilvl w:val="1"/>
          <w:numId w:val="7"/>
        </w:numPr>
        <w:rPr/>
      </w:pPr>
      <w:bookmarkStart w:id="6" w:name="_Toc229490652"/>
      <w:bookmarkStart w:id="7" w:name="_Toc46743507"/>
      <w:r>
        <w:rPr/>
        <w:t xml:space="preserve">Цель </w:t>
      </w:r>
      <w:bookmarkEnd w:id="7"/>
      <w:r>
        <w:rPr/>
        <w:t>использования закупаемой продукции</w:t>
      </w:r>
      <w:bookmarkEnd w:id="6"/>
    </w:p>
    <w:p>
      <w:pPr>
        <w:pStyle w:val="Heading4"/>
        <w:numPr>
          <w:ilvl w:val="0"/>
        </w:numPr>
        <w:ind w:hanging="0" w:left="0"/>
        <w:rPr>
          <w:rFonts w:eastAsia="Times New Roman"/>
          <w:b w:val="false"/>
        </w:rPr>
      </w:pPr>
      <w:bookmarkStart w:id="8" w:name="_Toc229490653"/>
      <w:bookmarkStart w:id="9" w:name="_Toc143693870"/>
      <w:bookmarkStart w:id="10" w:name="_Toc141715123"/>
      <w:r>
        <w:rPr>
          <w:rFonts w:eastAsia="Times New Roman"/>
          <w:b w:val="false"/>
        </w:rPr>
        <w:t>Дооснащение транспортных средств Камчатского филиала АО «ТК РусГидро</w:t>
      </w:r>
      <w:r>
        <w:rPr>
          <w:rFonts w:eastAsia="Times New Roman"/>
          <w:b w:val="false"/>
          <w:lang w:val="ru-RU"/>
        </w:rPr>
        <w:t>» дополнительным оборудованием</w:t>
      </w:r>
      <w:r>
        <w:rPr>
          <w:rFonts w:eastAsia="Times New Roman"/>
          <w:b w:val="false"/>
        </w:rPr>
        <w:t>, необходимым для полноценного оказания услуг по доходным договорам.</w:t>
      </w:r>
      <w:bookmarkEnd w:id="8"/>
      <w:bookmarkEnd w:id="9"/>
      <w:bookmarkEnd w:id="10"/>
    </w:p>
    <w:p>
      <w:pPr>
        <w:pStyle w:val="Heading1"/>
        <w:numPr>
          <w:ilvl w:val="0"/>
          <w:numId w:val="8"/>
        </w:numPr>
        <w:rPr>
          <w:caps/>
          <w:lang w:val="ru-RU"/>
        </w:rPr>
      </w:pPr>
      <w:bookmarkStart w:id="11" w:name="_Toc229490655"/>
      <w:bookmarkStart w:id="12" w:name="_Toc51339693"/>
      <w:r>
        <w:rPr/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10"/>
        </w:numPr>
        <w:rPr/>
      </w:pPr>
      <w:bookmarkStart w:id="13" w:name="_Toc229490656"/>
      <w:r>
        <w:rPr/>
        <w:t>Требования к объемам</w:t>
      </w:r>
      <w:r>
        <w:rPr>
          <w:lang w:val="ru-RU"/>
        </w:rPr>
        <w:t xml:space="preserve"> и срокам</w:t>
      </w:r>
      <w:r>
        <w:rPr/>
        <w:t xml:space="preserve"> </w:t>
      </w:r>
      <w:r>
        <w:rPr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9"/>
        </w:numPr>
        <w:rPr/>
      </w:pPr>
      <w:bookmarkStart w:id="14" w:name="_Toc229490657"/>
      <w:r>
        <w:rPr/>
        <w:t>Перечень и объем закупаемой продукции</w:t>
      </w:r>
      <w:bookmarkEnd w:id="14"/>
    </w:p>
    <w:p>
      <w:pPr>
        <w:pStyle w:val="Heading1"/>
        <w:numPr>
          <w:ilvl w:val="0"/>
        </w:numPr>
        <w:ind w:hanging="0" w:left="0"/>
        <w:rPr/>
      </w:pPr>
      <w:bookmarkStart w:id="15" w:name="_Toc229490658"/>
      <w:bookmarkStart w:id="16" w:name="_Toc51339695"/>
      <w:r>
        <w:rPr/>
        <w:t xml:space="preserve">Таблица 1.1 Перечень </w:t>
      </w:r>
      <w:bookmarkEnd w:id="16"/>
      <w:r>
        <w:rPr/>
        <w:t>и объем закупаемой продукции</w:t>
      </w:r>
      <w:bookmarkEnd w:id="15"/>
    </w:p>
    <w:tbl>
      <w:tblPr>
        <w:tblW w:w="10206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1"/>
        <w:gridCol w:w="6799"/>
        <w:gridCol w:w="1419"/>
        <w:gridCol w:w="1416"/>
      </w:tblGrid>
      <w:tr>
        <w:trPr>
          <w:trHeight w:val="1275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>
        <w:trPr>
          <w:trHeight w:val="618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2"/>
              </w:numPr>
              <w:suppressAutoHyphens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Компрессор Atlas Copco U175 или эквивалент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9"/>
        </w:numPr>
        <w:rPr/>
      </w:pPr>
      <w:bookmarkStart w:id="17" w:name="_Toc229490659"/>
      <w:bookmarkStart w:id="18" w:name="_Toc51339696"/>
      <w:r>
        <w:rPr/>
        <w:t xml:space="preserve">Требования </w:t>
      </w:r>
      <w:bookmarkEnd w:id="18"/>
      <w:r>
        <w:rPr/>
        <w:t>к срокам поставки продукции</w:t>
      </w:r>
      <w:bookmarkEnd w:id="17"/>
    </w:p>
    <w:p>
      <w:pPr>
        <w:pStyle w:val="Heading1"/>
        <w:numPr>
          <w:ilvl w:val="0"/>
        </w:numPr>
        <w:ind w:hanging="0" w:left="0"/>
        <w:rPr>
          <w:lang w:val="ru-RU"/>
        </w:rPr>
      </w:pPr>
      <w:bookmarkStart w:id="19" w:name="_Toc229490660"/>
      <w:bookmarkStart w:id="20" w:name="_Toc50125127"/>
      <w:bookmarkStart w:id="21" w:name="_Toc51339697"/>
      <w:bookmarkStart w:id="22" w:name="_Toc50125126"/>
      <w:bookmarkEnd w:id="22"/>
      <w:r>
        <w:rPr/>
        <w:t xml:space="preserve">Таблица </w:t>
      </w:r>
      <w:r>
        <w:rPr>
          <w:lang w:val="ru-RU"/>
        </w:rPr>
        <w:t>2</w:t>
      </w:r>
      <w:r>
        <w:rPr/>
        <w:t xml:space="preserve">.1 </w:t>
      </w:r>
      <w:bookmarkStart w:id="23" w:name="_Hlk50465284"/>
      <w:r>
        <w:rPr/>
        <w:t xml:space="preserve">Требования по срокам </w:t>
      </w:r>
      <w:bookmarkEnd w:id="20"/>
      <w:bookmarkEnd w:id="21"/>
      <w:bookmarkEnd w:id="23"/>
      <w:r>
        <w:rPr>
          <w:lang w:val="ru-RU"/>
        </w:rPr>
        <w:t>поставки продукци</w:t>
      </w:r>
      <w:bookmarkEnd w:id="19"/>
      <w:r>
        <w:rPr>
          <w:lang w:val="ru-RU"/>
        </w:rPr>
        <w:t xml:space="preserve">и </w:t>
      </w:r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3116"/>
        <w:gridCol w:w="2980"/>
        <w:gridCol w:w="2973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ОКПД 2: 28.13.28 Поставка компрессора для нужд Камчатского филиала АО "ТК РусГидро"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 подписания сторонами договора.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60 календарных дней </w:t>
            </w:r>
            <w:r>
              <w:rPr>
                <w:sz w:val="24"/>
                <w:szCs w:val="24"/>
              </w:rPr>
              <w:t>с даты подписания договора</w:t>
            </w:r>
          </w:p>
        </w:tc>
      </w:tr>
    </w:tbl>
    <w:p>
      <w:pPr>
        <w:pStyle w:val="Heading1"/>
        <w:numPr>
          <w:ilvl w:val="0"/>
        </w:numPr>
        <w:ind w:hanging="0" w:left="0"/>
        <w:rPr/>
      </w:pPr>
      <w:r>
        <w:rPr/>
      </w:r>
      <w:bookmarkStart w:id="24" w:name="_Toc46743510"/>
      <w:bookmarkStart w:id="25" w:name="_Toc46743510"/>
      <w:bookmarkEnd w:id="25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720" w:right="720" w:gutter="0" w:header="680" w:top="737" w:footer="0" w:bottom="720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10"/>
        </w:numPr>
        <w:rPr/>
      </w:pPr>
      <w:bookmarkStart w:id="26" w:name="_Toc51339698"/>
      <w:bookmarkStart w:id="27" w:name="_Toc229490661"/>
      <w:bookmarkStart w:id="28" w:name="_Toc46743511"/>
      <w:r>
        <w:rPr/>
        <w:t xml:space="preserve">Требования к </w:t>
      </w:r>
      <w:bookmarkEnd w:id="28"/>
      <w:r>
        <w:rPr/>
        <w:t>качеству продукции</w:t>
      </w:r>
      <w:bookmarkEnd w:id="27"/>
    </w:p>
    <w:p>
      <w:pPr>
        <w:pStyle w:val="Heading1"/>
        <w:numPr>
          <w:ilvl w:val="0"/>
        </w:numPr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/>
        <w:t xml:space="preserve"> </w:t>
      </w:r>
      <w:bookmarkStart w:id="29" w:name="_Toc229490662"/>
      <w:r>
        <w:rPr>
          <w:bCs/>
          <w:sz w:val="24"/>
          <w:szCs w:val="24"/>
        </w:rPr>
        <w:t>Таблица 3. Требования к качеству продукции</w:t>
      </w:r>
      <w:bookmarkEnd w:id="29"/>
      <w:r>
        <w:rPr/>
        <w:t xml:space="preserve"> </w:t>
      </w:r>
      <w:bookmarkEnd w:id="26"/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 (позиции №1 Таблицы 1.1)</w:t>
      </w:r>
      <w:r>
        <w:rPr>
          <w:rFonts w:eastAsia="Calibri"/>
          <w:b/>
          <w:sz w:val="24"/>
          <w:szCs w:val="24"/>
          <w:lang w:eastAsia="x-none"/>
        </w:rPr>
        <w:t>:</w:t>
      </w:r>
      <w:r>
        <w:rPr>
          <w:rFonts w:eastAsia="Calibri"/>
          <w:lang w:eastAsia="x-none"/>
        </w:rPr>
        <w:t xml:space="preserve"> </w:t>
      </w:r>
      <w:r>
        <w:rPr>
          <w:bCs/>
          <w:sz w:val="24"/>
          <w:szCs w:val="24"/>
        </w:rPr>
        <w:t>ОКПД 2: 28.13.28 Поставка компрессора для нужд Камчатского филиала АО "ТК РусГидро"</w:t>
      </w:r>
      <w:r>
        <w:rPr>
          <w:sz w:val="24"/>
          <w:szCs w:val="24"/>
        </w:rPr>
        <w:t>.</w:t>
      </w:r>
    </w:p>
    <w:tbl>
      <w:tblPr>
        <w:tblStyle w:val="affff5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4"/>
        <w:gridCol w:w="1774"/>
        <w:gridCol w:w="1628"/>
        <w:gridCol w:w="2835"/>
        <w:gridCol w:w="2694"/>
        <w:gridCol w:w="2551"/>
        <w:gridCol w:w="2692"/>
      </w:tblGrid>
      <w:tr>
        <w:trPr/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402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83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24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92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40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60" w:after="60"/>
              <w:ind w:hanging="1070" w:left="106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Рабочее давление , бар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7 и не более 10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Технический паспорт либо иной документ, выданный заводом-изготовителем Продукции , подтверждающий его технические характеристики </w:t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Производительность по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ISO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1217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ed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 1996, м3/мин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5 и  не более 10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01" w:hRule="atLeast"/>
        </w:trPr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ступеней сжатия, шт.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Емкость масляной системы компрессора, литр</w:t>
              <w:tab/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8 и не более 10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Вынос масла на 100% мощности, мг/м3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5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постов 3/4" дюйма, шт.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Не менее 3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Масса, кг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700 и не более 1100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Длина, мм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2000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Ширина, мм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1000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Силовая установка: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Дизельный двигатель 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1.1.10.1.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Число цилиндров, шт.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4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1.1.10.2.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Мощность, кВт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30 и не более 40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1.1.10.3.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Запуск двигателя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электрический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1.1.10.4.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охлаждения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жидкостная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1.1.10.5.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Емкость топливного бака, литр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50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60" w:after="60"/>
              <w:ind w:hanging="1037" w:left="106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Россия, Камчатский край, г. Петропавловск-Камчатский, ул. Солнечная, дом 16.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bookmarkStart w:id="30" w:name="_Toc229490663"/>
            <w:bookmarkStart w:id="31" w:name="_Toc143693885"/>
            <w:bookmarkStart w:id="32" w:name="_Toc141715138"/>
            <w:bookmarkStart w:id="33" w:name="_Toc133399015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---</w:t>
            </w:r>
            <w:bookmarkEnd w:id="30"/>
            <w:bookmarkEnd w:id="31"/>
            <w:bookmarkEnd w:id="32"/>
            <w:bookmarkEnd w:id="33"/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Требования к предпродажной подготовке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Поставщику необходимо выполнить предпродажную подготовку (протяжку, проверку всех уровней жидкостей), подтверждается отметкой в сервисной книжке либо заказ-нарядом, актом выполненных работ по предпродажному обслуживанию на любом авторизованном техническом центре.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right="31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340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Маркировка и упаковка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both"/>
              <w:rPr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Упаковка продукции должна обеспечивать его сохранность при транспортировке и хранении. В случае получения продукции в дефектной упаковке Покупатель имеет право не принимать такой товар и вернуть его Поставщику за счет Поставщика.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right="31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</w:t>
            </w:r>
          </w:p>
        </w:tc>
        <w:tc>
          <w:tcPr>
            <w:tcW w:w="340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Доставка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Доставка осуществляется силами и за счёт Поставщика до места поставки.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60" w:after="60"/>
              <w:ind w:hanging="1037" w:left="106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гарантии на Продукцию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Товар, поставленный по Договору, не менее 12 (двенадцати) месяцев и начинает течь с даты подписания Сторонами Накладной ТОРГ-12/УПД. Гарантийный срок может быть продлен в соответствии с условиями Договора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2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условиям гарантийного и послегарантийного обслуживания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выявления дефектов, в том числе скрытых, в течение гарантийного срока поставленная продукция заменяется Поставщиком за свой счет.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623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60" w:after="60"/>
              <w:ind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4.1</w:t>
            </w:r>
          </w:p>
        </w:tc>
        <w:tc>
          <w:tcPr>
            <w:tcW w:w="17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 продукцией</w:t>
            </w:r>
          </w:p>
        </w:tc>
        <w:tc>
          <w:tcPr>
            <w:tcW w:w="44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4.2.</w:t>
            </w:r>
          </w:p>
        </w:tc>
        <w:tc>
          <w:tcPr>
            <w:tcW w:w="17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комплектации</w:t>
            </w:r>
          </w:p>
        </w:tc>
        <w:tc>
          <w:tcPr>
            <w:tcW w:w="44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Комплектация поставляемого Товара должна обеспечить возможность использования продукции по прямому назначению.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623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17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 и безопасности</w:t>
            </w:r>
          </w:p>
        </w:tc>
        <w:tc>
          <w:tcPr>
            <w:tcW w:w="44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623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6.1.</w:t>
            </w:r>
          </w:p>
        </w:tc>
        <w:tc>
          <w:tcPr>
            <w:tcW w:w="17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состоянию продукции</w:t>
            </w:r>
          </w:p>
        </w:tc>
        <w:tc>
          <w:tcPr>
            <w:tcW w:w="44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новая, не бывшая в употреблении. Продукция должна быть произведена не ранее 2025 г. Не допускается поставка выставочных образцов.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6.2.</w:t>
            </w:r>
          </w:p>
        </w:tc>
        <w:tc>
          <w:tcPr>
            <w:tcW w:w="17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Подтверждение происхождения товара</w:t>
            </w:r>
          </w:p>
        </w:tc>
        <w:tc>
          <w:tcPr>
            <w:tcW w:w="446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Национальный режим предоставляется.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 по лоту № _</w:t>
            </w:r>
            <w:bookmarkStart w:id="34" w:name="_GoBack"/>
            <w:bookmarkEnd w:id="34"/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1092-ТПИР ОНМ-2026-ТК-КФ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включена в допустимый диапазон в размере 20 % закупок, не входящих в объем минимальной обязательной доли закупок товаров российского происхождения (80%) по ОКПД 2: 28.13.28  (позиция 118 «Компрессоры прочие») согласно приложения № 3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      </w:r>
          </w:p>
        </w:tc>
        <w:tc>
          <w:tcPr>
            <w:tcW w:w="269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2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В составе заявки необходимо предоставить:</w:t>
        <w:tab/>
      </w:r>
    </w:p>
    <w:p>
      <w:pPr>
        <w:pStyle w:val="Heading1"/>
        <w:numPr>
          <w:ilvl w:val="0"/>
        </w:numPr>
        <w:ind w:hanging="0" w:left="0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</w:p>
    <w:p>
      <w:pPr>
        <w:pStyle w:val="Heading1"/>
        <w:numPr>
          <w:ilvl w:val="0"/>
        </w:numPr>
        <w:ind w:hanging="0" w:left="284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1. Техническое предложение, подготовленное в соответствии с настоящими техническими требованиями, по форме, предоставленной в Документации о закупке.</w:t>
      </w:r>
    </w:p>
    <w:p>
      <w:pPr>
        <w:pStyle w:val="Heading1"/>
        <w:numPr>
          <w:ilvl w:val="0"/>
        </w:numPr>
        <w:ind w:hanging="0" w:left="284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2. Копию </w:t>
      </w:r>
      <w:r>
        <w:rPr>
          <w:b w:val="false"/>
          <w:sz w:val="24"/>
          <w:szCs w:val="24"/>
          <w:lang w:val="ru-RU"/>
        </w:rPr>
        <w:t>(скан) технического паспорта либо паспорта изделия</w:t>
      </w:r>
      <w:r>
        <w:rPr>
          <w:b w:val="false"/>
          <w:sz w:val="24"/>
          <w:szCs w:val="24"/>
        </w:rPr>
        <w:t>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720" w:right="737" w:gutter="0" w:header="680" w:top="737" w:footer="0" w:bottom="720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10"/>
        </w:numPr>
        <w:rPr/>
      </w:pPr>
      <w:r>
        <w:rPr/>
        <w:t>Требования к документации по ценообразованию на этапе закупки</w:t>
      </w:r>
    </w:p>
    <w:p>
      <w:pPr>
        <w:pStyle w:val="ListParagraph"/>
        <w:numPr>
          <w:ilvl w:val="1"/>
          <w:numId w:val="11"/>
        </w:numPr>
        <w:rPr>
          <w:bCs/>
          <w:iCs/>
          <w:lang w:eastAsia="x-none"/>
        </w:rPr>
      </w:pPr>
      <w:bookmarkStart w:id="35" w:name="_Toc196393729"/>
      <w:bookmarkStart w:id="36" w:name="_Toc169776720"/>
      <w:bookmarkStart w:id="37" w:name="_Toc169776257"/>
      <w:bookmarkEnd w:id="35"/>
      <w:bookmarkEnd w:id="36"/>
      <w:bookmarkEnd w:id="37"/>
      <w:r>
        <w:rPr>
          <w:bCs/>
          <w:iCs/>
          <w:lang w:eastAsia="x-none"/>
        </w:rPr>
        <w:t>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1"/>
          <w:numId w:val="11"/>
        </w:numPr>
        <w:rPr>
          <w:bCs/>
          <w:iCs/>
          <w:lang w:eastAsia="x-none"/>
        </w:rPr>
      </w:pPr>
      <w:r>
        <w:rPr>
          <w:bCs/>
          <w:iCs/>
          <w:lang w:eastAsia="x-none"/>
        </w:rPr>
        <w:t>Дополнительные документы по ценообразованию в состав заявки не включаются.</w:t>
      </w:r>
    </w:p>
    <w:p>
      <w:pPr>
        <w:pStyle w:val="ListParagraph"/>
        <w:ind w:left="792"/>
        <w:rPr>
          <w:bCs/>
          <w:iCs/>
          <w:lang w:eastAsia="x-none"/>
        </w:rPr>
      </w:pPr>
      <w:r>
        <w:rPr>
          <w:bCs/>
          <w:iCs/>
          <w:lang w:eastAsia="x-none"/>
        </w:rPr>
      </w:r>
      <w:bookmarkStart w:id="38" w:name="_Toc196393729_Копия_1"/>
      <w:bookmarkStart w:id="39" w:name="_Toc169776720_Копия_1"/>
      <w:bookmarkStart w:id="40" w:name="_Toc169776257_Копия_1"/>
      <w:bookmarkStart w:id="41" w:name="_Hlk88327292"/>
      <w:bookmarkStart w:id="42" w:name="_Toc196393729_Копия_1"/>
      <w:bookmarkStart w:id="43" w:name="_Toc169776720_Копия_1"/>
      <w:bookmarkStart w:id="44" w:name="_Toc169776257_Копия_1"/>
      <w:bookmarkStart w:id="45" w:name="_Hlk88327292"/>
      <w:bookmarkEnd w:id="42"/>
      <w:bookmarkEnd w:id="43"/>
      <w:bookmarkEnd w:id="44"/>
      <w:bookmarkEnd w:id="45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720" w:right="720" w:gutter="0" w:header="680" w:top="737" w:footer="0" w:bottom="72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69" w:hanging="1069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suff w:val="space"/>
      <w:lvlText w:val="%1.5.%3"/>
      <w:lvlJc w:val="left"/>
      <w:pPr>
        <w:tabs>
          <w:tab w:val="num" w:pos="0"/>
        </w:tabs>
        <w:ind w:left="0" w:firstLine="737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  <w:rPr/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suff w:val="space"/>
      <w:lvlText w:val="%1.1.%3"/>
      <w:lvlJc w:val="left"/>
      <w:pPr>
        <w:tabs>
          <w:tab w:val="num" w:pos="0"/>
        </w:tabs>
        <w:ind w:left="0" w:hanging="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  <w:rPr/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suff w:val="space"/>
      <w:lvlText w:val="%1.2.%3"/>
      <w:lvlJc w:val="left"/>
      <w:pPr>
        <w:tabs>
          <w:tab w:val="num" w:pos="0"/>
        </w:tabs>
        <w:ind w:left="0" w:hanging="0"/>
      </w:pPr>
      <w:rPr>
        <w:i w:val="false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680" w:hanging="16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4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1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8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5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2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0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7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44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70f3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5c27d4"/>
    <w:pPr>
      <w:keepNext w:val="true"/>
      <w:numPr>
        <w:ilvl w:val="2"/>
        <w:numId w:val="9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5c27d4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ind w:hanging="0" w:left="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tabs>
        <w:tab w:val="clear" w:pos="708"/>
        <w:tab w:val="left" w:pos="360" w:leader="none"/>
      </w:tabs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7" w:customStyle="1">
    <w:name w:val="Стиль3"/>
    <w:uiPriority w:val="99"/>
    <w:qFormat/>
    <w:rsid w:val="00351c10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CADD7-A7F2-4891-8AB6-99C93A53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AlterOffice/2026.2.0.0$Linux_X86_64 LibreOffice_project/bc4ef1adf80b36c7a6365f8ed6cbf29021361edd</Application>
  <AppVersion>15.0000</AppVersion>
  <Pages>10</Pages>
  <Words>1058</Words>
  <Characters>6926</Characters>
  <CharactersWithSpaces>7756</CharactersWithSpaces>
  <Paragraphs>225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2026-10-14T07:17:00Z</dcterms:created>
  <dc:creator>Быстров Олег Геннадьевич</dc:creator>
  <dc:description/>
  <dc:language>ru-RU</dc:language>
  <cp:lastModifiedBy>perfilevvv@corp.gidroogk.com</cp:lastModifiedBy>
  <cp:lastPrinted>2026-10-21T14:18:35Z</cp:lastPrinted>
  <dcterms:modified xsi:type="dcterms:W3CDTF">2026-10-22T11:37:01Z</dcterms:modified>
  <cp:revision>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