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media/image9.wmf" ContentType="image/x-wmf"/>
  <Override PartName="/word/media/image10.wmf" ContentType="image/x-wmf"/>
  <Override PartName="/word/media/image13.wmf" ContentType="image/x-wmf"/>
  <Override PartName="/word/media/image21.wmf" ContentType="image/x-wmf"/>
  <Override PartName="/word/media/image8.wmf" ContentType="image/x-wmf"/>
  <Override PartName="/word/media/image12.wmf" ContentType="image/x-wmf"/>
  <Override PartName="/word/media/image20.wmf" ContentType="image/x-wmf"/>
  <Override PartName="/word/media/image7.wmf" ContentType="image/x-wmf"/>
  <Override PartName="/word/media/image11.wmf" ContentType="image/x-wmf"/>
  <Override PartName="/word/media/image19.wmf" ContentType="image/x-wmf"/>
  <Override PartName="/word/media/image1.png" ContentType="image/png"/>
  <Override PartName="/word/media/image18.wmf" ContentType="image/x-wmf"/>
  <Override PartName="/word/media/image17.wmf" ContentType="image/x-wmf"/>
  <Override PartName="/word/media/image16.wmf" ContentType="image/x-wmf"/>
  <Override PartName="/word/media/image15.wmf" ContentType="image/x-wmf"/>
  <Override PartName="/word/media/image22.wmf" ContentType="image/x-wmf"/>
  <Override PartName="/word/media/image14.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spacing w:lineRule="auto" w:line="276"/>
        <w:ind w:firstLine="709"/>
        <w:jc w:val="both"/>
        <w:rPr/>
      </w:pPr>
      <w:r>
        <w:rPr>
          <w:b/>
          <w:bCs/>
          <w:color w:val="000000" w:themeColor="text1"/>
          <w:sz w:val="24"/>
          <w:szCs w:val="24"/>
        </w:rPr>
        <w:t xml:space="preserve">Акционерное общество «Транспортная компания РусГидро» (АО «ТК РусГидро») </w:t>
      </w:r>
      <w:r>
        <w:rPr>
          <w:color w:val="000000" w:themeColor="text1"/>
          <w:sz w:val="24"/>
          <w:szCs w:val="24"/>
        </w:rPr>
        <w:t xml:space="preserve">(далее – «Покупатель»), </w:t>
      </w:r>
      <w:r>
        <w:rPr>
          <w:color w:val="000000" w:themeColor="text1"/>
          <w:spacing w:val="4"/>
          <w:sz w:val="24"/>
          <w:szCs w:val="24"/>
          <w:lang w:eastAsia="en-US" w:bidi="en-US"/>
        </w:rPr>
        <w:t>в лице Директора Камчатского филиала АО «ТК РусГидро» Рудакова Андрея Сергеевича, действующего на основании доверенности №860 от 01.09.2026</w:t>
      </w:r>
      <w:r>
        <w:rPr>
          <w:color w:val="000000" w:themeColor="text1"/>
          <w:sz w:val="24"/>
          <w:szCs w:val="24"/>
        </w:rPr>
        <w:t>, с одной стороны,</w:t>
      </w:r>
    </w:p>
    <w:p>
      <w:pPr>
        <w:pStyle w:val="Normal"/>
        <w:keepNext w:val="true"/>
        <w:suppressAutoHyphens w:val="false"/>
        <w:spacing w:lineRule="auto" w:line="276"/>
        <w:jc w:val="both"/>
        <w:rPr/>
      </w:pPr>
      <w:r>
        <w:rPr>
          <w:color w:val="000000" w:themeColor="text1"/>
          <w:spacing w:val="4"/>
          <w:sz w:val="24"/>
          <w:szCs w:val="24"/>
        </w:rPr>
        <w:t>и</w:t>
      </w:r>
      <w:r>
        <w:rPr>
          <w:color w:val="000000" w:themeColor="text1"/>
          <w:spacing w:val="10"/>
          <w:sz w:val="24"/>
          <w:szCs w:val="24"/>
        </w:rPr>
        <w:t xml:space="preserve"> </w:t>
      </w:r>
      <w:r>
        <w:rPr>
          <w:b/>
          <w:color w:val="000000" w:themeColor="text1"/>
          <w:spacing w:val="10"/>
          <w:sz w:val="24"/>
          <w:szCs w:val="24"/>
        </w:rPr>
        <w:t>______________________________________</w:t>
      </w:r>
      <w:r>
        <w:rPr>
          <w:bCs/>
          <w:color w:val="000000" w:themeColor="text1"/>
          <w:spacing w:val="10"/>
          <w:sz w:val="24"/>
          <w:szCs w:val="24"/>
        </w:rPr>
        <w:t xml:space="preserve"> (_______________) </w:t>
      </w:r>
      <w:r>
        <w:rPr>
          <w:color w:val="000000" w:themeColor="text1"/>
          <w:spacing w:val="10"/>
          <w:sz w:val="24"/>
          <w:szCs w:val="24"/>
        </w:rPr>
        <w:t xml:space="preserve">(далее – «Поставщик»), в лице _________________________________, действующего на основании ________________, с другой стороны, совместно в дальнейшем именуемые «Стороны», а по отдельности – «Сторона», </w:t>
      </w:r>
      <w:r>
        <w:rPr>
          <w:color w:val="000000" w:themeColor="text1"/>
          <w:spacing w:val="10"/>
          <w:sz w:val="24"/>
          <w:szCs w:val="24"/>
          <w:lang w:eastAsia="en-US"/>
        </w:rPr>
        <w:t xml:space="preserve">по результатам проведенной Покупателем </w:t>
      </w:r>
      <w:r>
        <w:rPr>
          <w:color w:val="000000" w:themeColor="text1"/>
          <w:spacing w:val="10"/>
          <w:sz w:val="24"/>
          <w:szCs w:val="24"/>
          <w:lang w:eastAsia="en-US"/>
        </w:rPr>
        <w:t>закупочной</w:t>
      </w:r>
      <w:r>
        <w:rPr>
          <w:color w:val="000000" w:themeColor="text1"/>
          <w:spacing w:val="10"/>
          <w:sz w:val="24"/>
          <w:szCs w:val="24"/>
          <w:lang w:eastAsia="en-US"/>
        </w:rPr>
        <w:t xml:space="preserve"> процедуры по лоту № 1092-ТПИР ОНМ-2026-ТК-КФ,</w:t>
      </w:r>
      <w:r>
        <w:rPr>
          <w:color w:val="000000" w:themeColor="text1"/>
          <w:spacing w:val="10"/>
          <w:sz w:val="24"/>
          <w:szCs w:val="24"/>
        </w:rPr>
        <w:t xml:space="preserve"> 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fals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widowControl w:val="false"/>
        <w:shd w:val="clear" w:fill="FFFFFF"/>
        <w:tabs>
          <w:tab w:val="clear" w:pos="709"/>
          <w:tab w:val="left" w:pos="567" w:leader="none"/>
          <w:tab w:val="left" w:pos="1134" w:leader="none"/>
        </w:tabs>
        <w:overflowPunct w:val="true"/>
        <w:ind w:firstLine="708" w:left="0" w:right="0"/>
        <w:jc w:val="both"/>
        <w:textAlignment w:val="baseline"/>
        <w:rPr>
          <w:highlight w:val="none"/>
          <w:shd w:fill="auto" w:val="clear"/>
        </w:rPr>
      </w:pPr>
      <w:r>
        <w:rPr>
          <w:b/>
          <w:sz w:val="24"/>
          <w:szCs w:val="24"/>
          <w:shd w:fill="auto" w:val="clear"/>
          <w:lang w:eastAsia="en-US"/>
        </w:rPr>
        <w:t xml:space="preserve">«ГК РФ» </w:t>
      </w:r>
      <w:r>
        <w:rPr>
          <w:b w:val="false"/>
          <w:bCs w:val="false"/>
          <w:sz w:val="24"/>
          <w:szCs w:val="24"/>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color w:val="000000"/>
          <w:kern w:val="0"/>
          <w:sz w:val="24"/>
          <w:szCs w:val="24"/>
          <w:shd w:fill="auto" w:val="clear"/>
          <w:lang w:val="ru-RU" w:eastAsia="en-US" w:bidi="ar-SA"/>
        </w:rPr>
        <w:t xml:space="preserve"> </w:t>
      </w:r>
      <w:r>
        <w:rPr>
          <w:rFonts w:eastAsia="Times New Roman" w:cs="Times New Roman"/>
          <w:b w:val="false"/>
          <w:bCs w:val="false"/>
          <w:color w:val="000000"/>
          <w:kern w:val="0"/>
          <w:sz w:val="24"/>
          <w:szCs w:val="24"/>
          <w:shd w:fill="auto" w:val="clear"/>
          <w:lang w:val="ru-RU" w:eastAsia="en-US" w:bidi="ar-SA"/>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и причитающееся ему вознаграждение, а также инфляционные риски на весь период действия Договора.</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r>
        <w:rPr>
          <w:rFonts w:ascii="Times New Roman" w:hAnsi="Times New Roman"/>
          <w:b w:val="false"/>
          <w:color w:val="auto"/>
          <w:sz w:val="24"/>
          <w:szCs w:val="24"/>
          <w:lang w:val="ru-RU" w:eastAsia="en-US"/>
        </w:rPr>
        <w:t xml:space="preserve">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color w:val="000000" w:themeColor="text1"/>
          <w:sz w:val="24"/>
          <w:szCs w:val="24"/>
        </w:rPr>
      </w:pPr>
      <w:r>
        <w:rPr>
          <w:bCs/>
          <w:color w:val="000000" w:themeColor="text1"/>
          <w:sz w:val="24"/>
          <w:szCs w:val="24"/>
        </w:rPr>
        <w:t>Поставщик обязуется в порядке и сроки, установленные Договором, передать в собственность Покупателю компрессор для нужд АО "ТК РусГидро</w:t>
      </w:r>
      <w:r>
        <w:rPr>
          <w:rFonts w:eastAsia="Calibri"/>
          <w:bCs/>
          <w:color w:val="000000" w:themeColor="text1"/>
          <w:sz w:val="24"/>
          <w:szCs w:val="24"/>
          <w:lang w:eastAsia="en-US"/>
        </w:rPr>
        <w:t>"</w:t>
      </w:r>
      <w:r>
        <w:rPr>
          <w:b/>
          <w:bCs/>
          <w:color w:val="000000" w:themeColor="text1"/>
          <w:sz w:val="24"/>
          <w:szCs w:val="24"/>
        </w:rPr>
        <w:t xml:space="preserve"> </w:t>
      </w:r>
      <w:r>
        <w:rPr>
          <w:bCs/>
          <w:color w:val="000000" w:themeColor="text1"/>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firstLine="709" w:left="0"/>
        <w:jc w:val="both"/>
        <w:rPr>
          <w:bCs/>
          <w:color w:val="000000" w:themeColor="text1"/>
          <w:sz w:val="24"/>
          <w:szCs w:val="24"/>
        </w:rPr>
      </w:pPr>
      <w:r>
        <w:rPr>
          <w:bCs/>
          <w:color w:val="000000" w:themeColor="text1"/>
          <w:sz w:val="24"/>
          <w:szCs w:val="24"/>
        </w:rPr>
        <w:t xml:space="preserve">Поставка Товара по Договору осуществляется </w:t>
      </w:r>
      <w:r>
        <w:rPr>
          <w:b w:val="false"/>
          <w:bCs w:val="false"/>
          <w:color w:val="000000" w:themeColor="text1"/>
          <w:sz w:val="24"/>
        </w:rPr>
        <w:t xml:space="preserve">для нужд Камчатского филиала </w:t>
      </w:r>
      <w:r>
        <w:rPr>
          <w:b w:val="false"/>
          <w:bCs w:val="false"/>
          <w:color w:val="000000" w:themeColor="text1"/>
          <w:sz w:val="24"/>
          <w:szCs w:val="24"/>
        </w:rPr>
        <w:t>АО «ТК РусГидро».</w:t>
      </w:r>
    </w:p>
    <w:p>
      <w:pPr>
        <w:pStyle w:val="Normal"/>
        <w:numPr>
          <w:ilvl w:val="1"/>
          <w:numId w:val="2"/>
        </w:numPr>
        <w:shd w:val="clear" w:color="auto" w:fill="FFFFFF"/>
        <w:tabs>
          <w:tab w:val="clear" w:pos="709"/>
          <w:tab w:val="left" w:pos="1134" w:leader="none"/>
        </w:tabs>
        <w:ind w:firstLine="709" w:left="0"/>
        <w:jc w:val="both"/>
        <w:rPr>
          <w:bCs/>
          <w:color w:val="000000" w:themeColor="text1"/>
          <w:sz w:val="24"/>
          <w:szCs w:val="24"/>
        </w:rPr>
      </w:pPr>
      <w:r>
        <w:rPr>
          <w:bCs/>
          <w:color w:val="000000" w:themeColor="text1"/>
          <w:sz w:val="24"/>
          <w:szCs w:val="24"/>
        </w:rPr>
        <w:t>Место поставки Товара: Камчатский край, г. Петропавловск-Камчатский, ул. Солнечная, дом 16 а</w:t>
      </w:r>
      <w:r>
        <w:rPr>
          <w:b/>
          <w:bCs/>
          <w:iCs/>
          <w:color w:val="000000"/>
          <w:sz w:val="24"/>
          <w:szCs w:val="24"/>
        </w:rPr>
        <w:t xml:space="preserve">, </w:t>
      </w:r>
      <w:r>
        <w:rPr>
          <w:bCs/>
          <w:color w:val="000000" w:themeColor="text1"/>
          <w:sz w:val="24"/>
          <w:szCs w:val="24"/>
        </w:rPr>
        <w:t xml:space="preserve">(далее – «Место поставки») </w:t>
      </w:r>
      <w:r>
        <w:rPr>
          <w:color w:val="000000" w:themeColor="text1"/>
          <w:sz w:val="24"/>
          <w:szCs w:val="24"/>
        </w:rPr>
        <w:t>в соответствии со Спецификацией (Приложение № 1 к Договору)</w:t>
      </w:r>
      <w:r>
        <w:rPr>
          <w:bCs/>
          <w:color w:val="000000" w:themeColor="text1"/>
          <w:sz w:val="24"/>
          <w:szCs w:val="24"/>
        </w:rPr>
        <w:t>.</w:t>
      </w:r>
    </w:p>
    <w:p>
      <w:pPr>
        <w:pStyle w:val="Normal"/>
        <w:numPr>
          <w:ilvl w:val="1"/>
          <w:numId w:val="2"/>
        </w:numPr>
        <w:shd w:val="clear" w:color="auto" w:fill="FFFFFF"/>
        <w:tabs>
          <w:tab w:val="clear" w:pos="709"/>
          <w:tab w:val="left" w:pos="1134" w:leader="none"/>
        </w:tabs>
        <w:ind w:firstLine="709" w:left="0"/>
        <w:jc w:val="both"/>
        <w:rPr>
          <w:bCs/>
          <w:color w:val="000000" w:themeColor="text1"/>
          <w:sz w:val="24"/>
          <w:szCs w:val="24"/>
        </w:rPr>
      </w:pPr>
      <w:r>
        <w:rPr>
          <w:bCs/>
          <w:color w:val="000000" w:themeColor="text1"/>
          <w:sz w:val="24"/>
          <w:szCs w:val="24"/>
        </w:rPr>
        <w:t>Срок поставки Товара: с</w:t>
      </w:r>
      <w:r>
        <w:rPr>
          <w:bCs/>
          <w:color w:val="000000"/>
          <w:sz w:val="24"/>
          <w:szCs w:val="24"/>
        </w:rPr>
        <w:t xml:space="preserve"> даты подписания договора </w:t>
      </w:r>
      <w:r>
        <w:rPr>
          <w:bCs/>
          <w:color w:val="000000" w:themeColor="text1"/>
          <w:sz w:val="24"/>
          <w:szCs w:val="24"/>
        </w:rPr>
        <w:t>не более 60 календарных дней.</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 xml:space="preserve">Авансовый платеж в размере 30 (тридцати) процентов от стоимости Товара выплачивается Поставщику </w:t>
      </w:r>
      <w:r>
        <w:rPr>
          <w:sz w:val="24"/>
          <w:highlight w:val="lightGray"/>
        </w:rPr>
        <w:t>при условии согласования Сторонами Спецификации (Приложение № 1 к Договору) в соответствии с пунктом 2.2 Договора</w:t>
      </w:r>
      <w:r>
        <w:rPr>
          <w:sz w:val="24"/>
        </w:rPr>
        <w:t xml:space="preserve"> в течение </w:t>
        <w:br/>
        <w:t>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2.5.1, 2.5.4 Договора.</w:t>
      </w:r>
    </w:p>
    <w:p>
      <w:pPr>
        <w:pStyle w:val="ListParagraph"/>
        <w:numPr>
          <w:ilvl w:val="2"/>
          <w:numId w:val="2"/>
        </w:numPr>
        <w:tabs>
          <w:tab w:val="clear" w:pos="709"/>
        </w:tabs>
        <w:ind w:firstLine="709" w:left="0"/>
        <w:jc w:val="both"/>
        <w:rPr>
          <w:sz w:val="24"/>
        </w:rPr>
      </w:pPr>
      <w:r>
        <w:rPr>
          <w:sz w:val="24"/>
        </w:rPr>
        <w:t>Окончательный платеж в размере 70 (семидесяти) процентов от стоимости Товара</w:t>
      </w:r>
      <w:r>
        <w:rPr>
          <w:rStyle w:val="FootnoteReference"/>
          <w:sz w:val="24"/>
        </w:rPr>
        <w:footnoteReference w:id="3"/>
      </w:r>
      <w:r>
        <w:rPr>
          <w:sz w:val="24"/>
        </w:rPr>
        <w:t xml:space="preserve"> выплачивается Поставщику в течение </w:t>
      </w:r>
      <w:r>
        <w:rPr>
          <w:sz w:val="24"/>
          <w:highlight w:val="lightGray"/>
        </w:rPr>
        <w:t>20 (двадцати) календарных дней</w:t>
      </w:r>
      <w:r>
        <w:rPr>
          <w:rStyle w:val="FootnoteReference"/>
          <w:sz w:val="24"/>
          <w:highlight w:val="lightGray"/>
        </w:rPr>
        <w:footnoteReference w:id="4"/>
      </w:r>
      <w:r>
        <w:rPr>
          <w:sz w:val="24"/>
          <w:highlight w:val="lightGray"/>
        </w:rPr>
        <w:t xml:space="preserve"> / 45 (сорока пяти) календарных дней</w:t>
      </w:r>
      <w:r>
        <w:rPr>
          <w:rStyle w:val="FootnoteReference"/>
          <w:sz w:val="24"/>
          <w:highlight w:val="lightGray"/>
        </w:rPr>
        <w:footnoteReference w:id="5"/>
      </w:r>
      <w:r>
        <w:rPr>
          <w:sz w:val="24"/>
          <w:highlight w:val="lightGray"/>
        </w:rPr>
        <w:t xml:space="preserve"> / 7 (семи) рабочих дней</w:t>
      </w:r>
      <w:r>
        <w:rPr>
          <w:rStyle w:val="FootnoteReference"/>
          <w:sz w:val="24"/>
          <w:highlight w:val="lightGray"/>
        </w:rPr>
        <w:footnoteReference w:id="6"/>
      </w:r>
      <w:r>
        <w:rPr>
          <w:sz w:val="24"/>
        </w:rPr>
        <w:t xml:space="preserve"> с даты подписания Сторонами Накладной ТОРГ-12/УПД на основании счета, выставленного Поставщиком, и с учетом пункта 2.5.4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8"/>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br/>
        <w:t>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Покупателя):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9"/>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10"/>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7"/>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7"/>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7"/>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7"/>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7"/>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7"/>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7"/>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numPr>
          <w:ilvl w:val="1"/>
          <w:numId w:val="17"/>
        </w:numPr>
        <w:ind w:firstLine="709" w:left="0"/>
        <w:jc w:val="both"/>
        <w:rPr>
          <w:sz w:val="24"/>
          <w:szCs w:val="24"/>
          <w:highlight w:val="lightGray"/>
        </w:rPr>
      </w:pPr>
      <w:r>
        <w:rPr>
          <w:sz w:val="24"/>
          <w:szCs w:val="24"/>
          <w:highlight w:val="lightGray"/>
        </w:rPr>
        <w:t xml:space="preserve">В случае если неисполнение / ненадлежащее исполнение Поставщиком обязательств по Договору повлекло за собой нарушение </w:t>
      </w:r>
      <w:r>
        <w:rPr>
          <w:bCs/>
          <w:sz w:val="24"/>
          <w:szCs w:val="24"/>
          <w:highlight w:val="lightGray"/>
        </w:rPr>
        <w:t>Покупателем</w:t>
      </w:r>
      <w:r>
        <w:rPr>
          <w:sz w:val="24"/>
          <w:szCs w:val="24"/>
          <w:highlight w:val="lightGray"/>
        </w:rPr>
        <w:t xml:space="preserve"> обязательств </w:t>
        <w:br/>
        <w:t xml:space="preserve">на оптовом и / или розничных рынках электрической энергии и мощности, Поставщик несет ответственность перед </w:t>
      </w:r>
      <w:r>
        <w:rPr>
          <w:bCs/>
          <w:sz w:val="24"/>
          <w:szCs w:val="24"/>
          <w:highlight w:val="lightGray"/>
        </w:rPr>
        <w:t>Покупателем</w:t>
      </w:r>
      <w:r>
        <w:rPr>
          <w:sz w:val="24"/>
          <w:szCs w:val="24"/>
          <w:highlight w:val="lightGray"/>
        </w:rPr>
        <w:t xml:space="preserve"> за причиненный ущерб в размере фактически понесенных и документально подтвержденных расходов, произведенных </w:t>
        <w:br/>
        <w:t xml:space="preserve">для восстановления нарушенного права, в том числе в части затрат, понесенных </w:t>
      </w:r>
      <w:r>
        <w:rPr>
          <w:bCs/>
          <w:sz w:val="24"/>
          <w:szCs w:val="24"/>
          <w:highlight w:val="lightGray"/>
        </w:rPr>
        <w:t>Покупателем</w:t>
      </w:r>
      <w:r>
        <w:rPr>
          <w:sz w:val="24"/>
          <w:szCs w:val="24"/>
          <w:highlight w:val="lightGray"/>
        </w:rPr>
        <w: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pPr>
        <w:pStyle w:val="Normal"/>
        <w:ind w:firstLine="709"/>
        <w:jc w:val="both"/>
        <w:rPr>
          <w:sz w:val="24"/>
          <w:szCs w:val="24"/>
          <w:highlight w:val="lightGray"/>
        </w:rPr>
      </w:pPr>
      <w:r>
        <w:rPr>
          <w:sz w:val="24"/>
          <w:szCs w:val="24"/>
          <w:highlight w:val="lightGray"/>
        </w:rPr>
        <w:t xml:space="preserve">Кроме суммы реального ущерба, Поставщик компенсирует </w:t>
      </w:r>
      <w:r>
        <w:rPr>
          <w:bCs/>
          <w:sz w:val="24"/>
          <w:szCs w:val="24"/>
          <w:highlight w:val="lightGray"/>
        </w:rPr>
        <w:t>Покупателем</w:t>
      </w:r>
      <w:r>
        <w:rPr>
          <w:sz w:val="24"/>
          <w:szCs w:val="24"/>
          <w:highlight w:val="lightGray"/>
        </w:rPr>
        <w: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ind w:firstLine="709"/>
        <w:jc w:val="both"/>
        <w:rPr>
          <w:sz w:val="24"/>
          <w:szCs w:val="24"/>
          <w:highlight w:val="lightGray"/>
        </w:rPr>
      </w:pPr>
      <w:r>
        <w:rPr>
          <w:sz w:val="24"/>
          <w:szCs w:val="24"/>
          <w:highlight w:val="lightGray"/>
        </w:rPr>
        <w:t xml:space="preserve">Размер упущенной выгоды (выручки) подтверждается (по выбору </w:t>
      </w:r>
      <w:r>
        <w:rPr>
          <w:bCs/>
          <w:sz w:val="24"/>
          <w:szCs w:val="24"/>
          <w:highlight w:val="lightGray"/>
        </w:rPr>
        <w:t>Покупателя</w:t>
      </w:r>
      <w:r>
        <w:rPr>
          <w:sz w:val="24"/>
          <w:szCs w:val="24"/>
          <w:highlight w:val="lightGray"/>
        </w:rPr>
        <w:t>):</w:t>
      </w:r>
    </w:p>
    <w:p>
      <w:pPr>
        <w:pStyle w:val="Normal"/>
        <w:widowControl/>
        <w:numPr>
          <w:ilvl w:val="0"/>
          <w:numId w:val="13"/>
        </w:numPr>
        <w:spacing w:lineRule="auto" w:line="259"/>
        <w:ind w:firstLine="709" w:left="0"/>
        <w:jc w:val="both"/>
        <w:rPr>
          <w:sz w:val="24"/>
          <w:szCs w:val="24"/>
          <w:highlight w:val="lightGray"/>
        </w:rPr>
      </w:pPr>
      <w:r>
        <w:rPr>
          <w:sz w:val="24"/>
          <w:szCs w:val="24"/>
          <w:highlight w:val="lightGray"/>
        </w:rPr>
        <w:t>в ценовой зоне оптового рынка:</w:t>
      </w:r>
    </w:p>
    <w:p>
      <w:pPr>
        <w:pStyle w:val="Normal"/>
        <w:ind w:firstLine="709"/>
        <w:jc w:val="both"/>
        <w:rPr>
          <w:sz w:val="24"/>
          <w:szCs w:val="24"/>
          <w:highlight w:val="lightGray"/>
        </w:rPr>
      </w:pPr>
      <w:r>
        <w:rPr>
          <w:sz w:val="24"/>
          <w:szCs w:val="24"/>
          <w:highlight w:val="lightGray"/>
        </w:rPr>
        <w:t xml:space="preserve">расчетом, подготовленным Коммерческим оператором оптового рынка; </w:t>
      </w:r>
    </w:p>
    <w:p>
      <w:pPr>
        <w:pStyle w:val="Normal"/>
        <w:ind w:firstLine="709"/>
        <w:jc w:val="both"/>
        <w:rPr>
          <w:sz w:val="24"/>
          <w:szCs w:val="24"/>
          <w:highlight w:val="lightGray"/>
        </w:rPr>
      </w:pPr>
      <w:r>
        <w:rPr>
          <w:sz w:val="24"/>
          <w:szCs w:val="24"/>
          <w:highlight w:val="lightGray"/>
        </w:rPr>
        <w:t>и / или</w:t>
      </w:r>
    </w:p>
    <w:p>
      <w:pPr>
        <w:pStyle w:val="Normal"/>
        <w:ind w:firstLine="709"/>
        <w:jc w:val="both"/>
        <w:rPr>
          <w:sz w:val="24"/>
          <w:szCs w:val="24"/>
          <w:highlight w:val="lightGray"/>
        </w:rPr>
      </w:pPr>
      <w:r>
        <w:rPr>
          <w:sz w:val="24"/>
          <w:szCs w:val="24"/>
          <w:highlight w:val="lightGray"/>
        </w:rPr>
        <w:t xml:space="preserve">расчетом, подготовленным </w:t>
      </w:r>
      <w:r>
        <w:rPr>
          <w:bCs/>
          <w:sz w:val="24"/>
          <w:szCs w:val="24"/>
          <w:highlight w:val="lightGray"/>
        </w:rPr>
        <w:t>Покупателем</w:t>
      </w:r>
      <w:r>
        <w:rPr>
          <w:sz w:val="24"/>
          <w:szCs w:val="24"/>
          <w:highlight w:val="lightGray"/>
        </w:rPr>
        <w:t xml:space="preserve"> на основании методики, утвержденной Наблюдательным советом Ассоциации «Некоммерческое партнерство Совет рынка </w:t>
        <w:br/>
        <w:t>по организации эффективной системы оптовой и розничной торговли электрической энергией и мощностью» (далее – Ассоциация «НП Совета рынка»).</w:t>
      </w:r>
    </w:p>
    <w:p>
      <w:pPr>
        <w:pStyle w:val="Normal"/>
        <w:widowControl/>
        <w:numPr>
          <w:ilvl w:val="0"/>
          <w:numId w:val="13"/>
        </w:numPr>
        <w:spacing w:lineRule="auto" w:line="259"/>
        <w:ind w:firstLine="709" w:left="0"/>
        <w:jc w:val="both"/>
        <w:rPr>
          <w:sz w:val="24"/>
          <w:szCs w:val="24"/>
          <w:highlight w:val="lightGray"/>
        </w:rPr>
      </w:pPr>
      <w:r>
        <w:rPr>
          <w:rFonts w:eastAsia="Times New Roman" w:cs="Times New Roman"/>
          <w:color w:val="auto"/>
          <w:kern w:val="0"/>
          <w:sz w:val="24"/>
          <w:szCs w:val="24"/>
          <w:highlight w:val="lightGray"/>
          <w:lang w:val="ru-RU" w:eastAsia="ru-RU" w:bidi="ar-SA"/>
        </w:rPr>
        <w:t>в о</w:t>
      </w:r>
      <w:r>
        <w:rPr>
          <w:sz w:val="24"/>
          <w:szCs w:val="24"/>
          <w:highlight w:val="lightGray"/>
        </w:rPr>
        <w:t xml:space="preserve">тдельной территории ценовой зоны оптового рынка, ранее относившейся к  неценовой зоне оптового рынка Дальнего Востока: </w:t>
      </w:r>
    </w:p>
    <w:p>
      <w:pPr>
        <w:pStyle w:val="Normal"/>
        <w:ind w:firstLine="709"/>
        <w:jc w:val="both"/>
        <w:rPr>
          <w:sz w:val="24"/>
          <w:szCs w:val="24"/>
          <w:highlight w:val="lightGray"/>
        </w:rPr>
      </w:pPr>
      <w:r>
        <w:rPr>
          <w:sz w:val="24"/>
          <w:szCs w:val="24"/>
          <w:highlight w:val="lightGray"/>
        </w:rPr>
        <w:t xml:space="preserve">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w:t>
      </w:r>
      <w:r>
        <w:rPr>
          <w:bCs/>
          <w:sz w:val="24"/>
          <w:szCs w:val="24"/>
          <w:highlight w:val="lightGray"/>
        </w:rPr>
        <w:t>Покупателем</w:t>
      </w:r>
      <w:r>
        <w:rPr>
          <w:sz w:val="24"/>
          <w:szCs w:val="24"/>
          <w:highlight w:val="lightGray"/>
        </w:rPr>
        <w:t xml:space="preserve"> на основании Методики (Приложение № 6 к Договору);</w:t>
      </w:r>
    </w:p>
    <w:p>
      <w:pPr>
        <w:pStyle w:val="Normal"/>
        <w:ind w:firstLine="709"/>
        <w:jc w:val="both"/>
        <w:rPr>
          <w:sz w:val="24"/>
          <w:szCs w:val="24"/>
          <w:highlight w:val="lightGray"/>
        </w:rPr>
      </w:pPr>
      <w:r>
        <w:rPr>
          <w:sz w:val="24"/>
          <w:szCs w:val="24"/>
          <w:highlight w:val="lightGray"/>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pPr>
        <w:pStyle w:val="Normal"/>
        <w:ind w:firstLine="709"/>
        <w:jc w:val="both"/>
        <w:rPr>
          <w:sz w:val="24"/>
          <w:szCs w:val="24"/>
          <w:highlight w:val="lightGray"/>
        </w:rPr>
      </w:pPr>
      <w:r>
        <w:rPr>
          <w:sz w:val="24"/>
          <w:szCs w:val="24"/>
          <w:highlight w:val="lightGray"/>
        </w:rPr>
        <w:t xml:space="preserve">расчетом, подготовленным Коммерческим оператором оптового рынка; </w:t>
      </w:r>
    </w:p>
    <w:p>
      <w:pPr>
        <w:pStyle w:val="Normal"/>
        <w:ind w:firstLine="709"/>
        <w:jc w:val="both"/>
        <w:rPr>
          <w:sz w:val="24"/>
          <w:szCs w:val="24"/>
          <w:highlight w:val="lightGray"/>
        </w:rPr>
      </w:pPr>
      <w:r>
        <w:rPr>
          <w:sz w:val="24"/>
          <w:szCs w:val="24"/>
          <w:highlight w:val="lightGray"/>
        </w:rPr>
        <w:t>и / или</w:t>
      </w:r>
    </w:p>
    <w:p>
      <w:pPr>
        <w:pStyle w:val="Normal"/>
        <w:ind w:firstLine="709"/>
        <w:jc w:val="both"/>
        <w:rPr>
          <w:sz w:val="24"/>
          <w:szCs w:val="24"/>
          <w:highlight w:val="lightGray"/>
        </w:rPr>
      </w:pPr>
      <w:r>
        <w:rPr>
          <w:sz w:val="24"/>
          <w:szCs w:val="24"/>
          <w:highlight w:val="lightGray"/>
        </w:rPr>
        <w:t xml:space="preserve">расчетом, подготовленным </w:t>
      </w:r>
      <w:r>
        <w:rPr>
          <w:bCs/>
          <w:sz w:val="24"/>
          <w:szCs w:val="24"/>
          <w:highlight w:val="lightGray"/>
        </w:rPr>
        <w:t>Покупателем</w:t>
      </w:r>
      <w:r>
        <w:rPr>
          <w:sz w:val="24"/>
          <w:szCs w:val="24"/>
          <w:highlight w:val="lightGray"/>
        </w:rPr>
        <w:t xml:space="preserve"> на основании методики, утвержденной Наблюдательным советом Ассоциации «НП Совет рынка».</w:t>
      </w:r>
    </w:p>
    <w:p>
      <w:pPr>
        <w:pStyle w:val="Normal"/>
        <w:ind w:firstLine="709"/>
        <w:jc w:val="both"/>
        <w:rPr>
          <w:sz w:val="24"/>
          <w:szCs w:val="24"/>
          <w:highlight w:val="lightGray"/>
        </w:rPr>
      </w:pPr>
      <w:r>
        <w:rPr>
          <w:sz w:val="24"/>
          <w:szCs w:val="24"/>
          <w:highlight w:val="lightGray"/>
        </w:rPr>
        <w:t xml:space="preserve">В отношении вновь вводимого оборудования ГЭС / ГАЭС – объектов ДПМ, ДПМ ВИЭ в ценовых зонах ОРЭМ Поставщик дополнительно компенсирует </w:t>
      </w:r>
      <w:r>
        <w:rPr>
          <w:bCs/>
          <w:sz w:val="24"/>
          <w:szCs w:val="24"/>
          <w:highlight w:val="lightGray"/>
        </w:rPr>
        <w:t>Покупателю</w:t>
      </w:r>
      <w:r>
        <w:rPr>
          <w:sz w:val="24"/>
          <w:szCs w:val="24"/>
          <w:highlight w:val="lightGray"/>
        </w:rPr>
        <w:t xml:space="preserve">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pPr>
        <w:pStyle w:val="Normal"/>
        <w:ind w:firstLine="709"/>
        <w:jc w:val="both"/>
        <w:rPr>
          <w:sz w:val="24"/>
          <w:szCs w:val="24"/>
          <w:highlight w:val="lightGray"/>
        </w:rPr>
      </w:pPr>
      <w:r>
        <w:rPr>
          <w:sz w:val="24"/>
          <w:szCs w:val="24"/>
          <w:highlight w:val="lightGray"/>
        </w:rPr>
        <w:t xml:space="preserve">В отношении вновь вводимого (модернизируемого) оборудования ТЭС в отдельной территории ценовой зоны оптового рынка, ранее относившейся к неценовой зоне </w:t>
      </w:r>
      <w:r>
        <w:rPr>
          <w:bCs/>
          <w:color w:val="000000"/>
          <w:sz w:val="24"/>
          <w:szCs w:val="24"/>
          <w:highlight w:val="lightGray"/>
          <w:shd w:fill="CCCCCC" w:val="clear"/>
        </w:rPr>
        <w:t xml:space="preserve">оптового рынка </w:t>
      </w:r>
      <w:r>
        <w:rPr>
          <w:sz w:val="24"/>
          <w:szCs w:val="24"/>
          <w:highlight w:val="lightGray"/>
        </w:rPr>
        <w:t xml:space="preserve">Дальнего Востока Подрядчик дополнительно компенсирует Покупателю упущенную выгоду (выручку) в связи: </w:t>
      </w:r>
    </w:p>
    <w:p>
      <w:pPr>
        <w:pStyle w:val="ListParagraph"/>
        <w:numPr>
          <w:ilvl w:val="2"/>
          <w:numId w:val="17"/>
        </w:numPr>
        <w:ind w:firstLine="709" w:left="0"/>
        <w:jc w:val="both"/>
        <w:rPr>
          <w:sz w:val="24"/>
          <w:szCs w:val="24"/>
          <w:highlight w:val="lightGray"/>
        </w:rPr>
      </w:pPr>
      <w:r>
        <w:rPr>
          <w:sz w:val="24"/>
          <w:szCs w:val="24"/>
          <w:highlight w:val="lightGray"/>
        </w:rPr>
        <w:t>С неоплатой мощности из-за просрочки исполнения обязательства по поставке мощности от модернизированного объекта.</w:t>
      </w:r>
    </w:p>
    <w:p>
      <w:pPr>
        <w:pStyle w:val="Normal"/>
        <w:ind w:firstLine="709"/>
        <w:jc w:val="both"/>
        <w:rPr>
          <w:sz w:val="24"/>
          <w:szCs w:val="24"/>
          <w:highlight w:val="lightGray"/>
        </w:rPr>
      </w:pPr>
      <w:r>
        <w:rPr>
          <w:sz w:val="24"/>
          <w:szCs w:val="24"/>
          <w:highlight w:val="lightGray"/>
        </w:rPr>
        <w:t xml:space="preserve">Размер упущенной выгоды для каждого месяца просрочки определяется в соответствии с Правилами ОРЭМ. </w:t>
      </w:r>
    </w:p>
    <w:p>
      <w:pPr>
        <w:pStyle w:val="ListParagraph"/>
        <w:numPr>
          <w:ilvl w:val="2"/>
          <w:numId w:val="17"/>
        </w:numPr>
        <w:ind w:firstLine="709" w:left="0"/>
        <w:jc w:val="both"/>
        <w:rPr>
          <w:sz w:val="24"/>
          <w:szCs w:val="24"/>
          <w:highlight w:val="lightGray"/>
        </w:rPr>
      </w:pPr>
      <w:r>
        <w:rPr>
          <w:sz w:val="24"/>
          <w:szCs w:val="24"/>
          <w:highlight w:val="lightGray"/>
        </w:rPr>
        <w:t xml:space="preserve">С уменьшением тарифа на мощность генерирующего объекта в порядке, установленном договором о присоединении к торговой системе оптового рынка, </w:t>
        <w:br/>
        <w:t xml:space="preserve">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в неценовых зонах оптового рынка, определенную </w:t>
        <w:br/>
        <w:t>в соответствии с решением Правительства Российской Федерации.</w:t>
      </w:r>
    </w:p>
    <w:p>
      <w:pPr>
        <w:pStyle w:val="Normal"/>
        <w:ind w:firstLine="709"/>
        <w:jc w:val="both"/>
        <w:rPr>
          <w:sz w:val="24"/>
          <w:szCs w:val="24"/>
          <w:highlight w:val="lightGray"/>
        </w:rPr>
      </w:pPr>
      <w:r>
        <w:rPr>
          <w:sz w:val="24"/>
          <w:szCs w:val="24"/>
          <w:highlight w:val="lightGray"/>
        </w:rPr>
        <w:t xml:space="preserve">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w:t>
        <w:br/>
        <w:t>по локализации.</w:t>
      </w:r>
    </w:p>
    <w:p>
      <w:pPr>
        <w:pStyle w:val="ListParagraph"/>
        <w:numPr>
          <w:ilvl w:val="2"/>
          <w:numId w:val="17"/>
        </w:numPr>
        <w:ind w:firstLine="709" w:left="0"/>
        <w:jc w:val="both"/>
        <w:rPr>
          <w:sz w:val="24"/>
          <w:szCs w:val="24"/>
          <w:highlight w:val="lightGray"/>
        </w:rPr>
      </w:pPr>
      <w:r>
        <w:rPr>
          <w:sz w:val="24"/>
          <w:szCs w:val="24"/>
          <w:highlight w:val="lightGray"/>
        </w:rPr>
        <w:t xml:space="preserve"> </w:t>
      </w:r>
      <w:r>
        <w:rPr>
          <w:sz w:val="24"/>
          <w:szCs w:val="24"/>
          <w:highlight w:val="lightGray"/>
        </w:rPr>
        <w: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ОРЭМ</w:t>
      </w:r>
      <w:r>
        <w:rPr>
          <w:rStyle w:val="FootnoteReference"/>
          <w:sz w:val="24"/>
          <w:szCs w:val="24"/>
          <w:highlight w:val="lightGray"/>
        </w:rPr>
        <w:footnoteReference w:id="11"/>
      </w:r>
      <w:r>
        <w:rPr>
          <w:sz w:val="24"/>
          <w:szCs w:val="24"/>
          <w:highlight w:val="lightGray"/>
        </w:rPr>
        <w:t>.</w:t>
      </w:r>
    </w:p>
    <w:p>
      <w:pPr>
        <w:pStyle w:val="Normal"/>
        <w:ind w:firstLine="709"/>
        <w:jc w:val="both"/>
        <w:rPr>
          <w:sz w:val="24"/>
          <w:szCs w:val="24"/>
          <w:highlight w:val="lightGray"/>
        </w:rPr>
      </w:pPr>
      <w:r>
        <w:rPr>
          <w:sz w:val="24"/>
          <w:szCs w:val="24"/>
          <w:highlight w:val="lightGray"/>
        </w:rPr>
        <w:t>Методика</w:t>
      </w:r>
      <w:r>
        <w:rPr>
          <w:sz w:val="24"/>
          <w:szCs w:val="28"/>
          <w:highlight w:val="lightGray"/>
        </w:rPr>
        <w: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t>
      </w:r>
      <w:r>
        <w:rPr>
          <w:bCs/>
          <w:color w:val="000000"/>
          <w:sz w:val="24"/>
          <w:szCs w:val="24"/>
          <w:highlight w:val="lightGray"/>
          <w:shd w:fill="CCCCCC" w:val="clear"/>
        </w:rPr>
        <w:t xml:space="preserve">оптового рынка </w:t>
      </w:r>
      <w:r>
        <w:rPr>
          <w:sz w:val="24"/>
          <w:szCs w:val="28"/>
          <w:highlight w:val="lightGray"/>
        </w:rPr>
        <w:t>Дальнего Востока изложена в П</w:t>
      </w:r>
      <w:r>
        <w:rPr>
          <w:sz w:val="24"/>
          <w:szCs w:val="24"/>
          <w:highlight w:val="lightGray"/>
        </w:rPr>
        <w:t>риложении № 6 к Договору.</w:t>
      </w:r>
    </w:p>
    <w:p>
      <w:pPr>
        <w:pStyle w:val="ListParagraph"/>
        <w:widowControl/>
        <w:numPr>
          <w:ilvl w:val="1"/>
          <w:numId w:val="17"/>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numPr>
          <w:ilvl w:val="1"/>
          <w:numId w:val="17"/>
        </w:numPr>
        <w:ind w:firstLine="709" w:left="0"/>
        <w:jc w:val="both"/>
        <w:rPr>
          <w:rFonts w:eastAsia="Calibri"/>
          <w:bCs/>
          <w:sz w:val="24"/>
          <w:szCs w:val="24"/>
          <w:highlight w:val="lightGray"/>
        </w:rPr>
      </w:pPr>
      <w:r>
        <w:rPr>
          <w:rFonts w:eastAsia="Calibri"/>
          <w:bCs/>
          <w:sz w:val="24"/>
          <w:szCs w:val="24"/>
          <w:highlight w:val="lightGray"/>
        </w:rPr>
        <w:t>В случае нарушения Поставщиком сроков исполнения обязательств, установленных пунктом 3.2.4 Регламента взаимодействия в ходе исполнения процессов управления проектом (Приложение № 5 к Договору), Покупатель вправе потребовать уплаты Поставщиком штрафа в размере 15 000 (пятнадцати тысяч) рублей за каждый случай нарушения</w:t>
      </w:r>
      <w:r>
        <w:rPr>
          <w:rStyle w:val="FootnoteReference"/>
          <w:rFonts w:eastAsia="Calibri"/>
          <w:bCs/>
          <w:sz w:val="24"/>
          <w:szCs w:val="24"/>
          <w:highlight w:val="lightGray"/>
        </w:rPr>
        <w:footnoteReference w:id="12"/>
      </w:r>
      <w:r>
        <w:rPr>
          <w:rFonts w:eastAsia="Calibri"/>
          <w:bCs/>
          <w:sz w:val="24"/>
          <w:szCs w:val="24"/>
          <w:highlight w:val="lightGray"/>
        </w:rPr>
        <w:t>.</w:t>
      </w:r>
    </w:p>
    <w:p>
      <w:pPr>
        <w:pStyle w:val="ListParagraph"/>
        <w:widowControl/>
        <w:numPr>
          <w:ilvl w:val="1"/>
          <w:numId w:val="17"/>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7"/>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7"/>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7"/>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7"/>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13"/>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4"/>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 xml:space="preserve">14.9 </w:t>
      </w:r>
      <w:r>
        <w:rPr>
          <w:bCs/>
          <w:sz w:val="24"/>
          <w:szCs w:val="24"/>
        </w:rPr>
        <w:t>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14.6</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shd w:val="clear" w:fill="FFFFFF"/>
        <w:tabs>
          <w:tab w:val="clear" w:pos="709"/>
          <w:tab w:val="left" w:pos="1134" w:leader="none"/>
        </w:tabs>
        <w:suppressAutoHyphens w:val="true"/>
        <w:overflowPunct w:val="true"/>
        <w:bidi w:val="0"/>
        <w:spacing w:lineRule="auto" w:line="240" w:before="0" w:after="0"/>
        <w:ind w:firstLine="709" w:left="0" w:right="0"/>
        <w:contextualSpacing/>
        <w:jc w:val="both"/>
        <w:rPr/>
      </w:pPr>
      <w:r>
        <w:rPr>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sz w:val="24"/>
          <w:szCs w:val="24"/>
          <w:shd w:fill="C0C0C0" w:val="clear"/>
          <w:lang w:eastAsia="en-US"/>
        </w:rPr>
        <w:footnoteReference w:id="15"/>
      </w:r>
      <w:r>
        <w:rPr>
          <w:sz w:val="24"/>
          <w:szCs w:val="24"/>
          <w:shd w:fill="C0C0C0" w:val="clear"/>
          <w:lang w:eastAsia="en-US"/>
        </w:rPr>
        <w:t>.</w:t>
      </w:r>
    </w:p>
    <w:p>
      <w:pPr>
        <w:pStyle w:val="Normal"/>
        <w:widowControl/>
        <w:shd w:val="clear" w:fill="FFFFFF"/>
        <w:tabs>
          <w:tab w:val="clear" w:pos="709"/>
          <w:tab w:val="left" w:pos="1134" w:leader="none"/>
        </w:tabs>
        <w:suppressAutoHyphens w:val="true"/>
        <w:overflowPunct w:val="true"/>
        <w:bidi w:val="0"/>
        <w:spacing w:lineRule="auto" w:line="240" w:before="0" w:after="0"/>
        <w:ind w:firstLine="709" w:left="0" w:right="0"/>
        <w:contextualSpacing/>
        <w:jc w:val="both"/>
        <w:rPr/>
      </w:pPr>
      <w:r>
        <w:rPr>
          <w:sz w:val="24"/>
          <w:szCs w:val="24"/>
          <w:shd w:fill="C0C0C0"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fill="C0C0C0" w:val="clear"/>
        </w:rPr>
        <w:t>14.8</w:t>
      </w:r>
      <w:r>
        <w:rPr>
          <w:sz w:val="24"/>
          <w:szCs w:val="24"/>
        </w:rPr>
        <w:t xml:space="preserve"> Договора. </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
        </w:numPr>
        <w:shd w:val="clear" w:fill="FFFFFF"/>
        <w:tabs>
          <w:tab w:val="clear" w:pos="709"/>
          <w:tab w:val="left" w:pos="0" w:leader="none"/>
          <w:tab w:val="left" w:pos="1134" w:leader="none"/>
          <w:tab w:val="left" w:pos="1418" w:leader="none"/>
        </w:tabs>
        <w:ind w:firstLine="709" w:left="0" w:right="0"/>
        <w:jc w:val="both"/>
        <w:rPr>
          <w:sz w:val="24"/>
          <w:szCs w:val="24"/>
        </w:rPr>
      </w:pPr>
      <w:r>
        <w:rPr>
          <w:sz w:val="24"/>
          <w:szCs w:val="24"/>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z w:val="24"/>
          <w:szCs w:val="24"/>
          <w:shd w:fill="C0C0C0" w:val="clear"/>
        </w:rPr>
        <w:t>14.7 или 14.9</w:t>
      </w:r>
      <w:r>
        <w:rPr>
          <w:sz w:val="24"/>
          <w:szCs w:val="24"/>
        </w:rPr>
        <w:t xml:space="preserve"> Договора.</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Покупателя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Покупателем</w:t>
      </w:r>
      <w:r>
        <w:rPr>
          <w:sz w:val="24"/>
          <w:szCs w:val="24"/>
        </w:rPr>
        <w:t>.</w:t>
      </w:r>
    </w:p>
    <w:p>
      <w:pPr>
        <w:pStyle w:val="ListParagraph"/>
        <w:numPr>
          <w:ilvl w:val="1"/>
          <w:numId w:val="2"/>
        </w:numPr>
        <w:shd w:val="clear" w:fill="FFFFFF"/>
        <w:tabs>
          <w:tab w:val="clear" w:pos="709"/>
          <w:tab w:val="left" w:pos="1134" w:leader="none"/>
        </w:tabs>
        <w:ind w:firstLine="709" w:left="0" w:righ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Pr>
          <w:sz w:val="24"/>
          <w:szCs w:val="24"/>
          <w:shd w:fill="auto" w:val="clear"/>
        </w:rPr>
        <w:t xml:space="preserve">пунктами </w:t>
      </w:r>
      <w:r>
        <w:rPr>
          <w:sz w:val="24"/>
          <w:szCs w:val="24"/>
          <w:shd w:fill="C0C0C0" w:val="clear"/>
        </w:rPr>
        <w:t>14.7 или 14.9</w:t>
      </w:r>
      <w:r>
        <w:rPr>
          <w:sz w:val="24"/>
          <w:szCs w:val="24"/>
        </w:rPr>
        <w:t xml:space="preserve"> Договора.</w:t>
      </w:r>
      <w:bookmarkEnd w:id="9"/>
      <w:r>
        <w:rPr>
          <w:sz w:val="24"/>
          <w:szCs w:val="24"/>
        </w:rPr>
        <w:t xml:space="preserve"> </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sz w:val="24"/>
          <w:szCs w:val="24"/>
        </w:rPr>
        <w:t>Обмен документами на бумажном носителе допускается по требованию Покупателя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426" w:left="0"/>
        <w:jc w:val="both"/>
        <w:rPr>
          <w:bCs/>
        </w:rPr>
      </w:pPr>
      <w:r>
        <w:rPr>
          <w:bCs/>
          <w:sz w:val="24"/>
          <w:szCs w:val="24"/>
          <w:highlight w:val="lightGray"/>
          <w:lang w:eastAsia="en-U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w:t>
      </w:r>
      <w:r>
        <w:rPr>
          <w:bCs/>
          <w:sz w:val="24"/>
          <w:szCs w:val="24"/>
          <w:highlight w:val="lightGray"/>
          <w:shd w:fill="C0C0C0" w:val="clear"/>
          <w:lang w:eastAsia="en-US"/>
        </w:rPr>
        <w:t>14.9.1 –14.9.2</w:t>
      </w:r>
      <w:r>
        <w:rPr>
          <w:bCs/>
          <w:sz w:val="24"/>
          <w:szCs w:val="24"/>
          <w:highlight w:val="lightGray"/>
          <w:lang w:eastAsia="en-US"/>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6"/>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shd w:fill="CCCCCC" w:val="clear"/>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7"/>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0"/>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highlight w:val="lightGray"/>
        </w:rPr>
        <w:t xml:space="preserve">Приложение № 5 </w:t>
      </w:r>
      <w:r>
        <w:rPr>
          <w:rFonts w:eastAsia="Calibri"/>
          <w:sz w:val="24"/>
          <w:szCs w:val="24"/>
          <w:highlight w:val="lightGray"/>
          <w:lang w:eastAsia="en-US"/>
        </w:rPr>
        <w:t>–</w:t>
      </w:r>
      <w:r>
        <w:rPr>
          <w:bCs/>
          <w:sz w:val="24"/>
          <w:szCs w:val="24"/>
          <w:highlight w:val="lightGray"/>
        </w:rPr>
        <w:t xml:space="preserve"> Регламент взаимодействия в ходе исполнения процессов управления проектом</w:t>
      </w:r>
      <w:r>
        <w:rPr>
          <w:bCs/>
          <w:sz w:val="24"/>
          <w:szCs w:val="24"/>
        </w:rPr>
        <w:t>.</w:t>
      </w:r>
    </w:p>
    <w:p>
      <w:pPr>
        <w:pStyle w:val="Normal"/>
        <w:ind w:firstLine="709"/>
        <w:jc w:val="both"/>
        <w:rPr>
          <w:bCs/>
          <w:sz w:val="24"/>
          <w:szCs w:val="24"/>
          <w:highlight w:val="lightGray"/>
        </w:rPr>
      </w:pPr>
      <w:r>
        <w:rPr>
          <w:bCs/>
          <w:sz w:val="24"/>
          <w:szCs w:val="24"/>
          <w:highlight w:val="lightGray"/>
        </w:rPr>
        <w:t xml:space="preserve">Приложение № 6 – Методика расчета упущенной выгоды (выручки) </w:t>
        <w:br/>
        <w:t xml:space="preserve">и дополнительных обязательств участника ОРЭМ от недопоставки электрической энергии </w:t>
        <w:br/>
        <w:t>и мощности на ОРЭМ в неценовой зоне Дальнего Востока.</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5"/>
        <w:gridCol w:w="153"/>
        <w:gridCol w:w="4633"/>
        <w:gridCol w:w="329"/>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rmal"/>
              <w:widowControl w:val="false"/>
              <w:rPr>
                <w:b/>
                <w:sz w:val="24"/>
                <w:szCs w:val="24"/>
              </w:rPr>
            </w:pPr>
            <w:r>
              <w:rPr>
                <w:b/>
                <w:sz w:val="24"/>
                <w:szCs w:val="24"/>
              </w:rPr>
              <w:t>Публичное акционерное общество</w:t>
            </w:r>
          </w:p>
          <w:p>
            <w:pPr>
              <w:pStyle w:val="Normal"/>
              <w:widowControl w:val="false"/>
              <w:rPr>
                <w:b/>
                <w:sz w:val="24"/>
                <w:szCs w:val="24"/>
              </w:rPr>
            </w:pPr>
            <w:r>
              <w:rPr>
                <w:b/>
                <w:sz w:val="24"/>
                <w:szCs w:val="24"/>
              </w:rPr>
              <w:t>«Федеральная гидрогенерирующая компания - РусГидро» (ПАО «РусГидро»)</w:t>
            </w:r>
          </w:p>
          <w:p>
            <w:pPr>
              <w:pStyle w:val="Normal"/>
              <w:widowControl w:val="false"/>
              <w:rPr>
                <w:sz w:val="24"/>
                <w:szCs w:val="24"/>
              </w:rPr>
            </w:pPr>
            <w:r>
              <w:rPr>
                <w:sz w:val="24"/>
                <w:szCs w:val="24"/>
              </w:rPr>
            </w:r>
          </w:p>
          <w:p>
            <w:pPr>
              <w:pStyle w:val="Normal"/>
              <w:widowControl w:val="false"/>
              <w:spacing w:lineRule="auto" w:line="240"/>
              <w:ind w:hanging="0"/>
              <w:jc w:val="left"/>
              <w:rPr>
                <w:sz w:val="24"/>
                <w:szCs w:val="24"/>
              </w:rPr>
            </w:pPr>
            <w:r>
              <w:rPr>
                <w:sz w:val="24"/>
                <w:szCs w:val="24"/>
              </w:rPr>
              <w:t>Юридический/Почтовый адрес: 660049, Красноярский край, г.о. город Красноярск,</w:t>
            </w:r>
          </w:p>
          <w:p>
            <w:pPr>
              <w:pStyle w:val="Normal"/>
              <w:widowControl w:val="false"/>
              <w:spacing w:lineRule="auto" w:line="240"/>
              <w:ind w:hanging="0"/>
              <w:jc w:val="left"/>
              <w:rPr>
                <w:sz w:val="24"/>
                <w:szCs w:val="24"/>
              </w:rPr>
            </w:pPr>
            <w:r>
              <w:rPr>
                <w:sz w:val="24"/>
                <w:szCs w:val="24"/>
              </w:rPr>
              <w:t>г. Красноярск, ул. Перенсона, зд. 2а, помещ.1</w:t>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ОГРН 1042401810494, </w:t>
            </w:r>
          </w:p>
          <w:p>
            <w:pPr>
              <w:pStyle w:val="Normal"/>
              <w:widowControl w:val="false"/>
              <w:rPr>
                <w:sz w:val="24"/>
                <w:szCs w:val="24"/>
              </w:rPr>
            </w:pPr>
            <w:r>
              <w:rPr>
                <w:sz w:val="24"/>
                <w:szCs w:val="24"/>
              </w:rPr>
              <w:t>ИНН 2460066195 / КПП 997650001</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5"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9"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5"/>
        <w:gridCol w:w="158"/>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8"/>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9"/>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0"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7"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20"/>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21"/>
      </w:r>
      <w:r>
        <w:rPr>
          <w:sz w:val="24"/>
          <w:szCs w:val="24"/>
        </w:rPr>
        <w:t>, а также соответствовать следующим критериям:</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4"/>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Покупателю. </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22"/>
      </w:r>
      <w:r>
        <w:rPr>
          <w:sz w:val="24"/>
          <w:szCs w:val="24"/>
        </w:rPr>
        <w:t xml:space="preserve">. </w:t>
      </w:r>
    </w:p>
    <w:p>
      <w:pPr>
        <w:pStyle w:val="Normal"/>
        <w:widowControl/>
        <w:numPr>
          <w:ilvl w:val="1"/>
          <w:numId w:val="14"/>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23"/>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Не иметь просроченную задолженность перед Покупателем и компаниями Группы РусГидро.</w:t>
      </w:r>
    </w:p>
    <w:p>
      <w:pPr>
        <w:pStyle w:val="Normal"/>
        <w:widowControl/>
        <w:numPr>
          <w:ilvl w:val="1"/>
          <w:numId w:val="14"/>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Покупателя,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4"/>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5"/>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5"/>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4"/>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5"/>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fals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6"/>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4</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snapToGrid w:val="false"/>
        <w:ind w:firstLine="5103"/>
        <w:rPr>
          <w:sz w:val="22"/>
          <w:szCs w:val="22"/>
          <w:highlight w:val="lightGray"/>
        </w:rPr>
      </w:pPr>
      <w:r>
        <w:rPr>
          <w:sz w:val="22"/>
          <w:szCs w:val="22"/>
          <w:highlight w:val="lightGray"/>
        </w:rPr>
        <w:t>Приложение № 5</w:t>
      </w:r>
    </w:p>
    <w:p>
      <w:pPr>
        <w:pStyle w:val="Normal"/>
        <w:snapToGrid w:val="false"/>
        <w:ind w:firstLine="5103"/>
        <w:rPr>
          <w:sz w:val="22"/>
          <w:szCs w:val="22"/>
          <w:highlight w:val="lightGray"/>
        </w:rPr>
      </w:pPr>
      <w:r>
        <w:rPr>
          <w:sz w:val="22"/>
          <w:szCs w:val="22"/>
          <w:highlight w:val="lightGray"/>
        </w:rPr>
        <w:t>к Договору поставки</w:t>
      </w:r>
    </w:p>
    <w:p>
      <w:pPr>
        <w:pStyle w:val="Normal"/>
        <w:snapToGrid w:val="false"/>
        <w:ind w:firstLine="5103"/>
        <w:rPr>
          <w:sz w:val="22"/>
          <w:szCs w:val="22"/>
        </w:rPr>
      </w:pPr>
      <w:r>
        <w:rPr>
          <w:sz w:val="22"/>
          <w:szCs w:val="22"/>
          <w:highlight w:val="lightGray"/>
        </w:rPr>
        <w:t>от «____» __________ 20 _ г. № ____</w:t>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center"/>
        <w:rPr>
          <w:bCs/>
          <w:sz w:val="28"/>
          <w:szCs w:val="28"/>
        </w:rPr>
      </w:pPr>
      <w:r>
        <w:rPr>
          <w:bCs/>
          <w:sz w:val="28"/>
          <w:szCs w:val="28"/>
        </w:rPr>
        <w:t>Регламент взаимодействия в ходе исполнения процессов управления проектом</w:t>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ListParagraph"/>
        <w:shd w:val="clear" w:color="auto" w:fill="FFFFFF"/>
        <w:ind w:hanging="0" w:left="0"/>
        <w:jc w:val="center"/>
        <w:rPr>
          <w:bCs/>
        </w:rPr>
      </w:pPr>
      <w:r>
        <w:rPr>
          <w:bCs/>
        </w:rPr>
      </w:r>
    </w:p>
    <w:p>
      <w:pPr>
        <w:pStyle w:val="ListParagraph"/>
        <w:shd w:val="clear" w:color="auto" w:fill="FFFFFF"/>
        <w:ind w:hanging="0" w:left="0"/>
        <w:jc w:val="both"/>
        <w:rPr>
          <w:bCs/>
        </w:rPr>
      </w:pPr>
      <w:r>
        <w:rPr>
          <w:bCs/>
        </w:rPr>
      </w:r>
    </w:p>
    <w:p>
      <w:pPr>
        <w:pStyle w:val="Normal"/>
        <w:ind w:hanging="0" w:left="5103"/>
        <w:jc w:val="center"/>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widowControl/>
        <w:tabs>
          <w:tab w:val="clear" w:pos="709"/>
          <w:tab w:val="left" w:pos="5387" w:leader="none"/>
        </w:tabs>
        <w:ind w:hanging="0" w:left="5812"/>
        <w:rPr>
          <w:sz w:val="22"/>
          <w:szCs w:val="22"/>
        </w:rPr>
      </w:pPr>
      <w:r>
        <w:rPr>
          <w:sz w:val="22"/>
          <w:szCs w:val="22"/>
        </w:rPr>
        <w:t>Приложение № 6</w:t>
      </w:r>
    </w:p>
    <w:p>
      <w:pPr>
        <w:pStyle w:val="Normal"/>
        <w:widowControl/>
        <w:tabs>
          <w:tab w:val="clear" w:pos="709"/>
          <w:tab w:val="left" w:pos="5387" w:leader="none"/>
        </w:tabs>
        <w:ind w:hanging="0" w:left="5812"/>
        <w:rPr>
          <w:sz w:val="22"/>
          <w:szCs w:val="22"/>
        </w:rPr>
      </w:pPr>
      <w:r>
        <w:rPr>
          <w:sz w:val="22"/>
          <w:szCs w:val="22"/>
        </w:rPr>
        <w:t>к Договору поставки</w:t>
      </w:r>
    </w:p>
    <w:p>
      <w:pPr>
        <w:pStyle w:val="Normal"/>
        <w:widowControl/>
        <w:tabs>
          <w:tab w:val="clear" w:pos="709"/>
          <w:tab w:val="left" w:pos="5387" w:leader="none"/>
        </w:tabs>
        <w:ind w:hanging="0" w:left="5812"/>
        <w:rPr>
          <w:sz w:val="24"/>
          <w:szCs w:val="24"/>
        </w:rPr>
      </w:pPr>
      <w:r>
        <w:rPr>
          <w:sz w:val="22"/>
          <w:szCs w:val="22"/>
        </w:rPr>
        <w:t>от «____» ________ 20 _ г. №_______</w:t>
      </w:r>
    </w:p>
    <w:p>
      <w:pPr>
        <w:pStyle w:val="Normal"/>
        <w:widowControl/>
        <w:ind w:firstLine="709"/>
        <w:jc w:val="center"/>
        <w:rPr>
          <w:szCs w:val="24"/>
        </w:rPr>
      </w:pPr>
      <w:r>
        <w:rPr>
          <w:szCs w:val="24"/>
        </w:rPr>
      </w:r>
    </w:p>
    <w:p>
      <w:pPr>
        <w:pStyle w:val="Normal"/>
        <w:spacing w:lineRule="auto" w:line="240" w:before="20" w:after="20"/>
        <w:ind w:firstLine="709"/>
        <w:jc w:val="center"/>
        <w:rPr>
          <w:b/>
          <w:sz w:val="24"/>
          <w:szCs w:val="24"/>
        </w:rPr>
      </w:pPr>
      <w:bookmarkStart w:id="11" w:name="_Toc122678954_Копия_5"/>
      <w:r>
        <w:rPr>
          <w:b/>
          <w:sz w:val="24"/>
          <w:szCs w:val="24"/>
        </w:rPr>
        <w:t>Методика расчета упущенной выгоды (выручки)</w:t>
      </w:r>
      <w:bookmarkEnd w:id="11"/>
      <w:r>
        <w:rPr>
          <w:b/>
          <w:sz w:val="24"/>
          <w:szCs w:val="24"/>
        </w:rPr>
        <w:t xml:space="preserve"> </w:t>
      </w:r>
    </w:p>
    <w:p>
      <w:pPr>
        <w:pStyle w:val="Normal"/>
        <w:widowControl/>
        <w:spacing w:before="20" w:after="20"/>
        <w:ind w:firstLine="709"/>
        <w:jc w:val="center"/>
        <w:rPr>
          <w:sz w:val="24"/>
          <w:szCs w:val="24"/>
        </w:rPr>
      </w:pPr>
      <w:r>
        <w:rPr>
          <w:b/>
          <w:sz w:val="24"/>
          <w:szCs w:val="24"/>
        </w:rPr>
        <w:t>и дополнительных обязательств участника ОРЭМ от недопоставки электрической энергии и мощности на ОРЭМ в</w:t>
      </w:r>
      <w:r>
        <w:rPr>
          <w:rFonts w:eastAsia="Times New Roman" w:cs="Times New Roman"/>
          <w:b/>
          <w:color w:val="auto"/>
          <w:kern w:val="0"/>
          <w:sz w:val="24"/>
          <w:szCs w:val="24"/>
          <w:lang w:val="ru-RU" w:eastAsia="ru-RU" w:bidi="ar-SA"/>
        </w:rPr>
        <w:t xml:space="preserve"> отдельной территории ценовой зоны оптового рынка, ранее относившейся к</w:t>
      </w:r>
      <w:r>
        <w:rPr>
          <w:b/>
          <w:sz w:val="24"/>
          <w:szCs w:val="24"/>
        </w:rPr>
        <w:t> неценовой зоне оптового рынка Дальнего Востока</w:t>
      </w:r>
    </w:p>
    <w:p>
      <w:pPr>
        <w:pStyle w:val="Normal"/>
        <w:widowControl/>
        <w:spacing w:before="20" w:after="20"/>
        <w:ind w:firstLine="709"/>
        <w:jc w:val="center"/>
        <w:rPr>
          <w:sz w:val="24"/>
          <w:szCs w:val="24"/>
        </w:rPr>
      </w:pPr>
      <w:r>
        <w:rPr>
          <w:sz w:val="24"/>
          <w:szCs w:val="24"/>
        </w:rPr>
      </w:r>
    </w:p>
    <w:p>
      <w:pPr>
        <w:pStyle w:val="Normal"/>
        <w:widowControl/>
        <w:ind w:firstLine="709"/>
        <w:jc w:val="both"/>
        <w:rPr>
          <w:sz w:val="24"/>
          <w:szCs w:val="24"/>
        </w:rPr>
      </w:pPr>
      <w:r>
        <w:rPr>
          <w:sz w:val="24"/>
          <w:szCs w:val="24"/>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pPr>
        <w:pStyle w:val="ListParagraph"/>
        <w:widowControl/>
        <w:numPr>
          <w:ilvl w:val="0"/>
          <w:numId w:val="18"/>
        </w:numPr>
        <w:tabs>
          <w:tab w:val="clear" w:pos="709"/>
          <w:tab w:val="left" w:pos="1276" w:leader="none"/>
          <w:tab w:val="left" w:pos="1418" w:leader="none"/>
        </w:tabs>
        <w:ind w:firstLine="709" w:left="0"/>
        <w:jc w:val="both"/>
        <w:rPr>
          <w:sz w:val="24"/>
          <w:szCs w:val="24"/>
        </w:rPr>
      </w:pPr>
      <w:r>
        <w:rPr>
          <w:sz w:val="24"/>
          <w:szCs w:val="24"/>
        </w:rPr>
        <w:t xml:space="preserve">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w:t>
        <w:br/>
        <w:t xml:space="preserve">в соответствии с п. 4 «Положения о порядке оформления, подачи, рассмотрения </w:t>
        <w:br/>
        <w:t>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pPr>
        <w:pStyle w:val="Normal"/>
        <w:widowControl/>
        <w:spacing w:before="20" w:after="20"/>
        <w:ind w:firstLine="709"/>
        <w:jc w:val="both"/>
        <w:rPr>
          <w:sz w:val="24"/>
          <w:szCs w:val="24"/>
        </w:rPr>
      </w:pPr>
      <w:r>
        <w:rPr>
          <w:sz w:val="24"/>
          <w:szCs w:val="24"/>
        </w:rPr>
        <w:t xml:space="preserve">В заявках должны быть указаны: </w:t>
      </w:r>
    </w:p>
    <w:p>
      <w:pPr>
        <w:pStyle w:val="Normal"/>
        <w:widowControl/>
        <w:numPr>
          <w:ilvl w:val="0"/>
          <w:numId w:val="16"/>
        </w:numPr>
        <w:ind w:firstLine="709" w:left="0"/>
        <w:jc w:val="both"/>
        <w:rPr>
          <w:bCs/>
          <w:sz w:val="24"/>
          <w:szCs w:val="24"/>
          <w:lang w:val="en-GB"/>
        </w:rPr>
      </w:pPr>
      <w:r>
        <w:rPr>
          <w:bCs/>
          <w:sz w:val="24"/>
          <w:szCs w:val="24"/>
          <w:lang w:val="en-GB"/>
        </w:rPr>
        <w:t>номер заявки;</w:t>
      </w:r>
    </w:p>
    <w:p>
      <w:pPr>
        <w:pStyle w:val="Normal"/>
        <w:widowControl/>
        <w:numPr>
          <w:ilvl w:val="0"/>
          <w:numId w:val="16"/>
        </w:numPr>
        <w:ind w:firstLine="709" w:left="0"/>
        <w:jc w:val="both"/>
        <w:rPr>
          <w:bCs/>
          <w:sz w:val="24"/>
          <w:szCs w:val="24"/>
          <w:lang w:val="en-GB"/>
        </w:rPr>
      </w:pPr>
      <w:r>
        <w:rPr>
          <w:bCs/>
          <w:sz w:val="24"/>
          <w:szCs w:val="24"/>
          <w:lang w:val="en-GB"/>
        </w:rPr>
        <w:t>подающее предприятие;</w:t>
      </w:r>
    </w:p>
    <w:p>
      <w:pPr>
        <w:pStyle w:val="Normal"/>
        <w:widowControl/>
        <w:numPr>
          <w:ilvl w:val="0"/>
          <w:numId w:val="16"/>
        </w:numPr>
        <w:ind w:firstLine="709" w:left="0"/>
        <w:jc w:val="both"/>
        <w:rPr>
          <w:bCs/>
          <w:sz w:val="24"/>
          <w:szCs w:val="24"/>
        </w:rPr>
      </w:pPr>
      <w:r>
        <w:rPr>
          <w:bCs/>
          <w:sz w:val="24"/>
          <w:szCs w:val="24"/>
        </w:rPr>
        <w:t>оборудование, по которому фиксируется изменение эксплуатационного состояния или технологического режима работы;</w:t>
      </w:r>
    </w:p>
    <w:p>
      <w:pPr>
        <w:pStyle w:val="Normal"/>
        <w:widowControl/>
        <w:numPr>
          <w:ilvl w:val="0"/>
          <w:numId w:val="16"/>
        </w:numPr>
        <w:ind w:firstLine="709" w:left="0"/>
        <w:jc w:val="both"/>
        <w:rPr>
          <w:bCs/>
          <w:sz w:val="24"/>
          <w:szCs w:val="24"/>
          <w:lang w:val="en-GB"/>
        </w:rPr>
      </w:pPr>
      <w:r>
        <w:rPr>
          <w:bCs/>
          <w:sz w:val="24"/>
          <w:szCs w:val="24"/>
          <w:lang w:val="en-GB"/>
        </w:rPr>
        <w:t>величина снижения максимальной мощности;</w:t>
      </w:r>
    </w:p>
    <w:p>
      <w:pPr>
        <w:pStyle w:val="Normal"/>
        <w:widowControl/>
        <w:numPr>
          <w:ilvl w:val="0"/>
          <w:numId w:val="16"/>
        </w:numPr>
        <w:ind w:firstLine="709" w:left="0"/>
        <w:jc w:val="both"/>
        <w:rPr>
          <w:bCs/>
          <w:sz w:val="24"/>
          <w:szCs w:val="24"/>
          <w:lang w:val="en-GB"/>
        </w:rPr>
      </w:pPr>
      <w:r>
        <w:rPr>
          <w:bCs/>
          <w:sz w:val="24"/>
          <w:szCs w:val="24"/>
          <w:lang w:val="en-GB"/>
        </w:rPr>
        <w:t>содержание работ;</w:t>
      </w:r>
    </w:p>
    <w:p>
      <w:pPr>
        <w:pStyle w:val="Normal"/>
        <w:widowControl/>
        <w:numPr>
          <w:ilvl w:val="0"/>
          <w:numId w:val="16"/>
        </w:numPr>
        <w:ind w:firstLine="709" w:left="0"/>
        <w:jc w:val="both"/>
        <w:rPr>
          <w:bCs/>
          <w:sz w:val="24"/>
          <w:szCs w:val="24"/>
          <w:lang w:val="en-GB"/>
        </w:rPr>
      </w:pPr>
      <w:r>
        <w:rPr>
          <w:bCs/>
          <w:sz w:val="24"/>
          <w:szCs w:val="24"/>
          <w:lang w:val="en-GB"/>
        </w:rPr>
        <w:t>время подачи заявки;</w:t>
      </w:r>
    </w:p>
    <w:p>
      <w:pPr>
        <w:pStyle w:val="Normal"/>
        <w:widowControl/>
        <w:numPr>
          <w:ilvl w:val="0"/>
          <w:numId w:val="16"/>
        </w:numPr>
        <w:ind w:firstLine="709" w:left="0"/>
        <w:jc w:val="both"/>
        <w:rPr>
          <w:bCs/>
          <w:sz w:val="24"/>
          <w:szCs w:val="24"/>
        </w:rPr>
      </w:pPr>
      <w:r>
        <w:rPr>
          <w:bCs/>
          <w:sz w:val="24"/>
          <w:szCs w:val="24"/>
        </w:rPr>
        <w:t>время начала и конца действия заявки и др.</w:t>
      </w:r>
    </w:p>
    <w:p>
      <w:pPr>
        <w:pStyle w:val="Normal"/>
        <w:widowControl/>
        <w:spacing w:before="120" w:after="20"/>
        <w:ind w:firstLine="709"/>
        <w:jc w:val="both"/>
        <w:rPr>
          <w:sz w:val="24"/>
          <w:szCs w:val="24"/>
        </w:rPr>
      </w:pPr>
      <w:r>
        <w:rPr>
          <w:sz w:val="24"/>
          <w:szCs w:val="24"/>
        </w:rPr>
        <w:t>2.</w:t>
        <w:tab/>
      </w: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h</m:t>
            </m:r>
          </m:sub>
          <m:sup>
            <m:r>
              <w:rPr>
                <w:rFonts w:ascii="Cambria Math" w:hAnsi="Cambria Math"/>
              </w:rPr>
              <m:t xml:space="preserve">j</m:t>
            </m:r>
          </m:sup>
        </m:sSubSup>
      </m:oMath>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h</m:t>
            </m:r>
          </m:sub>
          <m:sup>
            <m:r>
              <w:rPr>
                <w:rFonts w:ascii="Cambria Math" w:hAnsi="Cambria Math"/>
              </w:rPr>
              <m:t xml:space="preserve">j</m:t>
            </m:r>
          </m:sup>
        </m:sSubSup>
      </m:oMath>
      <w:r>
        <w:rPr/>
      </w:r>
      <m:oMath xmlns:m="http://schemas.openxmlformats.org/officeDocument/2006/math"/>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2</m:t>
                </m:r>
                <m:r>
                  <m:rPr>
                    <m:lit/>
                    <m:nor/>
                  </m:rPr>
                  <w:rPr>
                    <w:rFonts w:ascii="Cambria Math" w:hAnsi="Cambria Math"/>
                  </w:rPr>
                  <m:t xml:space="preserve">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sz w:val="24"/>
          <w:szCs w:val="24"/>
        </w:rPr>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t>
      </w:r>
      <w:r>
        <w:rPr>
          <w:rFonts w:eastAsia="Times New Roman" w:cs="Times New Roman"/>
          <w:color w:val="auto"/>
          <w:kern w:val="0"/>
          <w:sz w:val="24"/>
          <w:szCs w:val="24"/>
          <w:lang w:val="ru-RU" w:eastAsia="ru-RU" w:bidi="ar-SA"/>
        </w:rPr>
        <w:t>«</w:t>
      </w:r>
      <w:r>
        <w:rPr>
          <w:sz w:val="24"/>
          <w:szCs w:val="24"/>
        </w:rPr>
        <w:t>Порядка установления соответствия генерирующего оборудования участников оптового рынка техническим требованиям</w:t>
      </w:r>
      <w:r>
        <w:rPr>
          <w:rFonts w:eastAsia="Times New Roman" w:cs="Times New Roman"/>
          <w:color w:val="auto"/>
          <w:kern w:val="0"/>
          <w:sz w:val="24"/>
          <w:szCs w:val="24"/>
          <w:lang w:val="ru-RU" w:eastAsia="ru-RU" w:bidi="ar-SA"/>
        </w:rPr>
        <w:t>»</w:t>
      </w:r>
      <w:r>
        <w:rPr>
          <w:sz w:val="24"/>
          <w:szCs w:val="24"/>
        </w:rPr>
        <w: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r>
        <w:rPr/>
      </w:r>
      <m:oMath xmlns:m="http://schemas.openxmlformats.org/officeDocument/2006/math"/>
      <w:r>
        <w:rPr>
          <w:rFonts w:eastAsia="Times New Roman" w:cs="Times New Roman"/>
          <w:sz w:val="24"/>
          <w:szCs w:val="24"/>
        </w:rPr>
        <w:t xml:space="preserve"> </w:t>
      </w:r>
    </w:p>
    <w:p>
      <w:pPr>
        <w:pStyle w:val="Normal"/>
        <w:spacing w:lineRule="auto" w:line="240" w:before="20" w:after="20"/>
        <w:ind w:firstLine="709"/>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1</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величина согласованных ограничений установленной мощности в пределах, заявленных по процедуре конкурентного отбора мощности (КОМ); </w:t>
      </w:r>
    </w:p>
    <w:p>
      <w:pPr>
        <w:pStyle w:val="Normal"/>
        <w:spacing w:lineRule="auto" w:line="276" w:before="1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2</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согласованных ограничений установленной мощности сверх, заявленных в КОМ;</w:t>
      </w:r>
    </w:p>
    <w:p>
      <w:pPr>
        <w:pStyle w:val="Normal"/>
        <w:spacing w:lineRule="auto" w:line="276" w:before="20" w:after="20"/>
        <w:ind w:firstLine="709"/>
        <w:jc w:val="both"/>
        <w:rPr>
          <w:sz w:val="24"/>
          <w:szCs w:val="24"/>
        </w:rPr>
      </w:pPr>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0"/>
                    <a:srcRect l="-222" t="-329" r="-222" b="-329"/>
                    <a:stretch>
                      <a:fillRect/>
                    </a:stretch>
                  </pic:blipFill>
                  <pic:spPr bwMode="auto">
                    <a:xfrm>
                      <a:off x="0" y="0"/>
                      <a:ext cx="323850" cy="21907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согласованного планового ремонтного снижения мощности;</w:t>
      </w:r>
    </w:p>
    <w:p>
      <w:pPr>
        <w:pStyle w:val="Normal"/>
        <w:spacing w:lineRule="auto" w:line="276" w:before="20" w:after="20"/>
        <w:ind w:firstLine="709"/>
        <w:jc w:val="both"/>
        <w:rPr>
          <w:sz w:val="24"/>
          <w:szCs w:val="24"/>
        </w:rPr>
      </w:pP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обусловленное проведением ремонта длительностью более 180 (сто восьмидесяти) суток для ТЭС в год;</w:t>
      </w:r>
    </w:p>
    <w:p>
      <w:pPr>
        <w:pStyle w:val="Normal"/>
        <w:spacing w:lineRule="auto" w:line="276" w:before="20" w:after="20"/>
        <w:ind w:firstLine="709"/>
        <w:jc w:val="both"/>
        <w:rPr>
          <w:sz w:val="24"/>
          <w:szCs w:val="24"/>
        </w:rPr>
      </w:pPr>
      <w:r>
        <w:rPr/>
      </w:r>
      <m:oMath xmlns:m="http://schemas.openxmlformats.org/officeDocument/2006/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согласованного планового ремонтного снижения располагаемой мощности;</w:t>
      </w:r>
    </w:p>
    <w:p>
      <w:pPr>
        <w:pStyle w:val="Normal"/>
        <w:spacing w:lineRule="auto" w:line="276" w:before="20" w:after="20"/>
        <w:ind w:firstLine="709"/>
        <w:jc w:val="both"/>
        <w:rPr>
          <w:sz w:val="24"/>
          <w:szCs w:val="24"/>
        </w:rPr>
      </w:pPr>
      <w:r>
        <w:rPr>
          <w:rFonts w:eastAsia="Times New Roman" w:cs="Times New Roman"/>
          <w:sz w:val="24"/>
          <w:szCs w:val="24"/>
        </w:rPr>
        <w:t xml:space="preserve"> </w:t>
      </w:r>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по модернизируемым генерирующим объектом вне установленных сроков;</w:t>
      </w:r>
    </w:p>
    <w:p>
      <w:pPr>
        <w:pStyle w:val="Normal"/>
        <w:spacing w:lineRule="auto" w:line="276" w:before="20" w:after="20"/>
        <w:ind w:firstLine="709"/>
        <w:jc w:val="both"/>
        <w:rPr>
          <w:sz w:val="24"/>
          <w:szCs w:val="24"/>
        </w:rPr>
      </w:pPr>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1"/>
                    <a:stretch>
                      <a:fillRect/>
                    </a:stretch>
                  </pic:blipFill>
                  <pic:spPr bwMode="auto">
                    <a:xfrm>
                      <a:off x="0" y="0"/>
                      <a:ext cx="545465" cy="2730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pPr>
        <w:pStyle w:val="Normal"/>
        <w:spacing w:lineRule="auto" w:line="276" w:before="20" w:after="20"/>
        <w:ind w:firstLine="709"/>
        <w:jc w:val="both"/>
        <w:rPr>
          <w:sz w:val="24"/>
          <w:szCs w:val="24"/>
        </w:rPr>
      </w:pPr>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12"/>
                    <a:stretch>
                      <a:fillRect/>
                    </a:stretch>
                  </pic:blipFill>
                  <pic:spPr bwMode="auto">
                    <a:xfrm>
                      <a:off x="0" y="0"/>
                      <a:ext cx="524510" cy="2660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pPr>
        <w:pStyle w:val="Normal"/>
        <w:spacing w:lineRule="auto" w:line="276" w:before="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m:rPr>
                    <m:lit/>
                    <m:nor/>
                  </m:rPr>
                  <w:rPr>
                    <w:rFonts w:ascii="Cambria Math" w:hAnsi="Cambria Math"/>
                  </w:rPr>
                  <m:t xml:space="preserve">2_max,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pPr>
        <w:pStyle w:val="Normal"/>
        <w:spacing w:lineRule="auto" w:line="276" w:before="20" w:after="20"/>
        <w:ind w:firstLine="709"/>
        <w:jc w:val="both"/>
        <w:rPr>
          <w:sz w:val="24"/>
          <w:szCs w:val="24"/>
        </w:rPr>
      </w:pPr>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13"/>
                    <a:stretch>
                      <a:fillRect/>
                    </a:stretch>
                  </pic:blipFill>
                  <pic:spPr bwMode="auto">
                    <a:xfrm>
                      <a:off x="0" y="0"/>
                      <a:ext cx="532130" cy="2724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pPr>
        <w:pStyle w:val="Normal"/>
        <w:spacing w:lineRule="auto" w:line="276" w:before="20" w:after="20"/>
        <w:ind w:firstLine="709"/>
        <w:jc w:val="both"/>
        <w:rPr>
          <w:sz w:val="24"/>
          <w:szCs w:val="24"/>
        </w:rPr>
      </w:pPr>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14"/>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pPr>
        <w:pStyle w:val="Normal"/>
        <w:spacing w:lineRule="auto" w:line="276" w:before="20" w:after="20"/>
        <w:ind w:firstLine="709"/>
        <w:jc w:val="both"/>
        <w:rPr>
          <w:sz w:val="24"/>
          <w:szCs w:val="24"/>
        </w:rPr>
      </w:pPr>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15"/>
                    <a:stretch>
                      <a:fillRect/>
                    </a:stretch>
                  </pic:blipFill>
                  <pic:spPr bwMode="auto">
                    <a:xfrm>
                      <a:off x="0" y="0"/>
                      <a:ext cx="620395" cy="32004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16"/>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17"/>
                    <a:stretch>
                      <a:fillRect/>
                    </a:stretch>
                  </pic:blipFill>
                  <pic:spPr bwMode="auto">
                    <a:xfrm>
                      <a:off x="0" y="0"/>
                      <a:ext cx="511810" cy="24130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pPr>
        <w:pStyle w:val="Normal"/>
        <w:spacing w:lineRule="auto" w:line="276" w:before="20" w:after="20"/>
        <w:ind w:firstLine="709"/>
        <w:jc w:val="both"/>
        <w:rPr>
          <w:sz w:val="24"/>
          <w:szCs w:val="24"/>
        </w:rPr>
      </w:pPr>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18"/>
                    <a:stretch>
                      <a:fillRect/>
                    </a:stretch>
                  </pic:blipFill>
                  <pic:spPr bwMode="auto">
                    <a:xfrm>
                      <a:off x="0" y="0"/>
                      <a:ext cx="497205" cy="2406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pPr>
        <w:pStyle w:val="Normal"/>
        <w:spacing w:lineRule="auto" w:line="276" w:before="20" w:after="20"/>
        <w:ind w:firstLine="709"/>
        <w:jc w:val="both"/>
        <w:rPr>
          <w:sz w:val="24"/>
          <w:szCs w:val="24"/>
        </w:rPr>
      </w:pPr>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19"/>
                    <a:stretch>
                      <a:fillRect/>
                    </a:stretch>
                  </pic:blipFill>
                  <pic:spPr bwMode="auto">
                    <a:xfrm>
                      <a:off x="0" y="0"/>
                      <a:ext cx="914400" cy="2851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pPr>
        <w:pStyle w:val="Normal"/>
        <w:spacing w:lineRule="auto" w:line="276" w:before="20" w:after="20"/>
        <w:ind w:firstLine="709"/>
        <w:jc w:val="both"/>
        <w:rPr>
          <w:sz w:val="24"/>
          <w:szCs w:val="24"/>
        </w:rPr>
      </w:pPr>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0"/>
                    <a:stretch>
                      <a:fillRect/>
                    </a:stretch>
                  </pic:blipFill>
                  <pic:spPr bwMode="auto">
                    <a:xfrm>
                      <a:off x="0" y="0"/>
                      <a:ext cx="1052830" cy="35750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согласованном увеличении времени включения в сеть;</w:t>
      </w:r>
    </w:p>
    <w:p>
      <w:pPr>
        <w:pStyle w:val="Normal"/>
        <w:spacing w:lineRule="auto" w:line="276" w:before="20" w:after="20"/>
        <w:ind w:firstLine="709"/>
        <w:jc w:val="both"/>
        <w:rPr>
          <w:sz w:val="24"/>
          <w:szCs w:val="24"/>
        </w:rPr>
      </w:pPr>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1"/>
                    <a:stretch>
                      <a:fillRect/>
                    </a:stretch>
                  </pic:blipFill>
                  <pic:spPr bwMode="auto">
                    <a:xfrm>
                      <a:off x="0" y="0"/>
                      <a:ext cx="958215" cy="3136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фактическом включении в сеть генерирующего оборудования со временем, превышающим время нормативного включения в сеть;</w:t>
      </w:r>
    </w:p>
    <w:p>
      <w:pPr>
        <w:pStyle w:val="Normal"/>
        <w:spacing w:lineRule="auto" w:line="240" w:before="20" w:after="20"/>
        <w:ind w:firstLine="709"/>
        <w:rPr>
          <w:sz w:val="24"/>
          <w:szCs w:val="24"/>
        </w:rPr>
      </w:pPr>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22"/>
                    <a:stretch>
                      <a:fillRect/>
                    </a:stretch>
                  </pic:blipFill>
                  <pic:spPr bwMode="auto">
                    <a:xfrm>
                      <a:off x="0" y="0"/>
                      <a:ext cx="368300" cy="2857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pPr>
        <w:pStyle w:val="Normal"/>
        <w:spacing w:lineRule="auto" w:line="240" w:before="120" w:after="20"/>
        <w:ind w:firstLine="709"/>
        <w:rPr>
          <w:sz w:val="24"/>
          <w:szCs w:val="24"/>
        </w:rPr>
      </w:pPr>
      <w:r>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23"/>
                    <a:stretch>
                      <a:fillRect/>
                    </a:stretch>
                  </pic:blipFill>
                  <pic:spPr bwMode="auto">
                    <a:xfrm>
                      <a:off x="0" y="0"/>
                      <a:ext cx="336550" cy="267335"/>
                    </a:xfrm>
                    <a:prstGeom prst="rect">
                      <a:avLst/>
                    </a:prstGeom>
                  </pic:spPr>
                </pic:pic>
              </a:graphicData>
            </a:graphic>
          </wp:inline>
        </w:drawing>
      </w:r>
      <w:r>
        <w:rPr>
          <w:sz w:val="24"/>
          <w:szCs w:val="24"/>
        </w:rPr>
        <w:t>, соответствующие объемам невыполнения требований в месяце, определяется по формуле:</w:t>
      </w:r>
    </w:p>
    <w:p>
      <w:pPr>
        <w:pStyle w:val="Normal"/>
        <w:spacing w:lineRule="auto" w:line="240" w:before="20" w:after="20"/>
        <w:jc w:val="center"/>
        <w:rPr>
          <w:sz w:val="24"/>
          <w:szCs w:val="24"/>
        </w:rPr>
      </w:pPr>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24"/>
                    <a:stretch>
                      <a:fillRect/>
                    </a:stretch>
                  </pic:blipFill>
                  <pic:spPr bwMode="auto">
                    <a:xfrm>
                      <a:off x="0" y="0"/>
                      <a:ext cx="1371600" cy="673100"/>
                    </a:xfrm>
                    <a:prstGeom prst="rect">
                      <a:avLst/>
                    </a:prstGeom>
                  </pic:spPr>
                </pic:pic>
              </a:graphicData>
            </a:graphic>
          </wp:inline>
        </w:drawing>
      </w:r>
    </w:p>
    <w:p>
      <w:pPr>
        <w:pStyle w:val="Normal"/>
        <w:spacing w:lineRule="auto" w:line="240" w:before="20" w:after="20"/>
        <w:ind w:firstLine="709"/>
        <w:rPr>
          <w:sz w:val="24"/>
          <w:szCs w:val="24"/>
        </w:rPr>
      </w:pPr>
      <w:r>
        <w:rPr>
          <w:sz w:val="24"/>
          <w:szCs w:val="24"/>
        </w:rPr>
        <w:t>где:</w:t>
      </w:r>
    </w:p>
    <w:p>
      <w:pPr>
        <w:pStyle w:val="Normal"/>
        <w:spacing w:lineRule="auto" w:line="240" w:before="20" w:after="20"/>
        <w:ind w:firstLine="709"/>
        <w:rPr>
          <w:sz w:val="24"/>
          <w:szCs w:val="24"/>
        </w:rPr>
      </w:pPr>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25"/>
                    <a:stretch>
                      <a:fillRect/>
                    </a:stretch>
                  </pic:blipFill>
                  <pic:spPr bwMode="auto">
                    <a:xfrm>
                      <a:off x="0" y="0"/>
                      <a:ext cx="293370" cy="267335"/>
                    </a:xfrm>
                    <a:prstGeom prst="rect">
                      <a:avLst/>
                    </a:prstGeom>
                  </pic:spPr>
                </pic:pic>
              </a:graphicData>
            </a:graphic>
          </wp:inline>
        </w:drawing>
      </w:r>
      <w:r>
        <w:rPr>
          <w:sz w:val="24"/>
          <w:szCs w:val="24"/>
        </w:rPr>
        <w:t xml:space="preserve"> – </w:t>
      </w:r>
      <w:r>
        <w:rPr>
          <w:sz w:val="24"/>
          <w:szCs w:val="24"/>
        </w:rPr>
        <w:t>значения снижения мощности ГТПГ, установленные СО в ГРМ;</w:t>
      </w:r>
    </w:p>
    <w:p>
      <w:pPr>
        <w:pStyle w:val="Normal"/>
        <w:spacing w:lineRule="auto" w:line="240" w:before="20" w:after="20"/>
        <w:ind w:firstLine="709"/>
        <w:rPr>
          <w:sz w:val="24"/>
          <w:szCs w:val="24"/>
        </w:rPr>
      </w:pPr>
      <w:r>
        <w:rPr>
          <w:sz w:val="24"/>
          <w:szCs w:val="24"/>
        </w:rPr>
        <w:t xml:space="preserve">Н – количество часов, соответствующее расчетному месяцу m. </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pPr>
        <w:pStyle w:val="Normal"/>
        <w:spacing w:lineRule="auto" w:line="240" w:before="120" w:after="20"/>
        <w:ind w:firstLine="709"/>
        <w:rPr>
          <w:sz w:val="24"/>
          <w:szCs w:val="24"/>
        </w:rPr>
      </w:pPr>
      <w:r>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r>
          <w:rPr>
            <w:rFonts w:ascii="Cambria Math" w:hAnsi="Cambria Math"/>
          </w:rPr>
          <m:t xml:space="preserve">=</m:t>
        </m:r>
        <m:nary>
          <m:naryPr>
            <m:chr m:val="∑"/>
            <m:supHide m:val="1"/>
          </m:naryPr>
          <m:sub>
            <m:r>
              <w:rPr>
                <w:rFonts w:ascii="Cambria Math" w:hAnsi="Cambria Math"/>
              </w:rPr>
              <m:t xml:space="preserve">n</m:t>
            </m:r>
          </m:sub>
          <m:sup/>
          <m:e>
            <m:d>
              <m:dPr>
                <m:begChr m:val="("/>
                <m:endChr m:val=")"/>
              </m:dPr>
              <m:e>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n</m:t>
                        </m:r>
                      </m:sub>
                    </m:sSub>
                  </m:sup>
                </m:sSup>
              </m:e>
            </m:d>
            <m:r>
              <w:rPr>
                <w:rFonts w:ascii="Cambria Math" w:hAnsi="Cambria Math"/>
              </w:rPr>
              <m:t xml:space="preserve">+</m:t>
            </m:r>
            <m:nary>
              <m:naryPr>
                <m:chr m:val="∑"/>
                <m:supHide m:val="1"/>
              </m:naryPr>
              <m:sub>
                <m:r>
                  <w:rPr>
                    <w:rFonts w:ascii="Cambria Math" w:hAnsi="Cambria Math"/>
                  </w:rPr>
                  <m:t xml:space="preserve">l</m:t>
                </m:r>
              </m:sub>
              <m:sup/>
              <m:e>
                <m:d>
                  <m:dPr>
                    <m:begChr m:val="("/>
                    <m:endChr m:val=")"/>
                  </m:dPr>
                  <m:e>
                    <m:sSub>
                      <m:e>
                        <m:r>
                          <w:rPr>
                            <w:rFonts w:ascii="Cambria Math" w:hAnsi="Cambria Math"/>
                          </w:rPr>
                          <m:t xml:space="preserve">k</m:t>
                        </m:r>
                      </m:e>
                      <m:sub>
                        <m:r>
                          <w:rPr>
                            <w:rFonts w:ascii="Cambria Math" w:hAnsi="Cambria Math"/>
                          </w:rPr>
                          <m:t xml:space="preserve">l</m:t>
                        </m:r>
                      </m:sub>
                    </m:sSub>
                    <m:r>
                      <w:rPr>
                        <w:rFonts w:ascii="Cambria Math" w:hAnsi="Cambria Math"/>
                      </w:rPr>
                      <m:t xml:space="preserve">⋅</m:t>
                    </m:r>
                    <m:sSubSup>
                      <m:e>
                        <m:r>
                          <w:rPr>
                            <w:rFonts w:ascii="Cambria Math" w:hAnsi="Cambria Math"/>
                          </w:rPr>
                          <m:t xml:space="preserve">k</m:t>
                        </m:r>
                      </m:e>
                      <m:sub>
                        <m:r>
                          <m:rPr>
                            <m:lit/>
                            <m:nor/>
                          </m:rPr>
                          <w:rPr>
                            <w:rFonts w:ascii="Cambria Math" w:hAnsi="Cambria Math"/>
                          </w:rPr>
                          <m:t xml:space="preserve">диф,m</m:t>
                        </m:r>
                      </m:sub>
                      <m:sup>
                        <m:r>
                          <w:rPr>
                            <w:rFonts w:ascii="Cambria Math" w:hAnsi="Cambria Math"/>
                          </w:rPr>
                          <m:t xml:space="preserve">j</m:t>
                        </m:r>
                      </m:sup>
                    </m:sSubSup>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l</m:t>
                            </m:r>
                          </m:sub>
                        </m:sSub>
                      </m:sup>
                    </m:sSup>
                  </m:e>
                </m:d>
              </m:e>
            </m:nary>
          </m:e>
        </m:nary>
      </m:oMath>
    </w:p>
    <w:p>
      <w:pPr>
        <w:pStyle w:val="Normal"/>
        <w:spacing w:lineRule="auto" w:line="276" w:before="0" w:after="200"/>
        <w:ind w:firstLine="709"/>
        <w:rPr>
          <w:rFonts w:ascii="Times New Roman" w:hAnsi="Times New Roman" w:eastAsia="Arial" w:cs="Times New Roman"/>
          <w:sz w:val="24"/>
          <w:szCs w:val="24"/>
        </w:rPr>
      </w:pPr>
      <w:r>
        <w:rPr>
          <w:rFonts w:eastAsia="Arial" w:cs="Times New Roman"/>
          <w:sz w:val="24"/>
          <w:szCs w:val="24"/>
        </w:rPr>
        <w:t>где:</w:t>
        <w:tab/>
      </w:r>
    </w:p>
    <w:p>
      <w:pPr>
        <w:pStyle w:val="Normal"/>
        <w:numPr>
          <w:ilvl w:val="0"/>
          <w:numId w:val="0"/>
        </w:numPr>
        <w:spacing w:lineRule="auto" w:line="276" w:before="120" w:after="120"/>
        <w:ind w:firstLine="567" w:left="0"/>
        <w:jc w:val="both"/>
        <w:outlineLvl w:val="3"/>
        <w:rPr>
          <w:sz w:val="24"/>
          <w:szCs w:val="24"/>
        </w:rPr>
      </w:pPr>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26"/>
                    <a:stretch>
                      <a:fillRect/>
                    </a:stretch>
                  </pic:blipFill>
                  <pic:spPr bwMode="auto">
                    <a:xfrm>
                      <a:off x="0" y="0"/>
                      <a:ext cx="185420" cy="228600"/>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 xml:space="preserve">коэффициенты </w:t>
      </w:r>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p>
    <w:p>
      <w:pPr>
        <w:pStyle w:val="Normal"/>
        <w:numPr>
          <w:ilvl w:val="0"/>
          <w:numId w:val="0"/>
        </w:numPr>
        <w:spacing w:lineRule="auto" w:line="276" w:before="120" w:after="120"/>
        <w:ind w:firstLine="567" w:left="0"/>
        <w:jc w:val="both"/>
        <w:outlineLvl w:val="3"/>
        <w:rPr>
          <w:sz w:val="24"/>
          <w:szCs w:val="24"/>
        </w:rPr>
      </w:pPr>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27"/>
                    <a:stretch>
                      <a:fillRect/>
                    </a:stretch>
                  </pic:blipFill>
                  <pic:spPr bwMode="auto">
                    <a:xfrm>
                      <a:off x="0" y="0"/>
                      <a:ext cx="184785" cy="277495"/>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коэффициенты (</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cs="Times New Roman"/>
          <w:sz w:val="24"/>
          <w:szCs w:val="24"/>
        </w:rPr>
        <w:t xml:space="preserve">), </w:t>
      </w:r>
    </w:p>
    <w:p>
      <w:pPr>
        <w:pStyle w:val="Normal"/>
        <w:numPr>
          <w:ilvl w:val="0"/>
          <w:numId w:val="0"/>
        </w:numPr>
        <w:spacing w:lineRule="auto" w:line="276" w:before="120" w:after="120"/>
        <w:ind w:firstLine="567" w:left="0"/>
        <w:jc w:val="both"/>
        <w:outlineLvl w:val="3"/>
        <w:rPr>
          <w:sz w:val="24"/>
          <w:szCs w:val="24"/>
        </w:rPr>
      </w:pPr>
      <w:r>
        <w:rPr>
          <w:rFonts w:eastAsia="Arial" w:cs="Times New Roman"/>
          <w:sz w:val="24"/>
          <w:szCs w:val="24"/>
        </w:rPr>
        <w:t xml:space="preserve">определяемые для каждого из соответствующих им объемов невыполнения требований по готовности </w:t>
      </w:r>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28"/>
                    <a:stretch>
                      <a:fillRect/>
                    </a:stretch>
                  </pic:blipFill>
                  <pic:spPr bwMode="auto">
                    <a:xfrm>
                      <a:off x="0" y="0"/>
                      <a:ext cx="277495" cy="277495"/>
                    </a:xfrm>
                    <a:prstGeom prst="rect">
                      <a:avLst/>
                    </a:prstGeom>
                  </pic:spPr>
                </pic:pic>
              </a:graphicData>
            </a:graphic>
          </wp:inline>
        </w:drawing>
      </w:r>
      <w:r>
        <w:rPr>
          <w:rFonts w:eastAsia="Arial" w:cs="Times New Roman"/>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pPr>
        <w:pStyle w:val="Normal"/>
        <w:numPr>
          <w:ilvl w:val="0"/>
          <w:numId w:val="0"/>
        </w:numPr>
        <w:spacing w:lineRule="auto" w:line="276" w:before="120" w:after="120"/>
        <w:ind w:firstLine="567" w:left="0"/>
        <w:jc w:val="both"/>
        <w:outlineLvl w:val="2"/>
        <w:rPr>
          <w:sz w:val="24"/>
          <w:szCs w:val="24"/>
        </w:rPr>
      </w:pPr>
      <w:r>
        <w:rPr>
          <w:rFonts w:eastAsia="Arial" w:cs="Times New Roman"/>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29"/>
                    <a:stretch>
                      <a:fillRect/>
                    </a:stretch>
                  </pic:blipFill>
                  <pic:spPr bwMode="auto">
                    <a:xfrm>
                      <a:off x="0" y="0"/>
                      <a:ext cx="636270" cy="278130"/>
                    </a:xfrm>
                    <a:prstGeom prst="rect">
                      <a:avLst/>
                    </a:prstGeom>
                  </pic:spPr>
                </pic:pic>
              </a:graphicData>
            </a:graphic>
          </wp:inline>
        </w:drawing>
      </w:r>
      <w:r>
        <w:rPr>
          <w:rFonts w:eastAsia="Arial" w:cs="Times New Roman"/>
          <w:sz w:val="24"/>
          <w:szCs w:val="24"/>
        </w:rPr>
        <w:t>.</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pPr>
        <w:pStyle w:val="Normal"/>
        <w:spacing w:lineRule="auto" w:line="276" w:before="0" w:after="200"/>
        <w:ind w:firstLine="567"/>
        <w:jc w:val="both"/>
        <w:rPr>
          <w:sz w:val="24"/>
          <w:szCs w:val="24"/>
        </w:rPr>
      </w:pPr>
      <w:r>
        <w:rPr>
          <w:rFonts w:eastAsia="Times New Roman" w:cs="Times New Roman"/>
          <w:sz w:val="24"/>
          <w:szCs w:val="24"/>
        </w:rPr>
        <w:t xml:space="preserve">  </w:t>
      </w:r>
      <w:r>
        <w:rPr>
          <w:rFonts w:eastAsia="Arial" w:cs="Times New Roman"/>
          <w:sz w:val="24"/>
          <w:szCs w:val="24"/>
        </w:rPr>
        <w:t xml:space="preserve">- </w:t>
      </w:r>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0"/>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pPr>
        <w:pStyle w:val="Normal"/>
        <w:widowControl w:val="false"/>
        <w:spacing w:lineRule="auto" w:line="276" w:before="240" w:after="200"/>
        <w:jc w:val="both"/>
        <w:rPr>
          <w:sz w:val="24"/>
          <w:szCs w:val="24"/>
        </w:rPr>
      </w:pPr>
      <w:r>
        <w:rPr>
          <w:rFonts w:eastAsia="Arial" w:cs="Times New Roman"/>
          <w:sz w:val="24"/>
          <w:szCs w:val="24"/>
        </w:rPr>
        <w:t xml:space="preserve">- </w:t>
      </w:r>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1"/>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 сезонный коэффициент, рассчитанный для ценовой зоны оптового рынка (z) месяца (m); </w:t>
      </w:r>
    </w:p>
    <w:p>
      <w:pPr>
        <w:pStyle w:val="Normal"/>
        <w:widowControl/>
        <w:spacing w:before="120" w:after="20"/>
        <w:ind w:firstLine="709"/>
        <w:jc w:val="both"/>
        <w:rPr>
          <w:sz w:val="24"/>
          <w:szCs w:val="24"/>
        </w:rPr>
      </w:pPr>
      <w:r>
        <w:rPr>
          <w:rFonts w:eastAsia="Arial" w:cs="Times New Roman"/>
          <w:sz w:val="24"/>
          <w:szCs w:val="24"/>
        </w:rPr>
        <w:t xml:space="preserve">Стоимость недопоставки мощности (снижение оплаты мощности) рассчитывается как произведение объема недопоставки мощности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oMath>
      <w:r>
        <w:rPr>
          <w:rFonts w:eastAsia="Arial" w:cs="Times New Roman"/>
          <w:sz w:val="24"/>
          <w:szCs w:val="24"/>
        </w:rPr>
        <w:t xml:space="preserve"> на цену </w:t>
      </w:r>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32"/>
                    <a:srcRect l="-42" t="-65" r="-42" b="-65"/>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и на коэффициент сезонности</w:t>
      </w:r>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33"/>
                    <a:srcRect l="-43" t="-65" r="-43" b="-6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w:t>
      </w:r>
    </w:p>
    <w:p>
      <w:pPr>
        <w:pStyle w:val="Normal"/>
        <w:widowControl/>
        <w:spacing w:before="120" w:after="20"/>
        <w:ind w:firstLine="709"/>
        <w:jc w:val="both"/>
        <w:rPr>
          <w:sz w:val="24"/>
          <w:szCs w:val="24"/>
        </w:rPr>
      </w:pPr>
      <w:r>
        <w:rPr>
          <w:sz w:val="24"/>
          <w:szCs w:val="24"/>
        </w:rPr>
      </w:r>
    </w:p>
    <w:tbl>
      <w:tblPr>
        <w:tblW w:w="1012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40"/>
        <w:gridCol w:w="4879"/>
      </w:tblGrid>
      <w:tr>
        <w:trPr>
          <w:trHeight w:val="282" w:hRule="atLeast"/>
        </w:trPr>
        <w:tc>
          <w:tcPr>
            <w:tcW w:w="5240" w:type="dxa"/>
            <w:tcBorders/>
          </w:tcPr>
          <w:p>
            <w:pPr>
              <w:pStyle w:val="Normal"/>
              <w:widowControl w:val="false"/>
              <w:rPr>
                <w:b/>
                <w:sz w:val="24"/>
                <w:szCs w:val="24"/>
              </w:rPr>
            </w:pPr>
            <w:r>
              <w:rPr>
                <w:b/>
                <w:sz w:val="24"/>
                <w:szCs w:val="24"/>
              </w:rPr>
            </w:r>
          </w:p>
          <w:p>
            <w:pPr>
              <w:pStyle w:val="Normal"/>
              <w:widowControl w:val="false"/>
              <w:rPr>
                <w:b/>
                <w:sz w:val="24"/>
                <w:szCs w:val="24"/>
                <w:lang w:val="en-GB"/>
              </w:rPr>
            </w:pPr>
            <w:r>
              <w:rPr>
                <w:b/>
                <w:sz w:val="24"/>
                <w:szCs w:val="24"/>
                <w:lang w:val="en-GB"/>
              </w:rPr>
              <w:t>Покупатель:</w:t>
            </w:r>
          </w:p>
        </w:tc>
        <w:tc>
          <w:tcPr>
            <w:tcW w:w="4879" w:type="dxa"/>
            <w:tcBorders/>
          </w:tcPr>
          <w:p>
            <w:pPr>
              <w:pStyle w:val="Normal"/>
              <w:widowControl w:val="false"/>
              <w:rPr>
                <w:b/>
                <w:sz w:val="24"/>
                <w:szCs w:val="24"/>
              </w:rPr>
            </w:pPr>
            <w:r>
              <w:rPr>
                <w:b/>
                <w:sz w:val="24"/>
                <w:szCs w:val="24"/>
              </w:rPr>
            </w:r>
          </w:p>
          <w:p>
            <w:pPr>
              <w:pStyle w:val="Normal"/>
              <w:widowControl w:val="false"/>
              <w:rPr>
                <w:b/>
                <w:sz w:val="24"/>
                <w:szCs w:val="24"/>
                <w:lang w:val="en-GB"/>
              </w:rPr>
            </w:pPr>
            <w:r>
              <w:rPr>
                <w:b/>
                <w:sz w:val="24"/>
                <w:szCs w:val="24"/>
              </w:rPr>
              <w:t>Поставщик</w:t>
            </w:r>
            <w:r>
              <w:rPr>
                <w:b/>
                <w:sz w:val="24"/>
                <w:szCs w:val="24"/>
                <w:lang w:val="en-GB"/>
              </w:rPr>
              <w:t>:</w:t>
            </w:r>
          </w:p>
        </w:tc>
      </w:tr>
      <w:tr>
        <w:trPr>
          <w:trHeight w:val="611" w:hRule="atLeast"/>
        </w:trPr>
        <w:tc>
          <w:tcPr>
            <w:tcW w:w="5240"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487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_______________ / _______________</w:t>
            </w:r>
          </w:p>
        </w:tc>
      </w:tr>
    </w:tbl>
    <w:p>
      <w:pPr>
        <w:pStyle w:val="Normal"/>
        <w:widowControl/>
        <w:spacing w:before="120" w:after="20"/>
        <w:jc w:val="both"/>
        <w:rPr>
          <w:sz w:val="24"/>
          <w:szCs w:val="24"/>
        </w:rPr>
      </w:pPr>
      <w:r>
        <w:rPr>
          <w:sz w:val="24"/>
          <w:szCs w:val="24"/>
        </w:rPr>
      </w:r>
    </w:p>
    <w:sectPr>
      <w:headerReference w:type="default" r:id="rId34"/>
      <w:headerReference w:type="first" r:id="rId35"/>
      <w:footerReference w:type="default" r:id="rId36"/>
      <w:footerReference w:type="first" r:id="rId37"/>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35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t xml:space="preserve"> </w:t>
      </w:r>
      <w:r>
        <w:rPr/>
        <w:t>Указывается меньший размер платежей в случае применения ссылки к пункту 2.5.2 Договора о закупке кранового оборудования.</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Заказчика.</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6">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8">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9">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10">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11">
    <w:p>
      <w:pPr>
        <w:pStyle w:val="FootnoteText"/>
        <w:jc w:val="both"/>
        <w:rPr/>
      </w:pPr>
      <w:r>
        <w:rPr>
          <w:rStyle w:val="Style14"/>
        </w:rPr>
        <w:footnoteRef/>
      </w:r>
      <w:r>
        <w:rPr/>
        <w:t xml:space="preserve"> </w:t>
      </w:r>
      <w:r>
        <w:rPr>
          <w:szCs w:val="24"/>
          <w:highlight w:val="lightGray"/>
        </w:rPr>
        <w:t>Указанное условие применяется к договорам в отношении поставки Товара, обеспечивающего производство и/или передачу (транспортировку) электрической энергии и мощности.</w:t>
      </w:r>
    </w:p>
  </w:footnote>
  <w:footnote w:id="12">
    <w:p>
      <w:pPr>
        <w:pStyle w:val="FootnoteText"/>
        <w:jc w:val="both"/>
        <w:rPr>
          <w:szCs w:val="24"/>
          <w:highlight w:val="lightGray"/>
        </w:rPr>
      </w:pPr>
      <w:r>
        <w:rPr>
          <w:rStyle w:val="Style14"/>
        </w:rPr>
        <w:footnoteRef/>
      </w:r>
      <w:r>
        <w:rPr/>
        <w:t xml:space="preserve"> </w:t>
      </w:r>
      <w:r>
        <w:rPr>
          <w:highlight w:val="lightGray"/>
        </w:rPr>
        <w:t>Необходимость включения данного пункта определяется в соответствии с приказом ПАО «РусГидро</w:t>
      </w:r>
      <w:r>
        <w:rPr>
          <w:szCs w:val="24"/>
          <w:highlight w:val="lightGray"/>
        </w:rPr>
        <w:t xml:space="preserve">» </w:t>
        <w:br/>
        <w:t>от 12.01.2021 № 4.</w:t>
      </w:r>
    </w:p>
  </w:footnote>
  <w:footnote w:id="13">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4">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5">
    <w:p>
      <w:pPr>
        <w:pStyle w:val="FootnoteText"/>
        <w:jc w:val="both"/>
        <w:rPr/>
      </w:pPr>
      <w:r>
        <w:rPr>
          <w:rStyle w:val="Style14"/>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6">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7">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8">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9">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2" w:name="_GoBack_Копия_1_Копия_1_Копия_1_Копия_1_"/>
      <w:bookmarkEnd w:id="12"/>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20">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21">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22">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23">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4">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5">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6">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3">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5">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1"/>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image" Target="media/image1.png"/><Relationship Id="rId11" Type="http://schemas.openxmlformats.org/officeDocument/2006/relationships/image" Target="media/image2.wmf"/><Relationship Id="rId12" Type="http://schemas.openxmlformats.org/officeDocument/2006/relationships/image" Target="media/image3.wmf"/><Relationship Id="rId13" Type="http://schemas.openxmlformats.org/officeDocument/2006/relationships/image" Target="media/image4.wmf"/><Relationship Id="rId14" Type="http://schemas.openxmlformats.org/officeDocument/2006/relationships/image" Target="media/image5.wmf"/><Relationship Id="rId15" Type="http://schemas.openxmlformats.org/officeDocument/2006/relationships/image" Target="media/image6.wmf"/><Relationship Id="rId16" Type="http://schemas.openxmlformats.org/officeDocument/2006/relationships/image" Target="media/image7.wmf"/><Relationship Id="rId17" Type="http://schemas.openxmlformats.org/officeDocument/2006/relationships/image" Target="media/image8.wmf"/><Relationship Id="rId18" Type="http://schemas.openxmlformats.org/officeDocument/2006/relationships/image" Target="media/image9.wmf"/><Relationship Id="rId19" Type="http://schemas.openxmlformats.org/officeDocument/2006/relationships/image" Target="media/image10.wmf"/><Relationship Id="rId20" Type="http://schemas.openxmlformats.org/officeDocument/2006/relationships/image" Target="media/image11.wmf"/><Relationship Id="rId21" Type="http://schemas.openxmlformats.org/officeDocument/2006/relationships/image" Target="media/image12.wmf"/><Relationship Id="rId22" Type="http://schemas.openxmlformats.org/officeDocument/2006/relationships/image" Target="media/image13.wmf"/><Relationship Id="rId23" Type="http://schemas.openxmlformats.org/officeDocument/2006/relationships/image" Target="media/image14.wmf"/><Relationship Id="rId24" Type="http://schemas.openxmlformats.org/officeDocument/2006/relationships/image" Target="media/image15.wmf"/><Relationship Id="rId25" Type="http://schemas.openxmlformats.org/officeDocument/2006/relationships/image" Target="media/image16.wmf"/><Relationship Id="rId26" Type="http://schemas.openxmlformats.org/officeDocument/2006/relationships/image" Target="media/image17.wmf"/><Relationship Id="rId27" Type="http://schemas.openxmlformats.org/officeDocument/2006/relationships/image" Target="media/image18.wmf"/><Relationship Id="rId28" Type="http://schemas.openxmlformats.org/officeDocument/2006/relationships/image" Target="media/image19.wmf"/><Relationship Id="rId29" Type="http://schemas.openxmlformats.org/officeDocument/2006/relationships/image" Target="media/image20.wmf"/><Relationship Id="rId30" Type="http://schemas.openxmlformats.org/officeDocument/2006/relationships/image" Target="media/image21.wmf"/><Relationship Id="rId31" Type="http://schemas.openxmlformats.org/officeDocument/2006/relationships/image" Target="media/image22.wmf"/><Relationship Id="rId32" Type="http://schemas.openxmlformats.org/officeDocument/2006/relationships/image" Target="media/image21.wmf"/><Relationship Id="rId33" Type="http://schemas.openxmlformats.org/officeDocument/2006/relationships/image" Target="media/image22.wmf"/><Relationship Id="rId34" Type="http://schemas.openxmlformats.org/officeDocument/2006/relationships/header" Target="header3.xml"/><Relationship Id="rId35" Type="http://schemas.openxmlformats.org/officeDocument/2006/relationships/header" Target="header4.xml"/><Relationship Id="rId36" Type="http://schemas.openxmlformats.org/officeDocument/2006/relationships/footer" Target="footer2.xml"/><Relationship Id="rId37" Type="http://schemas.openxmlformats.org/officeDocument/2006/relationships/footer" Target="footer3.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Relationship Id="rId43" Type="http://schemas.openxmlformats.org/officeDocument/2006/relationships/customXml" Target="../customXml/item1.xml"/><Relationship Id="rId44" Type="http://schemas.openxmlformats.org/officeDocument/2006/relationships/customXml" Target="../customXml/item2.xml"/><Relationship Id="rId45" Type="http://schemas.openxmlformats.org/officeDocument/2006/relationships/customXml" Target="../customXml/item3.xml"/><Relationship Id="rId46"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403</TotalTime>
  <Application>AlterOffice/2026.2.0.0$Linux_X86_64 LibreOffice_project/bc4ef1adf80b36c7a6365f8ed6cbf29021361edd</Application>
  <AppVersion>15.0000</AppVersion>
  <Pages>35</Pages>
  <Words>12056</Words>
  <Characters>86755</Characters>
  <CharactersWithSpaces>90671</CharactersWithSpaces>
  <Paragraphs>534</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perfilevvv@corp.gidroogk.com</cp:lastModifiedBy>
  <cp:lastPrinted>2018-05-22T09:46:00Z</cp:lastPrinted>
  <dcterms:modified xsi:type="dcterms:W3CDTF">2026-10-21T10:21:47Z</dcterms:modified>
  <cp:revision>58</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