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ind w:firstLine="708" w:left="2124"/>
        <w:contextualSpacing/>
        <w:jc w:val="center"/>
        <w:rPr>
          <w:rFonts w:eastAsia="Times New Roman"/>
          <w:i/>
          <w:i/>
          <w:color w:val="000000"/>
          <w:sz w:val="24"/>
          <w:szCs w:val="24"/>
        </w:rPr>
      </w:pPr>
      <w:r>
        <w:rPr>
          <w:rFonts w:eastAsia="Times New Roman"/>
          <w:i/>
          <w:color w:val="000000"/>
          <w:sz w:val="24"/>
          <w:szCs w:val="24"/>
        </w:rPr>
        <w:t>Приложение 2 к запросу на обслуживание ИТСО</w:t>
      </w:r>
    </w:p>
    <w:p>
      <w:pPr>
        <w:pStyle w:val="Normal"/>
        <w:widowControl w:val="false"/>
        <w:spacing w:before="0" w:after="0"/>
        <w:ind w:firstLine="708" w:left="2124"/>
        <w:contextualSpacing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tbl>
      <w:tblPr>
        <w:tblStyle w:val="2"/>
        <w:tblW w:w="963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38"/>
      </w:tblGrid>
      <w:tr>
        <w:trPr/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1499870" cy="542290"/>
                  <wp:effectExtent l="0" t="0" r="0" b="0"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870" cy="54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kern w:val="0"/>
                <w:sz w:val="18"/>
                <w:szCs w:val="18"/>
                <w:lang w:val="ru-RU" w:bidi="ar-SA"/>
              </w:rPr>
              <w:t>АКЦИОНЕРНОЕ ОБЩЕСТВО «ДАЛЬНЕВОСТОЧНАЯ РАСПРЕДЕЛИТЕЛЬНАЯ СЕТЕВАЯ КОМПАНИЯ»</w:t>
            </w:r>
          </w:p>
        </w:tc>
      </w:tr>
      <w:tr>
        <w:trPr>
          <w:trHeight w:val="87" w:hRule="atLeast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ascii="Arial" w:hAnsi="Arial" w:eastAsia="Times New Roman" w:cs="Arial"/>
                <w:b/>
                <w:bCs/>
                <w:sz w:val="2"/>
                <w:szCs w:val="2"/>
              </w:rPr>
            </w:pPr>
            <w:r>
              <w:rPr>
                <w:rFonts w:eastAsia="Times New Roman" w:cs="Arial" w:ascii="Arial" w:hAnsi="Arial"/>
                <w:b/>
                <w:bCs/>
                <w:sz w:val="2"/>
                <w:szCs w:val="2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819" w:leader="none"/>
              </w:tabs>
              <w:suppressAutoHyphens w:val="true"/>
              <w:spacing w:before="0" w:after="0"/>
              <w:rPr>
                <w:rFonts w:ascii="Arial" w:hAnsi="Arial" w:eastAsia="Times New Roman" w:cs="Arial"/>
                <w:sz w:val="2"/>
                <w:szCs w:val="2"/>
              </w:rPr>
            </w:pPr>
            <w:r>
              <w:rPr>
                <w:rFonts w:eastAsia="Times New Roman" w:cs="Arial" w:ascii="Arial" w:hAnsi="Arial"/>
                <w:sz w:val="2"/>
                <w:szCs w:val="2"/>
              </w:rPr>
            </w:r>
          </w:p>
        </w:tc>
      </w:tr>
      <w:tr>
        <w:trPr>
          <w:trHeight w:val="227" w:hRule="atLeast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kern w:val="0"/>
                <w:sz w:val="18"/>
                <w:szCs w:val="16"/>
                <w:lang w:val="ru-RU" w:bidi="ar-SA"/>
              </w:rPr>
              <w:t>ул. Шевченко, 32., г. Благовещенск, Амурская область, Российская Федерация, 675000</w:t>
            </w:r>
          </w:p>
        </w:tc>
      </w:tr>
      <w:tr>
        <w:trPr>
          <w:trHeight w:val="227" w:hRule="atLeast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Arial" w:hAnsi="Arial" w:eastAsia="Times New Roman" w:cs="Arial"/>
                <w:color w:val="0000FF" w:themeColor="hyperlink"/>
                <w:sz w:val="18"/>
                <w:szCs w:val="18"/>
                <w:u w:val="single"/>
              </w:rPr>
            </w:pPr>
            <w:hyperlink r:id="rId3"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doc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ru-RU" w:bidi="ar-SA"/>
                </w:rPr>
                <w:t>@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drsk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ru-RU" w:bidi="ar-SA"/>
                </w:rPr>
                <w:t>.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ru</w:t>
              </w:r>
            </w:hyperlink>
            <w:r>
              <w:rPr>
                <w:rFonts w:eastAsia="Times New Roman" w:cs="Arial" w:ascii="Arial" w:hAnsi="Arial"/>
                <w:color w:val="0000FF" w:themeColor="hyperlink"/>
                <w:kern w:val="0"/>
                <w:sz w:val="18"/>
                <w:szCs w:val="18"/>
                <w:u w:val="single"/>
                <w:lang w:val="ru-RU" w:bidi="ar-SA"/>
              </w:rPr>
              <w:t xml:space="preserve">; </w:t>
            </w:r>
            <w:hyperlink r:id="rId4"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www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ru-RU" w:bidi="ar-SA"/>
                </w:rPr>
                <w:t>.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drsk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ru-RU" w:bidi="ar-SA"/>
                </w:rPr>
                <w:t>.</w:t>
              </w:r>
              <w:r>
                <w:rPr>
                  <w:rFonts w:eastAsia="Times New Roman" w:cs="Arial" w:ascii="Arial" w:hAnsi="Arial"/>
                  <w:color w:val="0000FF" w:themeColor="hyperlink"/>
                  <w:kern w:val="0"/>
                  <w:sz w:val="18"/>
                  <w:szCs w:val="18"/>
                  <w:u w:val="single"/>
                  <w:lang w:val="en-US" w:bidi="ar-SA"/>
                </w:rPr>
                <w:t>ru</w:t>
              </w:r>
            </w:hyperlink>
          </w:p>
        </w:tc>
      </w:tr>
    </w:tbl>
    <w:p>
      <w:pPr>
        <w:pStyle w:val="Normal"/>
        <w:widowControl w:val="false"/>
        <w:tabs>
          <w:tab w:val="clear" w:pos="708"/>
          <w:tab w:val="left" w:pos="6060" w:leader="none"/>
        </w:tabs>
        <w:spacing w:before="0" w:after="0"/>
        <w:contextualSpacing/>
        <w:jc w:val="center"/>
        <w:rPr>
          <w:rFonts w:eastAsia="Times New Roman"/>
          <w:color w:val="000000"/>
          <w:sz w:val="16"/>
          <w:szCs w:val="16"/>
        </w:rPr>
      </w:pPr>
      <w:r>
        <w:rPr>
          <w:rFonts w:eastAsia="Times New Roman"/>
          <w:color w:val="000000"/>
          <w:sz w:val="16"/>
          <w:szCs w:val="16"/>
        </w:rPr>
      </w:r>
    </w:p>
    <w:p>
      <w:pPr>
        <w:pStyle w:val="Normal"/>
        <w:widowControl w:val="false"/>
        <w:tabs>
          <w:tab w:val="clear" w:pos="708"/>
          <w:tab w:val="left" w:pos="6060" w:leader="none"/>
        </w:tabs>
        <w:spacing w:before="0" w:after="0"/>
        <w:ind w:firstLine="709"/>
        <w:contextualSpacing/>
        <w:jc w:val="left"/>
        <w:rPr>
          <w:rFonts w:eastAsia="Times New Roman"/>
          <w:color w:val="000000"/>
          <w:sz w:val="10"/>
          <w:szCs w:val="10"/>
        </w:rPr>
      </w:pPr>
      <w:r>
        <w:rPr>
          <w:rFonts w:eastAsia="Times New Roman"/>
          <w:color w:val="000000"/>
          <w:sz w:val="10"/>
          <w:szCs w:val="10"/>
        </w:rPr>
      </w:r>
    </w:p>
    <w:p>
      <w:pPr>
        <w:pStyle w:val="Normal"/>
        <w:widowControl w:val="false"/>
        <w:tabs>
          <w:tab w:val="clear" w:pos="708"/>
          <w:tab w:val="left" w:pos="6060" w:leader="none"/>
        </w:tabs>
        <w:spacing w:before="0" w:after="0"/>
        <w:ind w:firstLine="709"/>
        <w:contextualSpacing/>
        <w:jc w:val="left"/>
        <w:rPr>
          <w:rFonts w:eastAsia="Times New Roman"/>
          <w:color w:val="000000"/>
          <w:sz w:val="10"/>
          <w:szCs w:val="10"/>
        </w:rPr>
      </w:pPr>
      <w:r>
        <w:rPr>
          <w:rFonts w:eastAsia="Times New Roman"/>
          <w:color w:val="000000"/>
          <w:sz w:val="10"/>
          <w:szCs w:val="10"/>
        </w:rPr>
      </w:r>
    </w:p>
    <w:p>
      <w:pPr>
        <w:pStyle w:val="Normal"/>
        <w:jc w:val="center"/>
        <w:rPr>
          <w:rFonts w:eastAsia="Times New Roman"/>
          <w:b/>
        </w:rPr>
      </w:pPr>
      <w:r>
        <w:rPr>
          <w:rFonts w:eastAsia="Times New Roman"/>
          <w:b/>
        </w:rPr>
      </w:r>
    </w:p>
    <w:p>
      <w:pPr>
        <w:pStyle w:val="Normal"/>
        <w:jc w:val="center"/>
        <w:rPr>
          <w:rFonts w:eastAsia="Times New Roman"/>
          <w:b/>
        </w:rPr>
      </w:pPr>
      <w:r>
        <w:rPr>
          <w:rFonts w:eastAsia="Times New Roman"/>
          <w:b/>
        </w:rPr>
      </w:r>
    </w:p>
    <w:p>
      <w:pPr>
        <w:pStyle w:val="Normal"/>
        <w:jc w:val="center"/>
        <w:rPr>
          <w:rFonts w:eastAsia="Times New Roman"/>
          <w:b/>
        </w:rPr>
      </w:pPr>
      <w:r>
        <w:rPr>
          <w:rFonts w:eastAsia="Times New Roman"/>
          <w:b/>
        </w:rPr>
        <w:t>Технические требования</w:t>
      </w:r>
    </w:p>
    <w:p>
      <w:pPr>
        <w:pStyle w:val="Normal"/>
        <w:jc w:val="center"/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b/>
        </w:rPr>
        <w:t>на у</w:t>
      </w:r>
      <w:r>
        <w:rPr>
          <w:b/>
          <w:bCs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слуги по техническому обслуживанию инженерно-технических средств охраны, здания и территории ИА АО «ДРСК»</w:t>
      </w:r>
    </w:p>
    <w:p>
      <w:pPr>
        <w:pStyle w:val="Normal"/>
        <w:widowControl w:val="false"/>
        <w:tabs>
          <w:tab w:val="clear" w:pos="708"/>
          <w:tab w:val="left" w:pos="720" w:leader="none"/>
        </w:tabs>
        <w:spacing w:before="0" w:after="0"/>
        <w:ind w:hanging="720" w:left="720"/>
        <w:contextualSpacing/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b/>
          <w:bCs/>
          <w:sz w:val="25"/>
          <w:szCs w:val="25"/>
        </w:rPr>
      </w:r>
    </w:p>
    <w:p>
      <w:pPr>
        <w:pStyle w:val="Normal"/>
        <w:widowControl w:val="false"/>
        <w:tabs>
          <w:tab w:val="clear" w:pos="708"/>
          <w:tab w:val="left" w:pos="720" w:leader="none"/>
        </w:tabs>
        <w:spacing w:before="0" w:after="0"/>
        <w:ind w:hanging="720" w:left="720"/>
        <w:contextualSpacing/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b/>
          <w:bCs/>
          <w:sz w:val="25"/>
          <w:szCs w:val="25"/>
        </w:rPr>
      </w:r>
    </w:p>
    <w:p>
      <w:pPr>
        <w:pStyle w:val="Normal"/>
        <w:widowControl w:val="false"/>
        <w:spacing w:before="0" w:after="0"/>
        <w:ind w:firstLine="720"/>
        <w:contextualSpacing/>
        <w:rPr>
          <w:rFonts w:eastAsia="Times New Roman"/>
          <w:b/>
          <w:sz w:val="25"/>
          <w:szCs w:val="25"/>
        </w:rPr>
      </w:pPr>
      <w:r>
        <w:rPr>
          <w:rFonts w:eastAsia="Times New Roman"/>
          <w:b/>
          <w:sz w:val="25"/>
          <w:szCs w:val="25"/>
        </w:rPr>
        <w:t>1. Нормативно-правовые акты, ГОСТ, СНиП, технические регламенты, в соответствии с которыми осуществляется оказание услуг по техническому обслуживанию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1.1. ГОСТ Р 54101 – 2010 «Средства автоматизации и системы управления. Средства и системы обеспечения безопасности. Техническое обслуживание и ремонт». (Утвержден и введен в действие Приказом Федерального агентства по техническому регулированию и метрологии от 30.11.2010 г. №768-ст).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1.2. ГОСТ 31817.1.1-2012. Системы тревожной сигнализации. Часть 1. Общие требования. Раздел 1. Общие положения.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1.3. ГОСТ Р 50776-95. Системы тревожной сигнализации. Часть 1. Общие требования. Раздел 4. Руководство по проектированию, монтажу и техническому обслуживанию.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1.4. ГОСТ Р 51241-2008. Средства и системы контроля и управления доступом. Классификация. Общие технические требования. Методы испытаний.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/>
      </w:pPr>
      <w:r>
        <w:rPr>
          <w:rFonts w:eastAsia="Times New Roman"/>
          <w:sz w:val="26"/>
          <w:szCs w:val="26"/>
        </w:rPr>
        <w:t xml:space="preserve">1.5. </w:t>
      </w:r>
      <w:r>
        <w:rPr>
          <w:rFonts w:eastAsia="Times New Roman"/>
          <w:b w:val="false"/>
          <w:bCs w:val="false"/>
          <w:color w:val="000000"/>
          <w:sz w:val="26"/>
          <w:szCs w:val="26"/>
          <w:shd w:fill="auto" w:val="clear"/>
        </w:rPr>
        <w:t>Р</w:t>
      </w:r>
      <w:hyperlink r:id="rId5">
        <w:r>
          <w:rPr>
            <w:rStyle w:val="Hyperlink"/>
            <w:rFonts w:eastAsia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none"/>
            <w:effect w:val="none"/>
            <w:shd w:fill="auto" w:val="clear"/>
          </w:rPr>
          <w:t xml:space="preserve"> 064-20</w:t>
        </w:r>
        <w:r>
          <w:rPr>
            <w:rStyle w:val="Hyperlink"/>
            <w:rFonts w:eastAsia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none"/>
            <w:effect w:val="none"/>
            <w:shd w:fill="auto" w:val="clear"/>
          </w:rPr>
          <w:t>24</w:t>
        </w:r>
        <w:r>
          <w:rPr>
            <w:rStyle w:val="Hyperlink"/>
            <w:rFonts w:eastAsia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6"/>
            <w:szCs w:val="26"/>
            <w:u w:val="none"/>
            <w:effect w:val="none"/>
            <w:shd w:fill="auto" w:val="clear"/>
          </w:rPr>
          <w:t>. Выбор и применение технических средств и систем контроля и управления доступом.</w:t>
        </w:r>
      </w:hyperlink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1.6. Р </w:t>
      </w:r>
      <w:r>
        <w:rPr>
          <w:rFonts w:eastAsia="Times New Roman"/>
          <w:sz w:val="26"/>
          <w:szCs w:val="26"/>
        </w:rPr>
        <w:t>071</w:t>
      </w:r>
      <w:r>
        <w:rPr>
          <w:rFonts w:eastAsia="Times New Roman"/>
          <w:sz w:val="26"/>
          <w:szCs w:val="26"/>
        </w:rPr>
        <w:t>-201</w:t>
      </w:r>
      <w:r>
        <w:rPr>
          <w:rFonts w:eastAsia="Times New Roman"/>
          <w:sz w:val="26"/>
          <w:szCs w:val="26"/>
        </w:rPr>
        <w:t>7</w:t>
      </w:r>
      <w:r>
        <w:rPr>
          <w:rFonts w:eastAsia="Times New Roman"/>
          <w:sz w:val="26"/>
          <w:szCs w:val="26"/>
        </w:rPr>
        <w:t>. Технические средства систем безопасности объектов. Обозначения условные графические элементов технических средств охраны, систем контроля и управления доступом, систем охранного телевидения.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1.7. ГОСТ 21.101-20</w:t>
      </w:r>
      <w:r>
        <w:rPr>
          <w:rFonts w:eastAsia="Times New Roman"/>
          <w:sz w:val="26"/>
          <w:szCs w:val="26"/>
        </w:rPr>
        <w:t>20</w:t>
      </w:r>
      <w:r>
        <w:rPr>
          <w:rFonts w:eastAsia="Times New Roman"/>
          <w:sz w:val="26"/>
          <w:szCs w:val="26"/>
        </w:rPr>
        <w:t>. Основные требования к проектной и рабочей документации.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1.8. ГОСТ-21.110-2013. Правила выполнения спецификации оборудования, изделий и материалов.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1.9. ГОСТ 21.501-201</w:t>
      </w:r>
      <w:r>
        <w:rPr>
          <w:rFonts w:eastAsia="Times New Roman"/>
          <w:sz w:val="26"/>
          <w:szCs w:val="26"/>
        </w:rPr>
        <w:t>8</w:t>
      </w:r>
      <w:r>
        <w:rPr>
          <w:rFonts w:eastAsia="Times New Roman"/>
          <w:sz w:val="26"/>
          <w:szCs w:val="26"/>
        </w:rPr>
        <w:t>. Правила выполнения архитектурно-строительных рабочих чертежей.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1.10. Постановление правительства Российской Федерации № 87 от 16 февраля 2008 года. Положение о составе разделов проектной документации и требования к их содержанию.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1.11. СНиП 12-03-</w:t>
      </w:r>
      <w:r>
        <w:rPr>
          <w:rFonts w:eastAsia="Times New Roman"/>
          <w:sz w:val="26"/>
          <w:szCs w:val="26"/>
        </w:rPr>
        <w:t>2001</w:t>
      </w:r>
      <w:r>
        <w:rPr>
          <w:rFonts w:eastAsia="Times New Roman"/>
          <w:sz w:val="26"/>
          <w:szCs w:val="26"/>
        </w:rPr>
        <w:t>. Техника безопасности в строительстве. Часть 1. Общие требования</w:t>
      </w:r>
    </w:p>
    <w:p>
      <w:pPr>
        <w:pStyle w:val="Normal"/>
        <w:widowControl w:val="false"/>
        <w:spacing w:before="0" w:after="0"/>
        <w:ind w:firstLine="720" w:left="0" w:right="0"/>
        <w:contextualSpacing/>
        <w:rPr/>
      </w:pPr>
      <w:r>
        <w:rPr>
          <w:rFonts w:eastAsia="Times New Roman"/>
          <w:sz w:val="26"/>
          <w:szCs w:val="26"/>
        </w:rPr>
        <w:t xml:space="preserve">1.12. </w:t>
      </w:r>
      <w:r>
        <w:rPr>
          <w:rStyle w:val="Strong2"/>
          <w:rFonts w:eastAsia="Times New Roman"/>
          <w:b w:val="false"/>
          <w:i w:val="false"/>
          <w:caps w:val="false"/>
          <w:smallCaps w:val="false"/>
          <w:color w:val="333333"/>
          <w:spacing w:val="0"/>
          <w:sz w:val="26"/>
          <w:szCs w:val="26"/>
        </w:rPr>
        <w:t>ГОСТ 12.1.019-2017</w:t>
      </w:r>
      <w:r>
        <w:rPr>
          <w:rFonts w:eastAsia="Times New Roman"/>
          <w:caps w:val="false"/>
          <w:smallCaps w:val="false"/>
          <w:color w:val="333333"/>
          <w:spacing w:val="0"/>
          <w:sz w:val="26"/>
          <w:szCs w:val="26"/>
        </w:rPr>
        <w:t xml:space="preserve"> — </w:t>
      </w:r>
      <w:r>
        <w:rPr>
          <w:rFonts w:eastAsia="Times New Roman"/>
          <w:b w:val="false"/>
          <w:i w:val="false"/>
          <w:caps w:val="false"/>
          <w:smallCaps w:val="false"/>
          <w:color w:val="333333"/>
          <w:spacing w:val="0"/>
          <w:sz w:val="26"/>
          <w:szCs w:val="26"/>
        </w:rPr>
        <w:t>межгосударственный стандарт «Система стандартов безопасности труда. Электробезопасность. Общие требования и номенклатура видов защиты». 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1.13. </w:t>
      </w:r>
      <w:r>
        <w:rPr>
          <w:rStyle w:val="Strong"/>
          <w:rFonts w:eastAsia="Times New Roman"/>
          <w:b w:val="false"/>
          <w:bCs w:val="false"/>
          <w:sz w:val="26"/>
          <w:szCs w:val="26"/>
        </w:rPr>
        <w:t>СП 2.2.470-9</w:t>
      </w:r>
      <w:r>
        <w:rPr>
          <w:rFonts w:eastAsia="Times New Roman"/>
          <w:sz w:val="26"/>
          <w:szCs w:val="26"/>
        </w:rPr>
        <w:t>  - санитарные правила «Гигиенические требования к ручным инструментам».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1.14. ГОСТ Р 21.1703-2020. Правила выполнения рабочей документации проводных средств связи.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>
          <w:sz w:val="26"/>
          <w:szCs w:val="26"/>
        </w:rPr>
      </w:pPr>
      <w:r>
        <w:rPr>
          <w:rFonts w:eastAsia="Times New Roman"/>
          <w:sz w:val="26"/>
          <w:szCs w:val="26"/>
        </w:rPr>
        <w:t>1.15. ГОСТ 31565-2012. Кабельные изделия. Требования пожарной безопасности.</w:t>
      </w:r>
    </w:p>
    <w:p>
      <w:pPr>
        <w:pStyle w:val="Normal"/>
        <w:widowControl w:val="false"/>
        <w:spacing w:before="0" w:after="0"/>
        <w:ind w:firstLine="720" w:left="0" w:right="0"/>
        <w:contextualSpacing/>
        <w:rPr/>
      </w:pPr>
      <w:r>
        <w:rPr>
          <w:rFonts w:eastAsia="Times New Roman"/>
          <w:sz w:val="26"/>
          <w:szCs w:val="26"/>
        </w:rPr>
        <w:t>1.16. Г</w:t>
      </w:r>
      <w:r>
        <w:rPr>
          <w:rStyle w:val="Strong2"/>
          <w:rFonts w:eastAsia="Times New Roman"/>
          <w:b w:val="false"/>
          <w:i w:val="false"/>
          <w:caps w:val="false"/>
          <w:smallCaps w:val="false"/>
          <w:color w:val="333333"/>
          <w:spacing w:val="0"/>
          <w:sz w:val="26"/>
          <w:szCs w:val="26"/>
        </w:rPr>
        <w:t xml:space="preserve">ОСТ Р 53316-2021 </w:t>
      </w:r>
      <w:r>
        <w:rPr>
          <w:rFonts w:eastAsia="Times New Roman"/>
          <w:b w:val="false"/>
          <w:i w:val="false"/>
          <w:caps w:val="false"/>
          <w:smallCaps w:val="false"/>
          <w:color w:val="333333"/>
          <w:spacing w:val="0"/>
          <w:sz w:val="26"/>
          <w:szCs w:val="26"/>
        </w:rPr>
        <w:t>Электропроводки. Сохранение работоспособности в условиях стандартного температурного режима пожара. Методы испытаний</w:t>
      </w:r>
    </w:p>
    <w:p>
      <w:pPr>
        <w:pStyle w:val="Normal"/>
        <w:widowControl w:val="false"/>
        <w:tabs>
          <w:tab w:val="clear" w:pos="708"/>
          <w:tab w:val="left" w:pos="720" w:leader="none"/>
        </w:tabs>
        <w:spacing w:before="0" w:after="0"/>
        <w:ind w:hanging="720" w:left="720" w:right="0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</w:r>
    </w:p>
    <w:p>
      <w:pPr>
        <w:pStyle w:val="Normal"/>
        <w:ind w:firstLine="708"/>
        <w:jc w:val="lef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2. Общие требования</w:t>
      </w:r>
    </w:p>
    <w:p>
      <w:pPr>
        <w:pStyle w:val="Normal"/>
        <w:ind w:firstLine="709"/>
        <w:rPr>
          <w:rFonts w:eastAsia="Times New Roman"/>
          <w:bCs/>
        </w:rPr>
      </w:pPr>
      <w:r>
        <w:rPr>
          <w:rFonts w:eastAsia="Times New Roman"/>
          <w:bCs/>
        </w:rPr>
        <w:t xml:space="preserve">2.1. Настоящее технические требования предусматривают ежемесячное техническое обслуживание системы охранной сигнализации (далее - ОС), охранного телевидения (далее - ОТ) и системы контроля и управления доступом (далее - СКУД) в административных зданиях по адресам: Амурская область, г. Благовещенск, ул. Шевченко, 28, </w:t>
      </w:r>
      <w:r>
        <w:rPr>
          <w:rFonts w:eastAsia="Times New Roman"/>
          <w:bCs/>
        </w:rPr>
        <w:t>30</w:t>
      </w:r>
      <w:r>
        <w:rPr>
          <w:rFonts w:eastAsia="Times New Roman"/>
          <w:bCs/>
        </w:rPr>
        <w:t xml:space="preserve"> и ул. Шевченко, 32;</w:t>
      </w:r>
    </w:p>
    <w:p>
      <w:pPr>
        <w:pStyle w:val="Normal"/>
        <w:ind w:firstLine="709"/>
        <w:rPr>
          <w:rFonts w:eastAsia="Times New Roman"/>
          <w:bCs/>
        </w:rPr>
      </w:pPr>
      <w:r>
        <w:rPr>
          <w:rFonts w:eastAsia="Times New Roman"/>
          <w:bCs/>
        </w:rPr>
        <w:t>2.2. Оборудование ОС, ОТ и СКУД интегрировано в существующую систему охраны «Орион Про» и управляется через серверный зал Центра обработки данных в здании по адресу: Амурская область, г. Благовещенск, ул. Шевченко, 32, на базе аппаратно-программного комплекса «БОЛИД» (контроль доступа, охранная сигнализация) и программного комплекса «Hikvision» (видеонаблюдение).</w:t>
      </w:r>
    </w:p>
    <w:p>
      <w:pPr>
        <w:pStyle w:val="Normal"/>
        <w:ind w:firstLine="709"/>
        <w:rPr>
          <w:rFonts w:eastAsia="Times New Roman"/>
          <w:bCs/>
        </w:rPr>
      </w:pPr>
      <w:r>
        <w:rPr>
          <w:rFonts w:eastAsia="Times New Roman"/>
          <w:bCs/>
        </w:rPr>
      </w:r>
    </w:p>
    <w:p>
      <w:pPr>
        <w:pStyle w:val="Normal"/>
        <w:ind w:firstLine="709"/>
        <w:jc w:val="left"/>
        <w:rPr>
          <w:rFonts w:eastAsia="Times New Roman"/>
          <w:b/>
        </w:rPr>
      </w:pPr>
      <w:r>
        <w:rPr>
          <w:rFonts w:eastAsia="Times New Roman"/>
          <w:b/>
        </w:rPr>
        <w:t>3. Объем оказываемых услуг</w:t>
      </w:r>
    </w:p>
    <w:p>
      <w:pPr>
        <w:pStyle w:val="Normal"/>
        <w:ind w:firstLine="709"/>
        <w:rPr>
          <w:rFonts w:eastAsia="Times New Roman"/>
        </w:rPr>
      </w:pPr>
      <w:r>
        <w:rPr>
          <w:rFonts w:eastAsia="Times New Roman"/>
        </w:rPr>
        <w:t xml:space="preserve">3.1. Установленное оборудование на объектах, расположенных по адресу: </w:t>
      </w:r>
      <w:r>
        <w:rPr>
          <w:rFonts w:eastAsia="Times New Roman"/>
          <w:i/>
        </w:rPr>
        <w:t>Амурская область,</w:t>
      </w:r>
      <w:r>
        <w:rPr>
          <w:rFonts w:eastAsia="Times New Roman"/>
        </w:rPr>
        <w:t xml:space="preserve"> </w:t>
      </w:r>
      <w:r>
        <w:rPr>
          <w:rFonts w:eastAsia="Times New Roman"/>
          <w:i/>
        </w:rPr>
        <w:t>г. Благовещенск, ул. Шевченко, 28, 30 и ул. Шевченко, 32</w:t>
      </w:r>
      <w:r>
        <w:rPr>
          <w:rFonts w:eastAsia="Times New Roman"/>
        </w:rPr>
        <w:t xml:space="preserve">, отражены в </w:t>
      </w:r>
      <w:r>
        <w:rPr>
          <w:rFonts w:eastAsia="Times New Roman"/>
          <w:b/>
        </w:rPr>
        <w:t xml:space="preserve">Приложении 1 </w:t>
      </w:r>
      <w:r>
        <w:rPr>
          <w:rFonts w:eastAsia="Times New Roman"/>
        </w:rPr>
        <w:t>Технического задания.</w:t>
      </w:r>
    </w:p>
    <w:p>
      <w:pPr>
        <w:pStyle w:val="Normal"/>
        <w:ind w:firstLine="709"/>
        <w:jc w:val="left"/>
        <w:rPr>
          <w:rFonts w:eastAsia="Times New Roman"/>
          <w:b/>
        </w:rPr>
      </w:pPr>
      <w:r>
        <w:rPr>
          <w:rFonts w:eastAsia="Times New Roman"/>
          <w:b/>
        </w:rPr>
      </w:r>
    </w:p>
    <w:p>
      <w:pPr>
        <w:pStyle w:val="Normal"/>
        <w:ind w:firstLine="709"/>
        <w:jc w:val="left"/>
        <w:rPr>
          <w:rFonts w:eastAsia="Times New Roman"/>
          <w:b/>
        </w:rPr>
      </w:pPr>
      <w:r>
        <w:rPr>
          <w:rFonts w:eastAsia="Times New Roman"/>
          <w:b/>
        </w:rPr>
        <w:t>4. Критерии отбора Участника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ab/>
        <w:t>4.1. Исполнитель для выполнения заявленных услуг, должен обладать необходимой квалификацией и опытом оказания аналогичных услуг.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>4.2. Наличие кадрового состава: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>4.2.1. Иметь минимально необходимое для выполнения работ количество квалифицированного персонала (оформленного в соответствии с Гражданским Кодексом Российской Федерации или привлекаемого по трудовым либо гражданско-правовым договорам, либо планируемого к привлечению), указанного в Таблице 1.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>Таблица 1:</w:t>
      </w:r>
    </w:p>
    <w:tbl>
      <w:tblPr>
        <w:tblW w:w="9497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5860"/>
        <w:gridCol w:w="2928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textAlignment w:val="baseline"/>
              <w:rPr>
                <w:rFonts w:eastAsia="Times New Roman"/>
                <w:bCs/>
                <w:i/>
                <w:i/>
                <w:sz w:val="25"/>
                <w:szCs w:val="25"/>
              </w:rPr>
            </w:pPr>
            <w:r>
              <w:rPr>
                <w:rFonts w:eastAsia="Times New Roman"/>
                <w:bCs/>
                <w:i/>
                <w:sz w:val="25"/>
                <w:szCs w:val="25"/>
              </w:rPr>
              <w:t xml:space="preserve">№ </w:t>
            </w:r>
            <w:r>
              <w:rPr>
                <w:rFonts w:eastAsia="Times New Roman"/>
                <w:bCs/>
                <w:i/>
                <w:sz w:val="25"/>
                <w:szCs w:val="25"/>
              </w:rPr>
              <w:t>п/п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textAlignment w:val="baseline"/>
              <w:rPr>
                <w:rFonts w:eastAsia="Times New Roman"/>
                <w:bCs/>
                <w:i/>
                <w:i/>
                <w:sz w:val="25"/>
                <w:szCs w:val="25"/>
              </w:rPr>
            </w:pPr>
            <w:r>
              <w:rPr>
                <w:rFonts w:eastAsia="Times New Roman"/>
                <w:bCs/>
                <w:i/>
                <w:sz w:val="25"/>
                <w:szCs w:val="25"/>
              </w:rPr>
              <w:t>Персонал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textAlignment w:val="baseline"/>
              <w:rPr>
                <w:rFonts w:eastAsia="Times New Roman"/>
                <w:bCs/>
                <w:i/>
                <w:i/>
                <w:sz w:val="25"/>
                <w:szCs w:val="25"/>
              </w:rPr>
            </w:pPr>
            <w:r>
              <w:rPr>
                <w:rFonts w:eastAsia="Times New Roman"/>
                <w:bCs/>
                <w:i/>
                <w:sz w:val="25"/>
                <w:szCs w:val="25"/>
              </w:rPr>
              <w:t>Минимальное количество, чел</w:t>
            </w:r>
          </w:p>
        </w:tc>
      </w:tr>
      <w:tr>
        <w:trPr>
          <w:trHeight w:val="448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textAlignment w:val="baseline"/>
              <w:rPr>
                <w:rFonts w:eastAsia="Times New Roman"/>
                <w:bCs/>
                <w:sz w:val="25"/>
                <w:szCs w:val="25"/>
              </w:rPr>
            </w:pPr>
            <w:r>
              <w:rPr>
                <w:rFonts w:eastAsia="Times New Roman"/>
                <w:bCs/>
                <w:sz w:val="25"/>
                <w:szCs w:val="25"/>
              </w:rPr>
              <w:t>1.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firstLine="72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Электромонтер ОПС 3 или 4 разряда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>
        <w:trPr>
          <w:trHeight w:val="35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textAlignment w:val="baseline"/>
              <w:rPr>
                <w:rFonts w:eastAsia="Times New Roman"/>
                <w:bCs/>
                <w:sz w:val="25"/>
                <w:szCs w:val="25"/>
              </w:rPr>
            </w:pPr>
            <w:r>
              <w:rPr>
                <w:rFonts w:eastAsia="Times New Roman"/>
                <w:bCs/>
                <w:sz w:val="25"/>
                <w:szCs w:val="25"/>
              </w:rPr>
              <w:t>2.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ind w:firstLine="720"/>
              <w:rPr>
                <w:rFonts w:eastAsia="Times New Roman"/>
                <w:sz w:val="24"/>
                <w:szCs w:val="24"/>
                <w:vertAlign w:val="subscript"/>
              </w:rPr>
            </w:pPr>
            <w:r>
              <w:rPr>
                <w:rFonts w:eastAsia="Times New Roman"/>
                <w:sz w:val="24"/>
                <w:szCs w:val="24"/>
              </w:rPr>
              <w:t>Инженер</w:t>
            </w:r>
            <w:r>
              <w:rPr>
                <w:rStyle w:val="FootnoteReference"/>
                <w:rFonts w:eastAsia="Times New Roman"/>
                <w:sz w:val="24"/>
                <w:szCs w:val="24"/>
              </w:rPr>
              <w:footnoteReference w:id="2"/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</w:tr>
      <w:tr>
        <w:trPr>
          <w:trHeight w:val="359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textAlignment w:val="baseline"/>
              <w:rPr>
                <w:rFonts w:eastAsia="Times New Roman"/>
                <w:bCs/>
                <w:sz w:val="25"/>
                <w:szCs w:val="25"/>
              </w:rPr>
            </w:pPr>
            <w:r>
              <w:rPr>
                <w:rFonts w:eastAsia="Times New Roman"/>
                <w:bCs/>
                <w:sz w:val="25"/>
                <w:szCs w:val="25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textAlignment w:val="baseline"/>
              <w:rPr>
                <w:rFonts w:eastAsia="Times New Roman"/>
                <w:bCs/>
                <w:i/>
                <w:i/>
                <w:sz w:val="25"/>
                <w:szCs w:val="25"/>
              </w:rPr>
            </w:pPr>
            <w:r>
              <w:rPr>
                <w:rFonts w:eastAsia="Times New Roman"/>
                <w:bCs/>
                <w:i/>
                <w:sz w:val="25"/>
                <w:szCs w:val="25"/>
              </w:rPr>
              <w:t>Всего: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eastAsia="Times New Roman"/>
                <w:bCs/>
                <w:sz w:val="25"/>
                <w:szCs w:val="25"/>
                <w:highlight w:val="yellow"/>
              </w:rPr>
            </w:pPr>
            <w:r>
              <w:rPr>
                <w:rFonts w:eastAsia="Times New Roman"/>
                <w:bCs/>
                <w:sz w:val="25"/>
                <w:szCs w:val="25"/>
              </w:rPr>
              <w:t>3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4.3. Кадровый ресурс для оказания услуг должен быть подготовлен для выполнения работ на высоте в соответствии с требованиями п. 7. </w:t>
      </w:r>
      <w:r>
        <w:rPr>
          <w:rFonts w:eastAsia="Times New Roman"/>
          <w:b/>
          <w:bCs/>
          <w:sz w:val="25"/>
          <w:szCs w:val="25"/>
        </w:rPr>
        <w:t xml:space="preserve">Правила по охране труда при работе на высоте (утверждённых приказом Минтруда России от </w:t>
      </w:r>
      <w:r>
        <w:rPr>
          <w:rFonts w:eastAsia="Times New Roman"/>
          <w:b/>
          <w:bCs/>
          <w:sz w:val="25"/>
          <w:szCs w:val="25"/>
        </w:rPr>
        <w:t>16</w:t>
      </w:r>
      <w:r>
        <w:rPr>
          <w:rFonts w:eastAsia="Times New Roman"/>
          <w:b/>
          <w:bCs/>
          <w:sz w:val="25"/>
          <w:szCs w:val="25"/>
        </w:rPr>
        <w:t>.</w:t>
      </w:r>
      <w:r>
        <w:rPr>
          <w:rFonts w:eastAsia="Times New Roman"/>
          <w:b/>
          <w:bCs/>
          <w:sz w:val="25"/>
          <w:szCs w:val="25"/>
        </w:rPr>
        <w:t>11</w:t>
      </w:r>
      <w:r>
        <w:rPr>
          <w:rFonts w:eastAsia="Times New Roman"/>
          <w:b/>
          <w:bCs/>
          <w:sz w:val="25"/>
          <w:szCs w:val="25"/>
        </w:rPr>
        <w:t>.20</w:t>
      </w:r>
      <w:r>
        <w:rPr>
          <w:rFonts w:eastAsia="Times New Roman"/>
          <w:b/>
          <w:bCs/>
          <w:sz w:val="25"/>
          <w:szCs w:val="25"/>
        </w:rPr>
        <w:t>20</w:t>
      </w:r>
      <w:r>
        <w:rPr>
          <w:rFonts w:eastAsia="Times New Roman"/>
          <w:b/>
          <w:bCs/>
          <w:sz w:val="25"/>
          <w:szCs w:val="25"/>
        </w:rPr>
        <w:t xml:space="preserve"> № </w:t>
      </w:r>
      <w:r>
        <w:rPr>
          <w:rFonts w:eastAsia="Times New Roman"/>
          <w:b/>
          <w:bCs/>
          <w:sz w:val="25"/>
          <w:szCs w:val="25"/>
        </w:rPr>
        <w:t>782</w:t>
      </w:r>
      <w:r>
        <w:rPr>
          <w:rFonts w:eastAsia="Times New Roman"/>
          <w:b/>
          <w:bCs/>
          <w:sz w:val="25"/>
          <w:szCs w:val="25"/>
        </w:rPr>
        <w:t xml:space="preserve"> Н «Об утверждении правил по охране труда при работе на высоте») </w:t>
      </w:r>
      <w:r>
        <w:rPr>
          <w:rFonts w:eastAsia="Times New Roman"/>
          <w:bCs/>
          <w:sz w:val="25"/>
          <w:szCs w:val="25"/>
        </w:rPr>
        <w:t>и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bCs/>
          <w:sz w:val="25"/>
          <w:szCs w:val="25"/>
        </w:rPr>
        <w:t>данные сведения должны быть подтверждены копиями протоколов, удостоверений по проверке знаний по охране труда при работе на высоте</w:t>
      </w:r>
      <w:r>
        <w:rPr>
          <w:rStyle w:val="FootnoteReference"/>
          <w:rFonts w:eastAsia="Times New Roman"/>
          <w:bCs/>
          <w:sz w:val="25"/>
          <w:szCs w:val="25"/>
        </w:rPr>
        <w:footnoteReference w:id="3"/>
      </w:r>
      <w:r>
        <w:rPr>
          <w:rFonts w:eastAsia="Times New Roman"/>
          <w:bCs/>
          <w:sz w:val="25"/>
          <w:szCs w:val="25"/>
        </w:rPr>
        <w:t>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567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rPr>
          <w:rFonts w:eastAsia="Times New Roman"/>
          <w:b/>
          <w:sz w:val="25"/>
          <w:szCs w:val="25"/>
        </w:rPr>
      </w:pPr>
      <w:r>
        <w:rPr>
          <w:rFonts w:eastAsia="Times New Roman"/>
          <w:b/>
          <w:sz w:val="25"/>
          <w:szCs w:val="25"/>
        </w:rPr>
        <w:tab/>
        <w:t>4. Основные требования к оказываемым услугам</w:t>
      </w:r>
    </w:p>
    <w:p>
      <w:pPr>
        <w:pStyle w:val="Normal"/>
        <w:ind w:firstLine="709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4.1. </w:t>
      </w:r>
      <w:r>
        <w:rPr>
          <w:rFonts w:eastAsia="Times New Roman"/>
          <w:color w:val="000000"/>
          <w:sz w:val="25"/>
          <w:szCs w:val="25"/>
        </w:rPr>
        <w:t xml:space="preserve">Исполнитель производит регламентные работы, отражённые в </w:t>
      </w:r>
      <w:r>
        <w:rPr>
          <w:rFonts w:eastAsia="Times New Roman"/>
          <w:b/>
          <w:color w:val="000000"/>
          <w:sz w:val="25"/>
          <w:szCs w:val="25"/>
        </w:rPr>
        <w:t xml:space="preserve">Приложении 2 </w:t>
      </w:r>
      <w:r>
        <w:rPr>
          <w:rFonts w:eastAsia="Times New Roman"/>
          <w:color w:val="000000"/>
          <w:sz w:val="25"/>
          <w:szCs w:val="25"/>
        </w:rPr>
        <w:t>Технического задания.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ab/>
      </w:r>
    </w:p>
    <w:p>
      <w:pPr>
        <w:pStyle w:val="ListParagraph"/>
        <w:widowControl w:val="false"/>
        <w:numPr>
          <w:ilvl w:val="0"/>
          <w:numId w:val="4"/>
        </w:numPr>
        <w:tabs>
          <w:tab w:val="clear" w:pos="708"/>
          <w:tab w:val="left" w:pos="0" w:leader="none"/>
        </w:tabs>
        <w:rPr>
          <w:rFonts w:eastAsia="Times New Roman"/>
          <w:b/>
          <w:sz w:val="25"/>
          <w:szCs w:val="25"/>
        </w:rPr>
      </w:pPr>
      <w:r>
        <w:rPr>
          <w:rFonts w:eastAsia="Times New Roman"/>
          <w:b/>
          <w:sz w:val="25"/>
          <w:szCs w:val="25"/>
        </w:rPr>
        <w:t>Приемка и оплата услуг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567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  </w:t>
      </w:r>
      <w:r>
        <w:rPr>
          <w:rFonts w:eastAsia="Times New Roman"/>
          <w:sz w:val="25"/>
          <w:szCs w:val="25"/>
        </w:rPr>
        <w:t>5.1.</w:t>
      </w:r>
      <w:r>
        <w:rPr>
          <w:rFonts w:eastAsia="Times New Roman"/>
          <w:b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>Приемка объемов оказываемых услуг производится по факту их выполнения в соответствие с требованиями Постановления Российского статистического агентства от 11.11.1999 № 100 «Об утверждении унифицированных форм первичной учетной документации по учету работ в капитальном строительстве и ремонтно-строительных работ», Постановления Правительства Российской Федерации от 26.12.2011 № 1137 «О формах и правилах заполнения (ведения) документов, применяемых при расчетах по налогу на добавленную стоимость».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567"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5.2</w:t>
      </w:r>
      <w:bookmarkStart w:id="0" w:name="_GoBack"/>
      <w:bookmarkEnd w:id="0"/>
      <w:r>
        <w:rPr>
          <w:rFonts w:eastAsia="Times New Roman"/>
          <w:sz w:val="25"/>
          <w:szCs w:val="25"/>
        </w:rPr>
        <w:t>. Ответственные лица от «Исполнителя», участвующие в техническом обслуживании, ведут журнал производства работ по техническому обслуживанию на объекте, представляют ответственному за системы ИТСО информацию о выполнении работ по техническому обслуживанию.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567"/>
        <w:rPr>
          <w:rFonts w:eastAsia="Times New Roman"/>
          <w:vanish/>
          <w:sz w:val="25"/>
          <w:szCs w:val="25"/>
        </w:rPr>
      </w:pPr>
      <w:r>
        <w:rPr>
          <w:rFonts w:eastAsia="Times New Roman"/>
          <w:sz w:val="25"/>
          <w:szCs w:val="25"/>
        </w:rPr>
        <w:t>5.3. «</w:t>
      </w:r>
      <w:r>
        <w:rPr>
          <w:sz w:val="25"/>
          <w:szCs w:val="25"/>
        </w:rPr>
        <w:t xml:space="preserve">Заказчик» производит оплату оказанных услуг </w:t>
      </w:r>
      <w:r>
        <w:rPr>
          <w:bCs/>
          <w:sz w:val="25"/>
          <w:szCs w:val="25"/>
        </w:rPr>
        <w:t xml:space="preserve">ежемесячно </w:t>
      </w:r>
      <w:r>
        <w:rPr>
          <w:bCs/>
          <w:i/>
          <w:sz w:val="25"/>
          <w:szCs w:val="25"/>
        </w:rPr>
        <w:t>до 30 (тридцатого) числа месяца, следующего за месяцем оказания услуг, на основании подписанных актов сдачи-приёмки оказанных услуг и предоставленных Исполнителем счета.</w:t>
      </w:r>
      <w:r>
        <w:rPr>
          <w:bCs/>
          <w:sz w:val="25"/>
          <w:szCs w:val="25"/>
        </w:rPr>
        <w:t xml:space="preserve"> </w:t>
      </w:r>
      <w:r>
        <w:rPr>
          <w:sz w:val="25"/>
          <w:szCs w:val="25"/>
        </w:rPr>
        <w:t>Оплата осуществляется путем перечисления денежных средств на расчетный счет Исполнителя или иным согласованным сторонами и незапрещенным законодательством РФ способом.</w:t>
      </w:r>
    </w:p>
    <w:p>
      <w:pPr>
        <w:pStyle w:val="ListParagraph"/>
        <w:widowControl w:val="false"/>
        <w:tabs>
          <w:tab w:val="clear" w:pos="708"/>
          <w:tab w:val="left" w:pos="0" w:leader="none"/>
          <w:tab w:val="left" w:pos="851" w:leader="none"/>
        </w:tabs>
        <w:ind w:hanging="0" w:left="1068"/>
        <w:rPr>
          <w:rFonts w:eastAsia="Times New Roman"/>
          <w:vanish/>
          <w:sz w:val="25"/>
          <w:szCs w:val="25"/>
        </w:rPr>
      </w:pPr>
      <w:r>
        <w:rPr>
          <w:rFonts w:eastAsia="Times New Roman"/>
          <w:vanish/>
          <w:sz w:val="25"/>
          <w:szCs w:val="25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</w:r>
    </w:p>
    <w:p>
      <w:pPr>
        <w:pStyle w:val="Normal"/>
        <w:ind w:firstLine="708"/>
        <w:jc w:val="center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rPr>
          <w:rFonts w:eastAsia="Times New Roman"/>
          <w:b/>
          <w:sz w:val="25"/>
          <w:szCs w:val="25"/>
        </w:rPr>
      </w:pPr>
      <w:r>
        <w:rPr>
          <w:rFonts w:eastAsia="Times New Roman"/>
          <w:b/>
          <w:sz w:val="25"/>
          <w:szCs w:val="25"/>
        </w:rPr>
        <w:tab/>
        <w:t>6. Сроки оказания услуг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6.1. Начало оказания услуг – с 01.01.2026;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ind w:firstLine="709"/>
        <w:contextualSpacing/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>6.2. Окончание срока оказания услуг – до 24</w:t>
      </w:r>
      <w:r>
        <w:rPr>
          <w:rFonts w:eastAsia="Times New Roman"/>
          <w:sz w:val="25"/>
          <w:szCs w:val="25"/>
          <w:vertAlign w:val="superscript"/>
        </w:rPr>
        <w:t>00</w:t>
      </w:r>
      <w:r>
        <w:rPr>
          <w:rFonts w:eastAsia="Times New Roman"/>
          <w:sz w:val="25"/>
          <w:szCs w:val="25"/>
        </w:rPr>
        <w:t xml:space="preserve"> 31.12.2026 года.</w:t>
      </w:r>
    </w:p>
    <w:p>
      <w:pPr>
        <w:pStyle w:val="Normal"/>
        <w:widowControl w:val="false"/>
        <w:spacing w:before="0" w:after="0"/>
        <w:ind w:hanging="1200" w:left="1560"/>
        <w:contextualSpacing/>
        <w:rPr>
          <w:rFonts w:eastAsia="Times New Roman"/>
          <w:i/>
          <w:i/>
        </w:rPr>
      </w:pPr>
      <w:r>
        <w:rPr>
          <w:rFonts w:eastAsia="Times New Roman"/>
          <w:i/>
        </w:rPr>
      </w:r>
    </w:p>
    <w:p>
      <w:pPr>
        <w:pStyle w:val="Normal"/>
        <w:widowControl w:val="false"/>
        <w:spacing w:before="0" w:after="0"/>
        <w:ind w:hanging="1560" w:left="1560"/>
        <w:contextualSpacing/>
        <w:rPr>
          <w:rFonts w:eastAsia="Times New Roman"/>
          <w:i/>
          <w:i/>
        </w:rPr>
      </w:pPr>
      <w:r>
        <w:rPr>
          <w:rFonts w:eastAsia="Times New Roman"/>
          <w:i/>
        </w:rPr>
        <w:t xml:space="preserve">Приложение: </w:t>
      </w:r>
    </w:p>
    <w:p>
      <w:pPr>
        <w:pStyle w:val="ListParagraph"/>
        <w:widowControl w:val="false"/>
        <w:numPr>
          <w:ilvl w:val="0"/>
          <w:numId w:val="3"/>
        </w:numPr>
        <w:ind w:hanging="720" w:left="720"/>
        <w:rPr>
          <w:rFonts w:eastAsia="Times New Roman"/>
          <w:i/>
          <w:i/>
        </w:rPr>
      </w:pPr>
      <w:r>
        <w:rPr>
          <w:rFonts w:eastAsia="Times New Roman"/>
          <w:i/>
        </w:rPr>
        <w:t>Наименование оборудования, планируемого к техническому обслуживанию – на 4-х л. в 1 экз.;</w:t>
      </w:r>
    </w:p>
    <w:p>
      <w:pPr>
        <w:pStyle w:val="ListParagraph"/>
        <w:widowControl w:val="false"/>
        <w:numPr>
          <w:ilvl w:val="0"/>
          <w:numId w:val="3"/>
        </w:numPr>
        <w:ind w:hanging="567" w:left="567"/>
        <w:rPr>
          <w:rFonts w:eastAsia="Times New Roman"/>
          <w:i/>
          <w:i/>
        </w:rPr>
      </w:pPr>
      <w:r>
        <w:rPr>
          <w:rFonts w:eastAsia="Times New Roman"/>
          <w:i/>
        </w:rPr>
        <w:t>Регламент работ на ТО ИТСО – на 3-х л., в 1 экз.</w:t>
      </w:r>
    </w:p>
    <w:p>
      <w:pPr>
        <w:pStyle w:val="Normal"/>
        <w:widowControl w:val="false"/>
        <w:rPr>
          <w:rFonts w:eastAsia="Times New Roman"/>
          <w:i/>
          <w:i/>
        </w:rPr>
      </w:pPr>
      <w:r>
        <w:rPr>
          <w:rFonts w:eastAsia="Times New Roman"/>
          <w:i/>
        </w:rPr>
      </w:r>
    </w:p>
    <w:p>
      <w:pPr>
        <w:pStyle w:val="Normal"/>
        <w:ind w:hanging="0" w:right="-1"/>
        <w:rPr>
          <w:rFonts w:eastAsia="Times New Roman"/>
          <w:b/>
          <w:i/>
          <w:i/>
        </w:rPr>
      </w:pPr>
      <w:r>
        <w:rPr>
          <w:rFonts w:eastAsia="Times New Roman"/>
          <w:b/>
          <w:i/>
        </w:rPr>
      </w:r>
    </w:p>
    <w:p>
      <w:pPr>
        <w:pStyle w:val="Normal"/>
        <w:ind w:hanging="0" w:right="-1"/>
        <w:rPr>
          <w:rFonts w:eastAsia="Times New Roman"/>
          <w:b/>
          <w:i/>
          <w:i/>
        </w:rPr>
      </w:pPr>
      <w:r>
        <w:rPr>
          <w:rFonts w:eastAsia="Times New Roman"/>
          <w:b/>
          <w:i/>
        </w:rPr>
      </w:r>
    </w:p>
    <w:sectPr>
      <w:headerReference w:type="first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8" w:right="850" w:gutter="0" w:header="708" w:top="993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50061517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44638403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/>
      </w:pPr>
      <w:r>
        <w:rPr>
          <w:rStyle w:val="Style14"/>
        </w:rPr>
        <w:footnoteRef/>
      </w:r>
      <w:r>
        <w:rPr/>
        <w:t xml:space="preserve"> </w:t>
      </w:r>
      <w:r>
        <w:rPr/>
        <w:t>Наличие квалификационного аттестата инженера-проектировщика по программе ИСО «ОРИОН» (желательное требование);</w:t>
      </w:r>
    </w:p>
  </w:footnote>
  <w:footnote w:id="3">
    <w:p>
      <w:pPr>
        <w:pStyle w:val="FootnoteText"/>
        <w:widowControl w:val="false"/>
        <w:rPr/>
      </w:pPr>
      <w:r>
        <w:rPr>
          <w:rStyle w:val="Style14"/>
        </w:rPr>
        <w:footnoteRef/>
      </w:r>
      <w:r>
        <w:rPr/>
        <w:t xml:space="preserve"> </w:t>
      </w:r>
      <w:r>
        <w:rPr/>
        <w:t>В связи с тем, что уличные видеокамеры по периметру здания расположены на высоте более чем 3 метра от поверхности земли.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b w:val="false"/>
        <w:szCs w:val="28"/>
        <w:rFonts w:cs="Times New Roman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5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f327f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Прилож Знак"/>
    <w:basedOn w:val="DefaultParagraphFont"/>
    <w:link w:val="Style20"/>
    <w:qFormat/>
    <w:rsid w:val="00565a40"/>
    <w:rPr>
      <w:rFonts w:ascii="Times New Roman" w:hAnsi="Times New Roman" w:eastAsia="Times New Roman" w:cs="Times New Roman"/>
      <w:b/>
      <w:sz w:val="26"/>
      <w:szCs w:val="26"/>
      <w:lang w:eastAsia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565a40"/>
    <w:rPr>
      <w:rFonts w:ascii="Tahoma" w:hAnsi="Tahoma" w:eastAsia="Calibri" w:cs="Tahoma"/>
      <w:sz w:val="16"/>
      <w:szCs w:val="16"/>
      <w:lang w:eastAsia="ru-RU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211c8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qFormat/>
    <w:rsid w:val="006211c8"/>
    <w:rPr>
      <w:rFonts w:ascii="Times New Roman" w:hAnsi="Times New Roman" w:eastAsia="Calibri" w:cs="Times New Roman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unhideWhenUsed/>
    <w:rsid w:val="00c26f48"/>
    <w:rPr>
      <w:color w:val="0000FF" w:themeColor="hyperlink"/>
      <w:u w:val="single"/>
    </w:rPr>
  </w:style>
  <w:style w:type="character" w:styleId="Style13" w:customStyle="1">
    <w:name w:val="Текст сноски Знак"/>
    <w:basedOn w:val="DefaultParagraphFont"/>
    <w:uiPriority w:val="99"/>
    <w:semiHidden/>
    <w:qFormat/>
    <w:rsid w:val="007361da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14">
    <w:name w:val="Символ сноски"/>
    <w:uiPriority w:val="99"/>
    <w:semiHidden/>
    <w:unhideWhenUsed/>
    <w:qFormat/>
    <w:rsid w:val="007361d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rong1">
    <w:name w:val="Strong1"/>
    <w:basedOn w:val="DefaultParagraphFont"/>
    <w:uiPriority w:val="22"/>
    <w:qFormat/>
    <w:rsid w:val="009327d0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44f7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544f78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544f78"/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 w:customStyle="1">
    <w:name w:val="Прилож"/>
    <w:basedOn w:val="Normal"/>
    <w:link w:val="Style9"/>
    <w:qFormat/>
    <w:rsid w:val="00565a40"/>
    <w:pPr>
      <w:widowControl w:val="false"/>
      <w:spacing w:before="0" w:after="0"/>
      <w:ind w:firstLine="709"/>
      <w:contextualSpacing/>
      <w:jc w:val="right"/>
    </w:pPr>
    <w:rPr>
      <w:rFonts w:eastAsia="Times New Roman"/>
      <w:b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565a40"/>
    <w:pPr/>
    <w:rPr>
      <w:rFonts w:ascii="Tahoma" w:hAnsi="Tahoma" w:cs="Tahoma"/>
      <w:sz w:val="16"/>
      <w:szCs w:val="16"/>
    </w:rPr>
  </w:style>
  <w:style w:type="paragraph" w:styleId="1" w:customStyle="1">
    <w:name w:val="Знак Знак Знак Знак1 Знак Знак"/>
    <w:basedOn w:val="Normal"/>
    <w:qFormat/>
    <w:rsid w:val="00f56700"/>
    <w:pPr>
      <w:tabs>
        <w:tab w:val="clear" w:pos="708"/>
        <w:tab w:val="left" w:pos="360" w:leader="none"/>
      </w:tabs>
      <w:spacing w:lineRule="exact" w:line="240" w:before="0" w:after="160"/>
      <w:jc w:val="left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211c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6211c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ca6951"/>
    <w:pPr>
      <w:spacing w:before="0" w:after="0"/>
      <w:ind w:hanging="0" w:left="720"/>
      <w:contextualSpacing/>
    </w:pPr>
    <w:rPr/>
  </w:style>
  <w:style w:type="paragraph" w:styleId="ListNum" w:customStyle="1">
    <w:name w:val="ListNum"/>
    <w:basedOn w:val="Normal"/>
    <w:qFormat/>
    <w:rsid w:val="008b3765"/>
    <w:pPr>
      <w:numPr>
        <w:ilvl w:val="0"/>
        <w:numId w:val="2"/>
      </w:numPr>
      <w:tabs>
        <w:tab w:val="clear" w:pos="708"/>
        <w:tab w:val="left" w:pos="284" w:leader="none"/>
      </w:tabs>
      <w:spacing w:before="60" w:after="0"/>
    </w:pPr>
    <w:rPr>
      <w:rFonts w:eastAsia="Times New Roman"/>
      <w:sz w:val="22"/>
      <w:szCs w:val="24"/>
    </w:rPr>
  </w:style>
  <w:style w:type="paragraph" w:styleId="FootnoteText">
    <w:name w:val="Footnote Text"/>
    <w:basedOn w:val="Normal"/>
    <w:link w:val="Style13"/>
    <w:uiPriority w:val="99"/>
    <w:semiHidden/>
    <w:unhideWhenUsed/>
    <w:rsid w:val="007361da"/>
    <w:pPr/>
    <w:rPr>
      <w:sz w:val="20"/>
      <w:szCs w:val="20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544f78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uiPriority w:val="99"/>
    <w:semiHidden/>
    <w:unhideWhenUsed/>
    <w:qFormat/>
    <w:rsid w:val="00544f78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5a40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e0152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">
    <w:name w:val="Сетка таблицы2"/>
    <w:basedOn w:val="a1"/>
    <w:uiPriority w:val="59"/>
    <w:rsid w:val="006e33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drsk.ru" TargetMode="External"/><Relationship Id="rId4" Type="http://schemas.openxmlformats.org/officeDocument/2006/relationships/hyperlink" Target="http://www.drsk.ru/" TargetMode="External"/><Relationship Id="rId5" Type="http://schemas.openxmlformats.org/officeDocument/2006/relationships/hyperlink" Target="https://base.garant.ru/72295038/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7B68E-7DB1-475C-A3AF-145C5202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AlterOffice/2026.2.1.0$Linux_X86_64 LibreOffice_project/f008988ffacaa0b2bf57911c2759d08ca79831df</Application>
  <AppVersion>15.0000</AppVersion>
  <Pages>3</Pages>
  <Words>808</Words>
  <Characters>5601</Characters>
  <CharactersWithSpaces>6362</CharactersWithSpaces>
  <Paragraphs>63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2023-10-23T05:38:00Z</dcterms:created>
  <dc:creator>Фоменко Светлана Анатольевна</dc:creator>
  <dc:description/>
  <dc:language>ru-RU</dc:language>
  <cp:lastModifiedBy>yariy_vs</cp:lastModifiedBy>
  <cp:lastPrinted>2022-09-19T06:44:00Z</cp:lastPrinted>
  <dcterms:modified xsi:type="dcterms:W3CDTF">2026-10-23T13:27:31Z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