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3048000</wp:posOffset>
            </wp:positionH>
            <wp:positionV relativeFrom="page">
              <wp:posOffset>714375</wp:posOffset>
            </wp:positionV>
            <wp:extent cx="1452880" cy="534035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70" t="-1000" r="-370" b="-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p>
      <w:pPr>
        <w:pStyle w:val="11"/>
        <w:numPr>
          <w:ilvl w:val="0"/>
          <w:numId w:val="2"/>
        </w:numPr>
        <w:tabs>
          <w:tab w:val="clear" w:pos="708"/>
        </w:tabs>
        <w:spacing w:before="0" w:after="0"/>
        <w:ind w:hanging="0" w:left="0" w:right="0"/>
        <w:jc w:val="center"/>
        <w:rPr>
          <w:rFonts w:eastAsia="Times New Roman" w:cs="Arial"/>
          <w:b/>
          <w:bCs/>
          <w:sz w:val="10"/>
          <w:szCs w:val="10"/>
        </w:rPr>
      </w:pPr>
      <w:r>
        <w:rPr>
          <w:rFonts w:eastAsia="Times New Roman" w:cs="Arial"/>
          <w:b/>
          <w:bCs/>
          <w:sz w:val="10"/>
          <w:szCs w:val="10"/>
        </w:rPr>
      </w:r>
    </w:p>
    <w:tbl>
      <w:tblPr>
        <w:tblW w:w="1017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</w:tblGrid>
      <w:tr>
        <w:trPr/>
        <w:tc>
          <w:tcPr>
            <w:tcW w:w="10173" w:type="dxa"/>
            <w:tcBorders/>
          </w:tcPr>
          <w:p>
            <w:pPr>
              <w:pStyle w:val="Style14"/>
              <w:widowControl w:val="false"/>
              <w:bidi w:val="0"/>
              <w:spacing w:before="60" w:after="0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</w:tc>
      </w:tr>
      <w:tr>
        <w:trPr>
          <w:trHeight w:val="87" w:hRule="atLeast"/>
        </w:trPr>
        <w:tc>
          <w:tcPr>
            <w:tcW w:w="10173" w:type="dxa"/>
            <w:tcBorders/>
          </w:tcPr>
          <w:p>
            <w:pPr>
              <w:pStyle w:val="Style14"/>
              <w:widowControl w:val="false"/>
              <w:bidi w:val="0"/>
              <w:snapToGrid w:val="false"/>
              <w:jc w:val="center"/>
              <w:rPr>
                <w:rFonts w:ascii="Arial" w:hAnsi="Arial" w:eastAsia="Times New Roman" w:cs="Arial"/>
                <w:b/>
                <w:bCs/>
                <w:sz w:val="2"/>
                <w:szCs w:val="2"/>
              </w:rPr>
            </w:pPr>
            <w:r>
              <w:rPr>
                <w:rFonts w:eastAsia="Times New Roman" w:cs="Arial" w:ascii="Arial" w:hAnsi="Arial"/>
                <w:b/>
                <w:bCs/>
                <w:sz w:val="2"/>
                <w:szCs w:val="2"/>
              </w:rPr>
            </w:r>
          </w:p>
        </w:tc>
      </w:tr>
      <w:tr>
        <w:trPr>
          <w:trHeight w:val="227" w:hRule="atLeast"/>
        </w:trPr>
        <w:tc>
          <w:tcPr>
            <w:tcW w:w="10173" w:type="dxa"/>
            <w:tcBorders/>
            <w:vAlign w:val="center"/>
          </w:tcPr>
          <w:p>
            <w:pPr>
              <w:pStyle w:val="Style14"/>
              <w:widowControl w:val="false"/>
              <w:bidi w:val="0"/>
              <w:jc w:val="center"/>
              <w:rPr/>
            </w:pPr>
            <w:r>
              <w:rPr>
                <w:rStyle w:val="Style9"/>
                <w:rFonts w:eastAsia="Times New Roman" w:cs="Arial" w:ascii="Arial" w:hAnsi="Arial"/>
                <w:sz w:val="18"/>
                <w:szCs w:val="16"/>
              </w:rPr>
              <w:t>ул. Шевченко, 32., г. Благовещенск, Амурская область, Российская Федерация, 675004</w:t>
            </w:r>
          </w:p>
        </w:tc>
      </w:tr>
      <w:tr>
        <w:trPr>
          <w:trHeight w:val="283" w:hRule="atLeast"/>
        </w:trPr>
        <w:tc>
          <w:tcPr>
            <w:tcW w:w="10173" w:type="dxa"/>
            <w:tcBorders/>
            <w:vAlign w:val="center"/>
          </w:tcPr>
          <w:p>
            <w:pPr>
              <w:pStyle w:val="Style14"/>
              <w:widowControl w:val="false"/>
              <w:bidi w:val="0"/>
              <w:jc w:val="center"/>
              <w:rPr/>
            </w:pPr>
            <w:r>
              <w:rPr>
                <w:rStyle w:val="Style9"/>
                <w:rFonts w:eastAsia="Times New Roman" w:cs="Arial" w:ascii="Arial" w:hAnsi="Arial"/>
                <w:sz w:val="18"/>
                <w:szCs w:val="18"/>
              </w:rPr>
              <w:t>факс: +7(4162) 397</w:t>
            </w:r>
            <w:r>
              <w:rPr>
                <w:rStyle w:val="Style9"/>
                <w:rFonts w:eastAsia="Times New Roman" w:cs="Arial" w:ascii="Arial" w:hAnsi="Arial"/>
                <w:sz w:val="18"/>
                <w:szCs w:val="18"/>
                <w:lang w:val="en-US"/>
              </w:rPr>
              <w:t>-902</w:t>
            </w:r>
            <w:r>
              <w:rPr>
                <w:rStyle w:val="Style9"/>
                <w:rFonts w:eastAsia="Times New Roman" w:cs="Arial" w:ascii="Arial" w:hAnsi="Arial"/>
                <w:sz w:val="18"/>
                <w:szCs w:val="18"/>
              </w:rPr>
              <w:t xml:space="preserve"> / +7(4162) 397</w:t>
            </w:r>
            <w:r>
              <w:rPr>
                <w:rStyle w:val="Style9"/>
                <w:rFonts w:eastAsia="Times New Roman" w:cs="Arial" w:ascii="Arial" w:hAnsi="Arial"/>
                <w:sz w:val="18"/>
                <w:szCs w:val="18"/>
                <w:lang w:val="en-US"/>
              </w:rPr>
              <w:t>-903</w:t>
            </w:r>
            <w:r>
              <w:rPr>
                <w:rStyle w:val="Style9"/>
                <w:rFonts w:eastAsia="Times New Roman" w:cs="Arial" w:ascii="Arial" w:hAnsi="Arial"/>
                <w:sz w:val="18"/>
                <w:szCs w:val="18"/>
              </w:rPr>
              <w:t>; тел: +7(4162) 39-73-59</w:t>
            </w:r>
          </w:p>
        </w:tc>
      </w:tr>
      <w:tr>
        <w:trPr>
          <w:trHeight w:val="80" w:hRule="atLeast"/>
        </w:trPr>
        <w:tc>
          <w:tcPr>
            <w:tcW w:w="10173" w:type="dxa"/>
            <w:tcBorders/>
            <w:vAlign w:val="center"/>
          </w:tcPr>
          <w:p>
            <w:pPr>
              <w:pStyle w:val="Style14"/>
              <w:widowControl w:val="false"/>
              <w:bidi w:val="0"/>
              <w:jc w:val="center"/>
              <w:rPr/>
            </w:pPr>
            <w:hyperlink r:id="rId3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  <w:lang w:val="en-US"/>
                </w:rPr>
                <w:t>doc</w:t>
              </w:r>
            </w:hyperlink>
            <w:hyperlink r:id="rId4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</w:rPr>
                <w:t>@</w:t>
              </w:r>
            </w:hyperlink>
            <w:hyperlink r:id="rId5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  <w:lang w:val="en-US"/>
                </w:rPr>
                <w:t>drsk</w:t>
              </w:r>
            </w:hyperlink>
            <w:hyperlink r:id="rId6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</w:rPr>
                <w:t>.</w:t>
              </w:r>
            </w:hyperlink>
            <w:hyperlink r:id="rId7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  <w:lang w:val="en-US"/>
                </w:rPr>
                <w:t>ru</w:t>
              </w:r>
            </w:hyperlink>
            <w:r>
              <w:rPr>
                <w:rStyle w:val="Style10"/>
                <w:rFonts w:eastAsia="Times New Roman" w:cs="Arial" w:ascii="Arial" w:hAnsi="Arial"/>
                <w:sz w:val="18"/>
                <w:szCs w:val="18"/>
              </w:rPr>
              <w:t xml:space="preserve">; </w:t>
            </w:r>
            <w:hyperlink r:id="rId8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  <w:lang w:val="en-US"/>
                </w:rPr>
                <w:t>www</w:t>
              </w:r>
            </w:hyperlink>
            <w:hyperlink r:id="rId9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</w:rPr>
                <w:t>.</w:t>
              </w:r>
            </w:hyperlink>
            <w:hyperlink r:id="rId10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  <w:lang w:val="en-US"/>
                </w:rPr>
                <w:t>drsk</w:t>
              </w:r>
            </w:hyperlink>
            <w:hyperlink r:id="rId11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</w:rPr>
                <w:t>.</w:t>
              </w:r>
            </w:hyperlink>
            <w:hyperlink r:id="rId12" w:tgtFrame="_blank">
              <w:r>
                <w:rPr>
                  <w:rStyle w:val="Hyperlink"/>
                  <w:rFonts w:eastAsia="Times New Roman" w:cs="Arial" w:ascii="Arial" w:hAnsi="Arial"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>
        <w:trPr>
          <w:trHeight w:val="80" w:hRule="atLeast"/>
        </w:trPr>
        <w:tc>
          <w:tcPr>
            <w:tcW w:w="10173" w:type="dxa"/>
            <w:tcBorders>
              <w:bottom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bidi w:val="0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Style14"/>
        <w:widowControl w:val="false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Запрос технико-коммерческих предложений в рамках Упрощенной закупки по лоту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01-ПРО ДЭК-202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-ДРСК 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2"/>
          <w:szCs w:val="24"/>
          <w:u w:val="none"/>
          <w:em w:val="none"/>
        </w:rPr>
        <w:t>О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  <w:t>КДП2 43.21.10 Услуги по техническому обслуживанию инженерно-технических средств охраны, здания и территории ИА АО «ДРСК»</w:t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Акционерное общество «Дальневосточная распределительная сетевая компания»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Закупке № 4</w:t>
      </w:r>
      <w:r>
        <w:rPr>
          <w:sz w:val="24"/>
          <w:szCs w:val="24"/>
        </w:rPr>
        <w:t>36</w:t>
      </w:r>
      <w:r>
        <w:rPr>
          <w:sz w:val="24"/>
          <w:szCs w:val="24"/>
        </w:rPr>
        <w:t>01-ПРО ДЭК-202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-ДРСК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szCs w:val="24"/>
          <w:u w:val="none"/>
          <w:em w:val="none"/>
        </w:rPr>
        <w:t>О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  <w:t>КДП2 43.21.10 Услуги по техническому обслуживанию инженерно-технических средств охраны, здания и территории ИА АО «ДРСК»</w:t>
      </w:r>
      <w:r>
        <w:rPr>
          <w:sz w:val="24"/>
          <w:szCs w:val="24"/>
        </w:rPr>
        <w:t>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качеству и объёму услуг приведены в приложении № 2 к настоящему запросу; существенные условия будущего договора (в том числе, условия оплаты и гарантийных обязательств) – см. приложение № 4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</w:t>
      </w:r>
    </w:p>
    <w:p>
      <w:pPr>
        <w:pStyle w:val="Normal"/>
        <w:spacing w:before="120" w:after="0"/>
        <w:ind w:hanging="0" w:left="567"/>
        <w:rPr>
          <w:sz w:val="24"/>
          <w:szCs w:val="24"/>
        </w:rPr>
      </w:pPr>
      <w:r>
        <w:rPr>
          <w:b/>
          <w:i/>
          <w:sz w:val="24"/>
          <w:szCs w:val="24"/>
        </w:rPr>
        <w:t>57</w:t>
      </w:r>
      <w:r>
        <w:rPr>
          <w:b/>
          <w:i/>
          <w:sz w:val="24"/>
          <w:szCs w:val="24"/>
        </w:rPr>
        <w:t>2 108,20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руб. без НДС;</w:t>
      </w:r>
      <w:r>
        <w:rPr/>
        <w:t xml:space="preserve"> 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>69</w:t>
      </w:r>
      <w:r>
        <w:rPr>
          <w:b/>
          <w:i/>
          <w:sz w:val="24"/>
          <w:szCs w:val="24"/>
        </w:rPr>
        <w:t>7 972,00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руб. с НДС.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i/>
          <w:sz w:val="24"/>
          <w:szCs w:val="24"/>
        </w:rPr>
        <w:t xml:space="preserve">[для юридических лиц]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i/>
          <w:sz w:val="24"/>
          <w:szCs w:val="24"/>
        </w:rPr>
        <w:t>[для физических лиц];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№ 2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предлагаемых услуг,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№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оказания требуемого объема услуг (см.</w:t>
      </w:r>
      <w:r>
        <w:rPr>
          <w:sz w:val="24"/>
          <w:szCs w:val="24"/>
          <w:lang w:eastAsia="en-US"/>
        </w:rPr>
        <w:t> приложение №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оказания услуг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№ 4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НДС и с учетом НДС);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Выписка из ЕГРЮЛ.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</w:t>
      </w:r>
      <w:r>
        <w:rPr>
          <w:b/>
          <w:i/>
          <w:sz w:val="24"/>
          <w:szCs w:val="24"/>
        </w:rPr>
        <w:t>03.11</w:t>
      </w:r>
      <w:r>
        <w:rPr>
          <w:b/>
          <w:i/>
          <w:sz w:val="24"/>
          <w:szCs w:val="24"/>
        </w:rPr>
        <w:t>.202</w:t>
      </w:r>
      <w:r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до 1</w:t>
      </w:r>
      <w:r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>:00 (Амурского времени)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0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</w:t>
      </w:r>
      <w:r>
        <w:rPr>
          <w:rStyle w:val="Hyperlink"/>
          <w:color w:val="000000"/>
          <w:sz w:val="24"/>
          <w:szCs w:val="24"/>
          <w:u w:val="none"/>
          <w:lang w:val="en-US"/>
        </w:rPr>
        <w:t>на ЭТП РАД</w:t>
      </w:r>
      <w:r>
        <w:rPr/>
        <w:t xml:space="preserve">  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i/>
          <w:sz w:val="24"/>
          <w:szCs w:val="24"/>
        </w:rPr>
        <w:t>Приложения:</w:t>
      </w:r>
      <w:r>
        <w:rPr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851" w:leader="none"/>
        </w:tabs>
        <w:rPr>
          <w:i/>
          <w:i/>
          <w:sz w:val="24"/>
          <w:szCs w:val="24"/>
        </w:rPr>
      </w:pPr>
      <w:r>
        <w:rPr>
          <w:i/>
          <w:sz w:val="24"/>
          <w:szCs w:val="24"/>
        </w:rPr>
        <w:t>1.</w:t>
        <w:tab/>
        <w:t xml:space="preserve">Форма предложения – на 1 л.;  </w:t>
      </w:r>
    </w:p>
    <w:p>
      <w:pPr>
        <w:pStyle w:val="Normal"/>
        <w:tabs>
          <w:tab w:val="clear" w:pos="708"/>
          <w:tab w:val="left" w:pos="851" w:leader="none"/>
        </w:tabs>
        <w:rPr>
          <w:i/>
          <w:i/>
          <w:sz w:val="24"/>
          <w:szCs w:val="24"/>
        </w:rPr>
      </w:pPr>
      <w:r>
        <w:rPr>
          <w:i/>
          <w:sz w:val="24"/>
          <w:szCs w:val="24"/>
        </w:rPr>
        <w:t>2.</w:t>
        <w:tab/>
        <w:t xml:space="preserve">Технические требования на обслуживание ИТСО – на 3 л. с двумя приложениями; </w:t>
      </w:r>
    </w:p>
    <w:p>
      <w:pPr>
        <w:pStyle w:val="Normal"/>
        <w:tabs>
          <w:tab w:val="clear" w:pos="708"/>
          <w:tab w:val="left" w:pos="851" w:leader="none"/>
        </w:tabs>
        <w:rPr>
          <w:i/>
          <w:i/>
          <w:sz w:val="24"/>
          <w:szCs w:val="24"/>
        </w:rPr>
      </w:pPr>
      <w:r>
        <w:rPr>
          <w:i/>
          <w:sz w:val="24"/>
          <w:szCs w:val="24"/>
        </w:rPr>
        <w:t>3.</w:t>
        <w:tab/>
        <w:t>Анкета участника запроса цен – на 1 л;</w:t>
      </w:r>
    </w:p>
    <w:p>
      <w:pPr>
        <w:pStyle w:val="Normal"/>
        <w:tabs>
          <w:tab w:val="clear" w:pos="708"/>
          <w:tab w:val="left" w:pos="851" w:leader="none"/>
        </w:tabs>
        <w:rPr>
          <w:i/>
          <w:i/>
          <w:sz w:val="24"/>
          <w:szCs w:val="24"/>
        </w:rPr>
      </w:pPr>
      <w:r>
        <w:rPr>
          <w:i/>
          <w:sz w:val="24"/>
          <w:szCs w:val="24"/>
        </w:rPr>
        <w:t>4.</w:t>
        <w:tab/>
        <w:t>Проект договора эл. копия.</w:t>
      </w:r>
    </w:p>
    <w:sectPr>
      <w:footerReference w:type="default" r:id="rId13"/>
      <w:type w:val="nextPage"/>
      <w:pgSz w:w="11906" w:h="16838"/>
      <w:pgMar w:left="1134" w:right="567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c57a1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9a71d4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9a71d4"/>
    <w:pPr>
      <w:keepNext w:val="true"/>
      <w:numPr>
        <w:ilvl w:val="2"/>
        <w:numId w:val="2"/>
      </w:numPr>
      <w:suppressAutoHyphens w:val="true"/>
      <w:spacing w:before="120" w:after="120"/>
      <w:jc w:val="left"/>
      <w:outlineLvl w:val="2"/>
    </w:pPr>
    <w:rPr>
      <w:rFonts w:eastAsia="Times New Roman"/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9a71d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hanging="0" w:left="1134"/>
      <w:outlineLvl w:val="3"/>
    </w:pPr>
    <w:rPr>
      <w:rFonts w:eastAsia="Times New Roman"/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8c57a1"/>
    <w:rPr>
      <w:rFonts w:ascii="Tahoma" w:hAnsi="Tahoma" w:eastAsia="Calibri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33445a"/>
    <w:rPr>
      <w:color w:val="0000FF" w:themeColor="hyperlink"/>
      <w:u w:val="single"/>
    </w:rPr>
  </w:style>
  <w:style w:type="character" w:styleId="Style7" w:customStyle="1">
    <w:name w:val="Верхний колонтитул Знак"/>
    <w:basedOn w:val="DefaultParagraphFont"/>
    <w:uiPriority w:val="99"/>
    <w:qFormat/>
    <w:rsid w:val="00c22786"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Style8" w:customStyle="1">
    <w:name w:val="Нижний колонтитул Знак"/>
    <w:basedOn w:val="DefaultParagraphFont"/>
    <w:uiPriority w:val="99"/>
    <w:qFormat/>
    <w:rsid w:val="00c22786"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9a71d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9a71d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9a71d4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character" w:styleId="Style9">
    <w:name w:val="Основной шрифт абзаца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0">
    <w:name w:val="Гиперссылка"/>
    <w:qFormat/>
    <w:rPr>
      <w:color w:val="0000FF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8c57a1"/>
    <w:pPr/>
    <w:rPr>
      <w:rFonts w:ascii="Tahoma" w:hAnsi="Tahoma" w:cs="Tahoma"/>
      <w:sz w:val="16"/>
      <w:szCs w:val="16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unhideWhenUsed/>
    <w:rsid w:val="00c2278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8"/>
    <w:uiPriority w:val="99"/>
    <w:unhideWhenUsed/>
    <w:rsid w:val="00c2278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9a71d4"/>
    <w:pPr>
      <w:numPr>
        <w:ilvl w:val="0"/>
        <w:numId w:val="2"/>
      </w:numPr>
      <w:suppressAutoHyphens w:val="true"/>
      <w:spacing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tyle14">
    <w:name w:val="Обычный"/>
    <w:qFormat/>
    <w:pPr>
      <w:widowControl w:val="false"/>
      <w:suppressAutoHyphens w:val="true"/>
      <w:bidi w:val="0"/>
      <w:spacing w:before="0" w:after="0"/>
      <w:jc w:val="both"/>
    </w:pPr>
    <w:rPr>
      <w:rFonts w:ascii="Times New Roman" w:hAnsi="Times New Roman" w:eastAsia="WenQuanYi Zen Hei Sharp" w:cs="Lohit Devanagari"/>
      <w:color w:val="auto"/>
      <w:kern w:val="0"/>
      <w:sz w:val="26"/>
      <w:szCs w:val="26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8c57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drsk.ru" TargetMode="External"/><Relationship Id="rId4" Type="http://schemas.openxmlformats.org/officeDocument/2006/relationships/hyperlink" Target="mailto:doc@drsk.ru" TargetMode="External"/><Relationship Id="rId5" Type="http://schemas.openxmlformats.org/officeDocument/2006/relationships/hyperlink" Target="mailto:doc@drsk.ru" TargetMode="External"/><Relationship Id="rId6" Type="http://schemas.openxmlformats.org/officeDocument/2006/relationships/hyperlink" Target="mailto:doc@drsk.ru" TargetMode="External"/><Relationship Id="rId7" Type="http://schemas.openxmlformats.org/officeDocument/2006/relationships/hyperlink" Target="mailto:doc@drsk.ru" TargetMode="External"/><Relationship Id="rId8" Type="http://schemas.openxmlformats.org/officeDocument/2006/relationships/hyperlink" Target="http://www.drsk.ru/" TargetMode="External"/><Relationship Id="rId9" Type="http://schemas.openxmlformats.org/officeDocument/2006/relationships/hyperlink" Target="http://www.drsk.ru/" TargetMode="External"/><Relationship Id="rId10" Type="http://schemas.openxmlformats.org/officeDocument/2006/relationships/hyperlink" Target="http://www.drsk.ru/" TargetMode="External"/><Relationship Id="rId11" Type="http://schemas.openxmlformats.org/officeDocument/2006/relationships/hyperlink" Target="http://www.drsk.ru/" TargetMode="External"/><Relationship Id="rId12" Type="http://schemas.openxmlformats.org/officeDocument/2006/relationships/hyperlink" Target="http://www.drsk.ru/" TargetMode="External"/><Relationship Id="rId13" Type="http://schemas.openxmlformats.org/officeDocument/2006/relationships/footer" Target="footer1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AlterOffice/2026.2.1.0$Linux_X86_64 LibreOffice_project/f008988ffacaa0b2bf57911c2759d08ca79831df</Application>
  <AppVersion>15.0000</AppVersion>
  <Pages>2</Pages>
  <Words>522</Words>
  <Characters>3486</Characters>
  <CharactersWithSpaces>3967</CharactersWithSpaces>
  <Paragraphs>43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2023-10-25T05:02:00Z</dcterms:created>
  <dc:creator>Фоменко Светлана Анатольевна</dc:creator>
  <dc:description/>
  <dc:language>ru-RU</dc:language>
  <cp:lastModifiedBy>yariy_vs</cp:lastModifiedBy>
  <cp:lastPrinted>2020-07-14T04:53:00Z</cp:lastPrinted>
  <dcterms:modified xsi:type="dcterms:W3CDTF">2026-10-23T13:15:20Z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