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"/>
        <w:tblW w:w="495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10"/>
        <w:gridCol w:w="4910"/>
      </w:tblGrid>
      <w:tr>
        <w:trPr/>
        <w:tc>
          <w:tcPr>
            <w:tcW w:w="491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right"/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4910" w:type="dxa"/>
            <w:tcBorders/>
          </w:tcPr>
          <w:p>
            <w:pPr>
              <w:pStyle w:val="Normal"/>
              <w:keepNext w:val="true"/>
              <w:widowControl w:val="false"/>
              <w:tabs>
                <w:tab w:val="clear" w:pos="708"/>
              </w:tabs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926" w:leader="none"/>
              </w:tabs>
              <w:suppressAutoHyphens w:val="true"/>
              <w:spacing w:before="0" w:after="0"/>
              <w:jc w:val="right"/>
              <w:rPr>
                <w:bCs/>
              </w:rPr>
            </w:pPr>
            <w:r>
              <w:rPr>
                <w:bCs/>
              </w:rPr>
            </w:r>
          </w:p>
        </w:tc>
      </w:tr>
    </w:tbl>
    <w:p>
      <w:pPr>
        <w:pStyle w:val="Normal"/>
        <w:keepNext w:val="true"/>
        <w:keepLines/>
        <w:rPr>
          <w:color w:val="FFFFFF" w:themeColor="background1"/>
          <w:sz w:val="26"/>
          <w:szCs w:val="26"/>
        </w:rPr>
      </w:pPr>
      <w:r>
        <w:rPr>
          <w:color w:val="FFFFFF" w:themeColor="background1"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/>
      </w:pPr>
      <w:r>
        <w:rPr>
          <w:rFonts w:eastAsia="Calibri"/>
          <w:b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ab/>
      </w:r>
      <w:r>
        <w:rPr>
          <w:rFonts w:eastAsia="Calibri"/>
          <w:b/>
          <w:i/>
          <w:iCs/>
        </w:rPr>
        <w:t xml:space="preserve">ОКПД2: 49.41.19.900 </w:t>
      </w:r>
      <w:r>
        <w:rPr>
          <w:rFonts w:eastAsia="Calibri"/>
          <w:b/>
          <w:i/>
          <w:iCs/>
          <w:sz w:val="26"/>
          <w:szCs w:val="26"/>
        </w:rPr>
        <w:t>Услуги по перевозке спецтехники для нужд Дальневосточного филиала АО «ТК РусГидро»</w:t>
      </w:r>
    </w:p>
    <w:tbl>
      <w:tblPr>
        <w:tblW w:w="5000" w:type="pct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921"/>
      </w:tblGrid>
      <w:tr>
        <w:trPr/>
        <w:tc>
          <w:tcPr>
            <w:tcW w:w="9921" w:type="dxa"/>
            <w:tcBorders/>
          </w:tcPr>
          <w:p>
            <w:pPr>
              <w:pStyle w:val="Style36"/>
              <w:rPr/>
            </w:pPr>
            <w:r>
              <w:rPr/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p>
      <w:pPr>
        <w:pStyle w:val="Normal"/>
        <w:jc w:val="center"/>
        <w:rPr>
          <w:b/>
        </w:rPr>
      </w:pPr>
      <w:r>
        <w:rPr>
          <w:b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\o "1-4" \h</w:instrText>
          </w:r>
          <w:r>
            <w:rPr>
              <w:rStyle w:val="Style14"/>
            </w:rPr>
            <w:fldChar w:fldCharType="separate"/>
          </w:r>
          <w:hyperlink w:anchor="__RefHeading___Toc2634_942833219">
            <w:r>
              <w:rPr>
                <w:rStyle w:val="Style14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36_942833219">
            <w:r>
              <w:rPr>
                <w:rStyle w:val="Style14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38_942833219">
            <w:r>
              <w:rPr>
                <w:rStyle w:val="Style14"/>
              </w:rPr>
              <w:t>1.2.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40_942833219">
            <w:r>
              <w:rPr>
                <w:rStyle w:val="Style14"/>
              </w:rPr>
              <w:t>1.3. Цель оказания услуг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42_942833219">
            <w:r>
              <w:rPr>
                <w:rStyle w:val="Style14"/>
              </w:rPr>
              <w:t>1.4. Существующее положение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644_942833219">
            <w:r>
              <w:rPr>
                <w:rStyle w:val="Style14"/>
              </w:rPr>
              <w:t>Таблица 1. Перечень объектов заказчика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646_942833219">
            <w:r>
              <w:rPr>
                <w:rStyle w:val="Style14"/>
              </w:rPr>
              <w:t xml:space="preserve">2. </w:t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48_942833219">
            <w:r>
              <w:rPr>
                <w:rStyle w:val="Style14"/>
              </w:rPr>
              <w:t>2.1. Требования к объемам и срокам оказания услуг</w:t>
              <w:tab/>
              <w:t>3</w:t>
            </w:r>
          </w:hyperlink>
        </w:p>
        <w:p>
          <w:pPr>
            <w:pStyle w:val="TOC3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50_942833219">
            <w:r>
              <w:rPr>
                <w:rStyle w:val="Style14"/>
              </w:rPr>
              <w:t>2.1.1. Требования к перечню и объему услуг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652_942833219">
            <w:r>
              <w:rPr>
                <w:rStyle w:val="Style14"/>
              </w:rPr>
              <w:t>Таблица 2. Перечень и объем оказываемых услуг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54_942833219">
            <w:r>
              <w:rPr>
                <w:rStyle w:val="Style14"/>
              </w:rPr>
              <w:t>2.2. Требования к срокам оказания услуг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656_942833219">
            <w:r>
              <w:rPr>
                <w:rStyle w:val="Style14"/>
              </w:rPr>
              <w:t>Таблица 3. Требования к срокам оказания услуг</w:t>
              <w:tab/>
              <w:t>4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58_942833219">
            <w:r>
              <w:rPr>
                <w:rStyle w:val="Style14"/>
              </w:rPr>
              <w:t>2.3. Требования к качеству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660_942833219">
            <w:r>
              <w:rPr>
                <w:rStyle w:val="Style14"/>
              </w:rPr>
              <w:t>Таблица 4. Требования к качеству продукции.</w:t>
              <w:tab/>
              <w:t>4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662_942833219">
            <w:r>
              <w:rPr>
                <w:rStyle w:val="Style14"/>
              </w:rPr>
              <w:t xml:space="preserve">3. </w:t>
            </w:r>
            <w:r>
              <w:rPr>
                <w:rStyle w:val="Style14"/>
                <w:iCs/>
              </w:rPr>
              <w:t>Требования к документации по ценообразованию на этапе закупки</w:t>
            </w:r>
            <w:r>
              <w:rPr>
                <w:rStyle w:val="Style14"/>
              </w:rPr>
              <w:tab/>
              <w:t>6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Heading1"/>
        <w:keepLines/>
        <w:numPr>
          <w:ilvl w:val="0"/>
          <w:numId w:val="3"/>
        </w:numPr>
        <w:ind w:hanging="363" w:left="788"/>
        <w:rPr>
          <w:sz w:val="24"/>
          <w:lang w:val="ru-RU"/>
        </w:rPr>
      </w:pPr>
      <w:r>
        <w:br w:type="page"/>
      </w:r>
      <w:bookmarkStart w:id="0" w:name="__RefHeading___Toc2634_942833219"/>
      <w:bookmarkStart w:id="1" w:name="_Toc234764819"/>
      <w:bookmarkEnd w:id="0"/>
      <w:r>
        <w:rPr>
          <w:sz w:val="24"/>
          <w:lang w:val="ru-RU"/>
        </w:rPr>
        <w:t>Общие сведения</w:t>
      </w:r>
      <w:bookmarkEnd w:id="1"/>
    </w:p>
    <w:p>
      <w:pPr>
        <w:pStyle w:val="Heading4"/>
        <w:numPr>
          <w:ilvl w:val="1"/>
          <w:numId w:val="3"/>
        </w:numPr>
        <w:rPr/>
      </w:pPr>
      <w:bookmarkStart w:id="2" w:name="__RefHeading___Toc2636_942833219"/>
      <w:bookmarkStart w:id="3" w:name="_Toc234764820"/>
      <w:bookmarkStart w:id="4" w:name="_Toc46743505"/>
      <w:bookmarkEnd w:id="2"/>
      <w:r>
        <w:rPr/>
        <w:t>Обозначения и сокращения</w:t>
      </w:r>
      <w:bookmarkEnd w:id="3"/>
      <w:bookmarkEnd w:id="4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Универсальный передаточный документ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Транспортное(ые) средство(а)</w:t>
            </w:r>
          </w:p>
        </w:tc>
      </w:tr>
    </w:tbl>
    <w:p>
      <w:pPr>
        <w:pStyle w:val="Heading4"/>
        <w:numPr>
          <w:ilvl w:val="1"/>
          <w:numId w:val="3"/>
        </w:numPr>
        <w:rPr/>
      </w:pPr>
      <w:bookmarkStart w:id="5" w:name="__RefHeading___Toc2638_942833219"/>
      <w:bookmarkStart w:id="6" w:name="_Toc234764821"/>
      <w:bookmarkEnd w:id="5"/>
      <w:r>
        <w:rPr/>
        <w:t>Наименование закупаемой продукции</w:t>
      </w:r>
      <w:bookmarkEnd w:id="6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ab/>
        <w:t>ОКПД2: 49.41.19.900 Услуги по перевозке спецтехники для нужд Дальневосточного филиала АО «ТК РусГидро».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/>
      </w:pPr>
      <w:bookmarkStart w:id="7" w:name="__RefHeading___Toc2640_942833219"/>
      <w:bookmarkStart w:id="8" w:name="_Toc234764822"/>
      <w:bookmarkStart w:id="9" w:name="_Toc46743507"/>
      <w:bookmarkEnd w:id="7"/>
      <w:r>
        <w:rPr/>
        <w:t xml:space="preserve">Цель </w:t>
      </w:r>
      <w:bookmarkEnd w:id="9"/>
      <w:r>
        <w:rPr>
          <w:lang w:val="ru-RU"/>
        </w:rPr>
        <w:t>оказания услуг</w:t>
      </w:r>
      <w:bookmarkEnd w:id="8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ab/>
        <w:t>Перебазировка спецтехники осуществляется в связи с отсутствием потребности в работе техники. Спецтехника будет распределена на Хабаровский строительный участок.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/>
      </w:pPr>
      <w:bookmarkStart w:id="10" w:name="__RefHeading___Toc2642_942833219"/>
      <w:bookmarkStart w:id="11" w:name="_Toc234764823"/>
      <w:bookmarkEnd w:id="10"/>
      <w:r>
        <w:rPr/>
        <w:t>Существующее положение</w:t>
      </w:r>
      <w:bookmarkEnd w:id="11"/>
    </w:p>
    <w:p>
      <w:pPr>
        <w:pStyle w:val="Normal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ab/>
        <w:t>Услуги оказываются в отношении технических средств согласно Таблицы 1. Перечень объектов Заказчика</w:t>
      </w:r>
    </w:p>
    <w:p>
      <w:pPr>
        <w:pStyle w:val="Heading1"/>
        <w:keepLines/>
        <w:tabs>
          <w:tab w:val="clear" w:pos="0"/>
        </w:tabs>
        <w:ind w:hanging="0" w:left="0"/>
        <w:rPr>
          <w:sz w:val="24"/>
          <w:szCs w:val="24"/>
          <w:lang w:val="ru-RU"/>
        </w:rPr>
      </w:pPr>
      <w:bookmarkStart w:id="12" w:name="__RefHeading___Toc2644_942833219"/>
      <w:bookmarkStart w:id="13" w:name="_Toc234764824"/>
      <w:bookmarkEnd w:id="12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13"/>
    </w:p>
    <w:tbl>
      <w:tblPr>
        <w:tblW w:w="10336" w:type="dxa"/>
        <w:jc w:val="left"/>
        <w:tblInd w:w="-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54"/>
        <w:gridCol w:w="1714"/>
        <w:gridCol w:w="2491"/>
        <w:gridCol w:w="3730"/>
        <w:gridCol w:w="1547"/>
      </w:tblGrid>
      <w:tr>
        <w:trPr/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№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 xml:space="preserve">Расположение объекта </w:t>
              <w:br/>
            </w:r>
            <w:r>
              <w:rPr>
                <w:i/>
                <w:iCs/>
                <w:sz w:val="22"/>
                <w:szCs w:val="22"/>
              </w:rPr>
              <w:t>(место оказания услуг)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Примечания</w:t>
            </w:r>
          </w:p>
        </w:tc>
      </w:tr>
      <w:tr>
        <w:trPr/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2"/>
                <w:szCs w:val="22"/>
              </w:rPr>
              <w:t>5</w:t>
            </w:r>
          </w:p>
        </w:tc>
      </w:tr>
      <w:tr>
        <w:trPr/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exact" w:line="240"/>
              <w:jc w:val="center"/>
              <w:rPr/>
            </w:pPr>
            <w:r>
              <w:rPr>
                <w:rFonts w:cs="TimesNewRomanPSMT"/>
                <w:iCs/>
                <w:sz w:val="22"/>
                <w:szCs w:val="22"/>
              </w:rPr>
              <w:t>Экскаватор-погрузчик SHANMON 388H</w:t>
            </w:r>
          </w:p>
        </w:tc>
        <w:tc>
          <w:tcPr>
            <w:tcW w:w="24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2"/>
                <w:szCs w:val="22"/>
              </w:rPr>
              <w:t>Место нахождения (погрузки)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iCs/>
                <w:sz w:val="22"/>
                <w:szCs w:val="22"/>
                <w:shd w:fill="auto" w:val="clear"/>
              </w:rPr>
              <w:t>Республика Саха (Якутия), Нерюнгринский район, пгт. Серебряный Бор, Нерюнгринская ГРЭС</w:t>
            </w:r>
          </w:p>
        </w:tc>
        <w:tc>
          <w:tcPr>
            <w:tcW w:w="3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exact" w:line="240"/>
              <w:jc w:val="center"/>
              <w:rPr/>
            </w:pPr>
            <w:r>
              <w:rPr>
                <w:iCs/>
                <w:sz w:val="22"/>
                <w:szCs w:val="22"/>
              </w:rPr>
              <w:t xml:space="preserve">Габариты, мм (ДхШхВ):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exact" w:line="240"/>
              <w:jc w:val="center"/>
              <w:rPr/>
            </w:pPr>
            <w:r>
              <w:rPr>
                <w:iCs/>
                <w:sz w:val="22"/>
                <w:szCs w:val="22"/>
              </w:rPr>
              <w:t>6 450 х 2 490 х  3 940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exact" w:line="240"/>
              <w:jc w:val="center"/>
              <w:rPr/>
            </w:pPr>
            <w:r>
              <w:rPr>
                <w:iCs/>
                <w:sz w:val="22"/>
                <w:szCs w:val="22"/>
              </w:rPr>
              <w:t>Масса ТС в снаряженном состоянии 10 600 кг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0"/>
              <w:jc w:val="center"/>
              <w:rPr/>
            </w:pPr>
            <w:r>
              <w:rPr>
                <w:iCs/>
                <w:sz w:val="22"/>
                <w:szCs w:val="22"/>
              </w:rPr>
              <w:t>Техника в</w:t>
            </w:r>
            <w:r>
              <w:rPr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iCs/>
                <w:color w:val="auto"/>
                <w:kern w:val="0"/>
                <w:sz w:val="22"/>
                <w:szCs w:val="22"/>
                <w:lang w:val="ru-RU" w:eastAsia="ru-RU" w:bidi="ar-SA"/>
              </w:rPr>
              <w:t>исправном состоянии</w:t>
            </w:r>
          </w:p>
        </w:tc>
      </w:tr>
      <w:tr>
        <w:trPr/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uppressAutoHyphens w:val="true"/>
              <w:bidi w:val="0"/>
              <w:spacing w:lineRule="exact" w:line="240" w:before="0" w:after="0"/>
              <w:jc w:val="center"/>
              <w:rPr>
                <w:rFonts w:ascii="Times New Roman" w:hAnsi="Times New Roman" w:eastAsia="Times New Roman" w:cs="Times New Roman"/>
                <w:iCs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color w:val="auto"/>
                <w:kern w:val="0"/>
                <w:sz w:val="22"/>
                <w:szCs w:val="22"/>
                <w:lang w:val="ru-RU" w:eastAsia="ru-RU" w:bidi="ar-SA"/>
              </w:rPr>
              <w:t>Мини-погрузчик МКСМ 800Н</w:t>
            </w:r>
          </w:p>
        </w:tc>
        <w:tc>
          <w:tcPr>
            <w:tcW w:w="24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37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exact" w:line="240"/>
              <w:jc w:val="center"/>
              <w:rPr/>
            </w:pPr>
            <w:r>
              <w:rPr>
                <w:iCs/>
                <w:sz w:val="22"/>
                <w:szCs w:val="22"/>
              </w:rPr>
              <w:t xml:space="preserve">Габариты, мм (ДхШхВ):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exact" w:line="240"/>
              <w:jc w:val="center"/>
              <w:rPr/>
            </w:pPr>
            <w:r>
              <w:rPr>
                <w:iCs/>
                <w:sz w:val="22"/>
                <w:szCs w:val="22"/>
              </w:rPr>
              <w:t>3 400 х 1 750 х 2 300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exact" w:line="240"/>
              <w:jc w:val="center"/>
              <w:rPr/>
            </w:pPr>
            <w:r>
              <w:rPr>
                <w:iCs/>
                <w:sz w:val="22"/>
                <w:szCs w:val="22"/>
              </w:rPr>
              <w:t>Масса ТС в снаряженном состоянии 3 700 кг</w:t>
            </w:r>
          </w:p>
        </w:tc>
        <w:tc>
          <w:tcPr>
            <w:tcW w:w="1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0"/>
              <w:jc w:val="center"/>
              <w:rPr/>
            </w:pPr>
            <w:r>
              <w:rPr>
                <w:iCs/>
                <w:sz w:val="22"/>
                <w:szCs w:val="22"/>
              </w:rPr>
              <w:t>Техника в</w:t>
            </w:r>
            <w:r>
              <w:rPr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iCs/>
                <w:color w:val="auto"/>
                <w:kern w:val="0"/>
                <w:sz w:val="22"/>
                <w:szCs w:val="22"/>
                <w:lang w:val="ru-RU" w:eastAsia="ru-RU" w:bidi="ar-SA"/>
              </w:rPr>
              <w:t>исправном состоянии</w:t>
            </w:r>
          </w:p>
        </w:tc>
      </w:tr>
    </w:tbl>
    <w:p>
      <w:pPr>
        <w:pStyle w:val="Heading1"/>
        <w:keepLines/>
        <w:numPr>
          <w:ilvl w:val="0"/>
          <w:numId w:val="3"/>
        </w:numPr>
        <w:spacing w:before="119" w:after="119"/>
        <w:ind w:hanging="363" w:left="788"/>
        <w:rPr>
          <w:iCs/>
          <w:caps/>
          <w:sz w:val="24"/>
          <w:lang w:val="ru-RU"/>
        </w:rPr>
      </w:pPr>
      <w:bookmarkStart w:id="14" w:name="__RefHeading___Toc2646_942833219"/>
      <w:bookmarkStart w:id="15" w:name="_Toc234764825"/>
      <w:bookmarkEnd w:id="14"/>
      <w:r>
        <w:rPr>
          <w:iCs/>
          <w:sz w:val="24"/>
          <w:lang w:val="ru-RU"/>
        </w:rPr>
        <w:t>Требования</w:t>
      </w:r>
      <w:r>
        <w:rPr>
          <w:iCs/>
          <w:sz w:val="24"/>
        </w:rPr>
        <w:t xml:space="preserve"> к продукции</w:t>
      </w:r>
      <w:bookmarkEnd w:id="15"/>
    </w:p>
    <w:p>
      <w:pPr>
        <w:pStyle w:val="Heading4"/>
        <w:numPr>
          <w:ilvl w:val="1"/>
          <w:numId w:val="3"/>
        </w:numPr>
        <w:ind w:hanging="0" w:left="0"/>
        <w:rPr/>
      </w:pPr>
      <w:bookmarkStart w:id="16" w:name="__RefHeading___Toc2648_942833219"/>
      <w:bookmarkStart w:id="17" w:name="_Toc234764826"/>
      <w:bookmarkEnd w:id="16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7"/>
    </w:p>
    <w:p>
      <w:pPr>
        <w:pStyle w:val="Heading3"/>
        <w:numPr>
          <w:ilvl w:val="2"/>
          <w:numId w:val="3"/>
        </w:numPr>
        <w:ind w:hanging="0" w:left="0"/>
        <w:rPr/>
      </w:pPr>
      <w:bookmarkStart w:id="18" w:name="__RefHeading___Toc2650_942833219"/>
      <w:bookmarkStart w:id="19" w:name="_Toc234764827"/>
      <w:bookmarkEnd w:id="18"/>
      <w:r>
        <w:rPr>
          <w:lang w:val="ru-RU"/>
        </w:rPr>
        <w:t>Требования к перечню и объему услуг</w:t>
      </w:r>
      <w:bookmarkEnd w:id="19"/>
    </w:p>
    <w:p>
      <w:pPr>
        <w:pStyle w:val="Heading1"/>
        <w:keepLines/>
        <w:tabs>
          <w:tab w:val="clear" w:pos="0"/>
        </w:tabs>
        <w:spacing w:before="0" w:after="60"/>
        <w:ind w:hanging="0" w:left="0"/>
        <w:rPr>
          <w:sz w:val="24"/>
          <w:szCs w:val="24"/>
          <w:lang w:val="ru-RU"/>
        </w:rPr>
      </w:pPr>
      <w:bookmarkStart w:id="20" w:name="__RefHeading___Toc2652_942833219"/>
      <w:bookmarkStart w:id="21" w:name="_Toc234764828"/>
      <w:bookmarkStart w:id="22" w:name="_Toc51339695"/>
      <w:bookmarkEnd w:id="20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2"/>
      <w:r>
        <w:rPr>
          <w:sz w:val="24"/>
          <w:szCs w:val="24"/>
          <w:lang w:val="ru-RU"/>
        </w:rPr>
        <w:t>и объем оказываемых услуг</w:t>
      </w:r>
      <w:bookmarkEnd w:id="21"/>
    </w:p>
    <w:tbl>
      <w:tblPr>
        <w:tblW w:w="10336" w:type="dxa"/>
        <w:jc w:val="left"/>
        <w:tblInd w:w="-132" w:type="dxa"/>
        <w:tblLayout w:type="fixed"/>
        <w:tblCellMar>
          <w:top w:w="0" w:type="dxa"/>
          <w:left w:w="7" w:type="dxa"/>
          <w:bottom w:w="0" w:type="dxa"/>
          <w:right w:w="0" w:type="dxa"/>
        </w:tblCellMar>
        <w:tblLook w:val="0000" w:noHBand="0" w:noVBand="0" w:firstColumn="0" w:lastRow="0" w:lastColumn="0" w:firstRow="0"/>
      </w:tblPr>
      <w:tblGrid>
        <w:gridCol w:w="447"/>
        <w:gridCol w:w="8157"/>
        <w:gridCol w:w="1022"/>
        <w:gridCol w:w="709"/>
      </w:tblGrid>
      <w:tr>
        <w:trPr/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815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услуг / этапа услуг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Ед. измерения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</w:tr>
      <w:tr>
        <w:trPr>
          <w:trHeight w:val="106" w:hRule="atLeast"/>
        </w:trPr>
        <w:tc>
          <w:tcPr>
            <w:tcW w:w="447" w:type="dxa"/>
            <w:tcBorders>
              <w:left w:val="single" w:sz="6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1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>
        <w:trPr>
          <w:trHeight w:val="123" w:hRule="atLeast"/>
        </w:trPr>
        <w:tc>
          <w:tcPr>
            <w:tcW w:w="447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pacing w:before="0" w:after="0"/>
              <w:ind w:hanging="511" w:left="720"/>
              <w:contextualSpacing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8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Экскаватор-погрузчик SHANMON 388H</w:t>
            </w:r>
          </w:p>
        </w:tc>
      </w:tr>
      <w:tr>
        <w:trPr>
          <w:trHeight w:val="771" w:hRule="atLeast"/>
        </w:trPr>
        <w:tc>
          <w:tcPr>
            <w:tcW w:w="447" w:type="dxa"/>
            <w:vMerge w:val="continue"/>
            <w:tcBorders>
              <w:left w:val="single" w:sz="6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1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shd w:fill="auto" w:val="clear"/>
              </w:rPr>
              <w:t>Перевозка ТС по маршруту: Республика Саха (Якутия), Нерюнгринский район, пгт. Серебряный Бор, Нерюнгринская ГРЭС – Хабаровский край, г. Хабаровск, ул. Автономная 5а, с применением грузового седельного тягача с возможностью перевозки техники грузоподъемностью не менее 10,6 тонн.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усл. ед.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>
          <w:trHeight w:val="150" w:hRule="atLeast"/>
        </w:trPr>
        <w:tc>
          <w:tcPr>
            <w:tcW w:w="447" w:type="dxa"/>
            <w:vMerge w:val="restart"/>
            <w:tcBorders>
              <w:left w:val="single" w:sz="6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988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i/>
                <w:i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color w:val="auto"/>
                <w:kern w:val="0"/>
                <w:sz w:val="22"/>
                <w:szCs w:val="22"/>
                <w:lang w:val="ru-RU" w:eastAsia="ru-RU" w:bidi="ar-SA"/>
              </w:rPr>
              <w:t>Мини-погрузчик МКСМ 800Н</w:t>
            </w:r>
          </w:p>
        </w:tc>
      </w:tr>
      <w:tr>
        <w:trPr>
          <w:trHeight w:val="592" w:hRule="atLeast"/>
        </w:trPr>
        <w:tc>
          <w:tcPr>
            <w:tcW w:w="447" w:type="dxa"/>
            <w:vMerge w:val="continue"/>
            <w:tcBorders>
              <w:left w:val="single" w:sz="6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5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1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shd w:fill="auto" w:val="clear"/>
              </w:rPr>
              <w:t>Перевозка ТС по маршруту: Республика Саха (Якутия), Нерюнгринский район, пгт. Серебряный Бор, Нерюнгринская ГРЭС – Хабаровский край, г. Хабаровск, ул. Автономная 5а, с применением грузового седельного тягача с возможностью перевозки техники грузоподъемностью не менее 3,7 тонн.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усл. ед.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4"/>
        <w:numPr>
          <w:ilvl w:val="1"/>
          <w:numId w:val="3"/>
        </w:numPr>
        <w:spacing w:before="0" w:after="0"/>
        <w:ind w:hanging="0" w:left="0"/>
        <w:rPr/>
      </w:pPr>
      <w:bookmarkStart w:id="23" w:name="__RefHeading___Toc2654_942833219"/>
      <w:bookmarkStart w:id="24" w:name="_Toc234764829"/>
      <w:bookmarkStart w:id="25" w:name="_Toc51339696"/>
      <w:bookmarkEnd w:id="23"/>
      <w:r>
        <w:rPr/>
        <w:t xml:space="preserve">Требования </w:t>
      </w:r>
      <w:bookmarkEnd w:id="25"/>
      <w:r>
        <w:rPr/>
        <w:t>к срокам оказания услуг</w:t>
      </w:r>
      <w:bookmarkEnd w:id="24"/>
    </w:p>
    <w:p>
      <w:pPr>
        <w:pStyle w:val="Heading1"/>
        <w:tabs>
          <w:tab w:val="clear" w:pos="0"/>
        </w:tabs>
        <w:ind w:hanging="0" w:left="284"/>
        <w:rPr>
          <w:sz w:val="24"/>
          <w:szCs w:val="24"/>
        </w:rPr>
      </w:pPr>
      <w:bookmarkStart w:id="26" w:name="__RefHeading___Toc2656_942833219"/>
      <w:bookmarkStart w:id="27" w:name="_Toc234764830"/>
      <w:bookmarkEnd w:id="26"/>
      <w:r>
        <w:rPr>
          <w:sz w:val="24"/>
          <w:szCs w:val="24"/>
        </w:rPr>
        <w:t>Таблица 3. Требования к срокам оказания услуг</w:t>
      </w:r>
      <w:bookmarkEnd w:id="27"/>
    </w:p>
    <w:tbl>
      <w:tblPr>
        <w:tblW w:w="10308" w:type="dxa"/>
        <w:jc w:val="left"/>
        <w:tblInd w:w="-13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12"/>
        <w:gridCol w:w="3547"/>
        <w:gridCol w:w="2522"/>
        <w:gridCol w:w="3126"/>
      </w:tblGrid>
      <w:tr>
        <w:trPr/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>
          <w:trHeight w:val="150" w:hRule="atLeast"/>
        </w:trPr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0" w:after="0"/>
              <w:jc w:val="center"/>
              <w:rPr/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0" w:after="0"/>
              <w:jc w:val="center"/>
              <w:rPr/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1767" w:hRule="atLeast"/>
        </w:trPr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hanging="0" w:left="0"/>
              <w:jc w:val="center"/>
              <w:rPr/>
            </w:pPr>
            <w:r>
              <w:rPr/>
              <w:t>1.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ОКПД2: 49.41.19.900 Услуги по перевозке спецтехники для нужд Дальневосточного филиала АО «ТК РусГидро»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uppressAutoHyphens w:val="true"/>
              <w:bidi w:val="0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2"/>
                <w:szCs w:val="22"/>
                <w:lang w:val="ru-RU" w:eastAsia="ru-RU" w:bidi="ar-SA"/>
              </w:rPr>
              <w:t>В течение 3 (трех) дней с момента подачи заявки от Заказчика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 течение 3 (трех) календарных дней с момента принятия груза к перевозке</w:t>
            </w:r>
          </w:p>
        </w:tc>
      </w:tr>
    </w:tbl>
    <w:p>
      <w:pPr>
        <w:pStyle w:val="Heading4"/>
        <w:numPr>
          <w:ilvl w:val="1"/>
          <w:numId w:val="3"/>
        </w:numPr>
        <w:rPr>
          <w:lang w:val="ru-RU"/>
        </w:rPr>
      </w:pPr>
      <w:bookmarkStart w:id="28" w:name="__RefHeading___Toc2658_942833219"/>
      <w:bookmarkStart w:id="29" w:name="_Toc234764831"/>
      <w:bookmarkStart w:id="30" w:name="_Toc200980035"/>
      <w:bookmarkStart w:id="31" w:name="_Toc46743511"/>
      <w:bookmarkStart w:id="32" w:name="_Toc51339698"/>
      <w:bookmarkStart w:id="33" w:name="_Toc50125131"/>
      <w:bookmarkEnd w:id="28"/>
      <w:bookmarkEnd w:id="32"/>
      <w:bookmarkEnd w:id="33"/>
      <w:r>
        <w:rPr/>
        <w:t xml:space="preserve">Требования к </w:t>
      </w:r>
      <w:bookmarkEnd w:id="31"/>
      <w:r>
        <w:rPr>
          <w:lang w:val="ru-RU"/>
        </w:rPr>
        <w:t xml:space="preserve">качеству </w:t>
      </w:r>
      <w:bookmarkEnd w:id="30"/>
      <w:r>
        <w:rPr>
          <w:lang w:val="ru-RU"/>
        </w:rPr>
        <w:t>продукции</w:t>
      </w:r>
      <w:bookmarkEnd w:id="29"/>
    </w:p>
    <w:p>
      <w:pPr>
        <w:pStyle w:val="Heading1"/>
        <w:keepLines/>
        <w:tabs>
          <w:tab w:val="clear" w:pos="0"/>
        </w:tabs>
        <w:spacing w:before="0" w:after="60"/>
        <w:ind w:hanging="0" w:left="0"/>
        <w:rPr>
          <w:sz w:val="24"/>
          <w:szCs w:val="24"/>
          <w:lang w:val="ru-RU"/>
        </w:rPr>
      </w:pPr>
      <w:bookmarkStart w:id="34" w:name="__RefHeading___Toc2660_942833219"/>
      <w:bookmarkStart w:id="35" w:name="_Toc234764832"/>
      <w:bookmarkEnd w:id="34"/>
      <w:r>
        <w:rPr>
          <w:sz w:val="24"/>
          <w:szCs w:val="24"/>
        </w:rPr>
        <w:t>Таблица 4. Требования к качеству продукции</w:t>
      </w:r>
      <w:r>
        <w:rPr>
          <w:sz w:val="24"/>
          <w:szCs w:val="24"/>
          <w:lang w:val="ru-RU"/>
        </w:rPr>
        <w:t>.</w:t>
      </w:r>
      <w:bookmarkEnd w:id="35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sz w:val="22"/>
          <w:szCs w:val="26"/>
        </w:rPr>
      </w:pPr>
      <w:r>
        <w:rPr>
          <w:b/>
          <w:bCs/>
          <w:sz w:val="24"/>
          <w:szCs w:val="24"/>
        </w:rPr>
        <w:t xml:space="preserve">Наименование услуг/этапа услуг (позиции №1-2 Таблицы 2): </w:t>
      </w:r>
      <w:r>
        <w:rPr>
          <w:b w:val="false"/>
          <w:bCs w:val="false"/>
          <w:sz w:val="24"/>
          <w:szCs w:val="24"/>
        </w:rPr>
        <w:t>ОКПД2: 49.41.19.900 Услуги по перевозке спецтехники для нужд Дальневосточного филиала АО «ТК РусГидро»</w:t>
      </w:r>
      <w:r>
        <w:rPr>
          <w:rFonts w:eastAsia="Calibri"/>
          <w:b w:val="false"/>
          <w:bCs w:val="false"/>
          <w:sz w:val="24"/>
          <w:szCs w:val="24"/>
        </w:rPr>
        <w:t>.</w:t>
      </w:r>
    </w:p>
    <w:tbl>
      <w:tblPr>
        <w:tblStyle w:val="affff9"/>
        <w:tblW w:w="10256" w:type="dxa"/>
        <w:jc w:val="left"/>
        <w:tblInd w:w="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00"/>
        <w:gridCol w:w="2039"/>
        <w:gridCol w:w="5"/>
        <w:gridCol w:w="5563"/>
        <w:gridCol w:w="1748"/>
      </w:tblGrid>
      <w:tr>
        <w:trPr/>
        <w:tc>
          <w:tcPr>
            <w:tcW w:w="90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203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5568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17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0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90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5568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17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0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55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17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fals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7607" w:type="dxa"/>
            <w:gridSpan w:val="3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 xml:space="preserve">Требования к оказанию услуг </w:t>
            </w:r>
          </w:p>
        </w:tc>
        <w:tc>
          <w:tcPr>
            <w:tcW w:w="174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Участник должен предоставить в заявке согласие оказать услуги, полностью соответствующие настоящим Техническим Требованиям, по форме Технического предложения, установленной в Документации о закупке</w:t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fals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7607" w:type="dxa"/>
            <w:gridSpan w:val="3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 xml:space="preserve">Общие требования к оказанию услуг </w:t>
            </w:r>
          </w:p>
        </w:tc>
        <w:tc>
          <w:tcPr>
            <w:tcW w:w="174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Порядок оказания услуг</w:t>
            </w:r>
          </w:p>
        </w:tc>
        <w:tc>
          <w:tcPr>
            <w:tcW w:w="5568" w:type="dxa"/>
            <w:gridSpan w:val="2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contextualSpacing/>
              <w:jc w:val="left"/>
              <w:rPr/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Перевозка ТС по маршруту должна осуществляться по предварительной заявке Заказчика в любое время, включая выходные и праздничные дни.</w:t>
            </w:r>
          </w:p>
        </w:tc>
        <w:tc>
          <w:tcPr>
            <w:tcW w:w="174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90" w:hRule="atLeast"/>
        </w:trPr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bidi w:val="0"/>
              <w:spacing w:before="60" w:after="60"/>
              <w:ind w:hanging="1199" w:left="1224" w:right="0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4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Условия оказания услуг</w:t>
            </w:r>
          </w:p>
        </w:tc>
        <w:tc>
          <w:tcPr>
            <w:tcW w:w="5563" w:type="dxa"/>
            <w:tcBorders/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Исполнитель обязан своевременно, в строго установленное в заявке Заказчиком время, предоставить технически исправное транспортное средство, укомплектованное в соответствии с требованиями ПДД РФ, без каких-либо затрат со стороны Заказчика,  в том числе сопутствующие: расходы по уплате штрафов стоимость горюче-смазочных материалов, расходы на дополнительное оборудование, содержание и техническое обслуживание автомобилей, расходы по оплате услуг водителей, расходы на проведение медицинского осмотра водителей и т. п. Обе единицы техники перевозятся на одном транспортном средстве.</w:t>
            </w:r>
          </w:p>
        </w:tc>
        <w:tc>
          <w:tcPr>
            <w:tcW w:w="174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качеству оказания услуг</w:t>
            </w:r>
          </w:p>
        </w:tc>
        <w:tc>
          <w:tcPr>
            <w:tcW w:w="556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ru-RU" w:bidi="ar-SA"/>
              </w:rPr>
              <w:t>Качество услуг должно соответствовать действующим нормативным документам РФ, определяющим порядок перевозки грузов в соответствии с Гражданским кодексом РФ, Федеральным законом от 08.11.2007 № 259-ФЗ «Устав автомобильного транспорта и городского наземного электрического транспорта», Постановление Правительства РФ от 21.12.2020 N 2200 (ред. от 30.12.2022) "Об утверждении Правил перевозок грузов автомобильным транспортом и о внесении изменений в пункт 2.1.1 Правил дорожного движения Российской Федерации".</w:t>
            </w:r>
          </w:p>
        </w:tc>
        <w:tc>
          <w:tcPr>
            <w:tcW w:w="1748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40" w:hRule="atLeast"/>
        </w:trPr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fals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7607" w:type="dxa"/>
            <w:gridSpan w:val="3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процедурам оказания услуг</w:t>
            </w:r>
          </w:p>
        </w:tc>
        <w:tc>
          <w:tcPr>
            <w:tcW w:w="174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Обеспечение целостности и сохранности груза с момента приема к отправке до вручения грузополучателю</w:t>
            </w:r>
          </w:p>
        </w:tc>
        <w:tc>
          <w:tcPr>
            <w:tcW w:w="55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Исполнитель несёт полную материальную ответственность перед Заказчиком за сохранность, порчу, утрату груза во время всего периода перевозки, с момента передачи груза Исполнителю до момента передачи груза грузополучателю в месте доставки.</w:t>
            </w:r>
          </w:p>
        </w:tc>
        <w:tc>
          <w:tcPr>
            <w:tcW w:w="174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Погрузо-разгрузочные работы</w:t>
            </w:r>
          </w:p>
        </w:tc>
        <w:tc>
          <w:tcPr>
            <w:tcW w:w="55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При заборе груза по адресу Заказчика, погрузка производятся силами Заказчика. При доставке груза по адресу Заказчика выгрузка груза производятся силами Заказчика. При необходимости осуществления межтерминальной перевозки, погрузка и выгрузка груза производится силами и за счет Исполнителя.</w:t>
            </w:r>
          </w:p>
        </w:tc>
        <w:tc>
          <w:tcPr>
            <w:tcW w:w="174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Сопроводительная документация</w:t>
            </w:r>
          </w:p>
        </w:tc>
        <w:tc>
          <w:tcPr>
            <w:tcW w:w="55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Исполнитель обязан обеспечить оформление разрешительной документации, транспортно-сопроводительных документов на перевозку технических средств по маршрутам, указанным в таблице № 2 ТТ.</w:t>
            </w:r>
          </w:p>
        </w:tc>
        <w:tc>
          <w:tcPr>
            <w:tcW w:w="174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Складское хранение</w:t>
            </w:r>
          </w:p>
        </w:tc>
        <w:tc>
          <w:tcPr>
            <w:tcW w:w="55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случае необходимости Исполнитель должен обеспечить согласованное хранение груза на своих складах и/или складах партнеров Исполнителя по направлениям (маршрутам) перевозки.</w:t>
            </w:r>
          </w:p>
        </w:tc>
        <w:tc>
          <w:tcPr>
            <w:tcW w:w="174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Контроль местонахождения груза</w:t>
            </w:r>
          </w:p>
        </w:tc>
        <w:tc>
          <w:tcPr>
            <w:tcW w:w="55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Исполнитель обязан обеспечивать диспетчерский контроль за доставкой груза, при возникновении нештатной ситуации, немедленно принять меры для устранения факторов способных повлиять на не своевременную доставку груза в пункт назначения, незамедлительно информировать Заказчика обо всех случаях задержки ТС, которые повлекли или могут повлечь за собой нарушение срока доставки груза, или на обеспечение его сохранности.</w:t>
            </w:r>
          </w:p>
        </w:tc>
        <w:tc>
          <w:tcPr>
            <w:tcW w:w="174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Страхование груза на период перевозки</w:t>
            </w:r>
          </w:p>
        </w:tc>
        <w:tc>
          <w:tcPr>
            <w:tcW w:w="5568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Исполнитель обязан самостоятельно застраховать перевозимый груз от всех рисков на весь период перевозки с момента передачи груза Исполнителю до момента передачи груза грузополучателю в страховой компании с рейтингом не ниже уровня А (рейтинг агентства «Эксперт РА»), при этом выгодоприобретателем по страховым событиям должно являться – АО «Транспортная компания РусГидро». Выплаты должны осуществляться по заявленной стоимости в части поврежденного, утраченного груза. Перед началом исполнения Услуги, Исполнитель должен направить оригинал или нотариально заверенную копию страхового полиса в адрес Дальневосточного филиала АО «Транспортная компания РусГидро» (680021, Хабаровский край, Хабаровск город, Ленинградская улица, 46).</w:t>
            </w:r>
          </w:p>
        </w:tc>
        <w:tc>
          <w:tcPr>
            <w:tcW w:w="1748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fals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7607" w:type="dxa"/>
            <w:gridSpan w:val="3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слуг</w:t>
            </w:r>
          </w:p>
        </w:tc>
        <w:tc>
          <w:tcPr>
            <w:tcW w:w="174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fals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7607" w:type="dxa"/>
            <w:gridSpan w:val="3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174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Документы, передаваемые Заказчику по результатам оказанных услуг</w:t>
            </w:r>
          </w:p>
        </w:tc>
        <w:tc>
          <w:tcPr>
            <w:tcW w:w="55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Исполнитель передает Заказчику акт сдачи –приемки оказанных услуг/УПД в двух экземплярах, транспортную накладную с отметками грузоотправителя и грузополучателя о сохранности груза.</w:t>
            </w:r>
          </w:p>
        </w:tc>
        <w:tc>
          <w:tcPr>
            <w:tcW w:w="174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fals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7607" w:type="dxa"/>
            <w:gridSpan w:val="3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174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337" w:hRule="atLeast"/>
        </w:trPr>
        <w:tc>
          <w:tcPr>
            <w:tcW w:w="90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false"/>
              <w:spacing w:before="60" w:after="60"/>
              <w:ind w:hanging="0" w:left="0"/>
              <w:contextualSpacing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Соблюдение при выполнении работ норм и правил нормативно-правовых актов, регулирующих перевозку грузов соответствующим видом транспорта</w:t>
            </w:r>
          </w:p>
        </w:tc>
        <w:tc>
          <w:tcPr>
            <w:tcW w:w="55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Услуги должны осуществляться в соответствии с нормативно-правовыми актами, регламентирующими правила перевозки грузов конкретным видом транспорта: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bCs/>
                <w:iCs/>
                <w:kern w:val="0"/>
                <w:sz w:val="22"/>
                <w:szCs w:val="22"/>
                <w:lang w:val="ru-RU" w:eastAsia="ru-RU" w:bidi="ar-SA"/>
              </w:rPr>
              <w:t>–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>Приказ Минтруда России от 28.10.2020 N 753н «Об утверждении Правил по охране труда при погрузочно-разгрузочных работах и размещении грузов»;</w:t>
            </w:r>
            <w:bookmarkStart w:id="36" w:name="_GoBack"/>
            <w:bookmarkEnd w:id="36"/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bCs/>
                <w:iCs/>
                <w:kern w:val="0"/>
                <w:sz w:val="22"/>
                <w:szCs w:val="22"/>
                <w:lang w:val="ru-RU" w:eastAsia="ru-RU" w:bidi="ar-SA"/>
              </w:rPr>
              <w:t>–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>Федеральный закон от 10.12.1995 N 196-ФЗ «О безопасности дорожного движения»;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/>
            </w:pPr>
            <w:r>
              <w:rPr>
                <w:rFonts w:eastAsia="Times New Roman" w:cs="Times New Roman"/>
                <w:bCs/>
                <w:iCs/>
                <w:kern w:val="0"/>
                <w:sz w:val="22"/>
                <w:szCs w:val="22"/>
                <w:lang w:val="ru-RU" w:eastAsia="ru-RU" w:bidi="ar-SA"/>
              </w:rPr>
              <w:t>–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>Постановление Правительства РФ от 21.12.2020 N 2200 «Об утверждении Правил перевозок грузов автомобильным транспортом и о внесении изменений в пункт 2.1.1 Правил дорожного движения Российской Федерации»</w:t>
            </w:r>
            <w:r>
              <w:rPr>
                <w:rFonts w:eastAsia="Times New Roman" w:cs="Times New Roman"/>
                <w:bCs/>
                <w:iCs/>
                <w:kern w:val="0"/>
                <w:sz w:val="22"/>
                <w:szCs w:val="22"/>
                <w:lang w:val="ru-RU" w:eastAsia="ru-RU" w:bidi="ar-SA"/>
              </w:rPr>
              <w:t>.</w:t>
            </w:r>
          </w:p>
        </w:tc>
        <w:tc>
          <w:tcPr>
            <w:tcW w:w="174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4"/>
        <w:numPr>
          <w:ilvl w:val="0"/>
          <w:numId w:val="3"/>
        </w:numPr>
        <w:ind w:hanging="426" w:left="426"/>
        <w:rPr/>
      </w:pPr>
      <w:bookmarkStart w:id="37" w:name="__RefHeading___Toc2662_942833219"/>
      <w:bookmarkStart w:id="38" w:name="_Toc234764833"/>
      <w:bookmarkEnd w:id="37"/>
      <w:r>
        <w:rPr>
          <w:rFonts w:eastAsia="Calibri"/>
          <w:b/>
          <w:iCs/>
          <w:sz w:val="24"/>
          <w:szCs w:val="28"/>
          <w:lang w:eastAsia="x-none"/>
        </w:rPr>
        <w:t>Требования к документации по ценообразованию на этапе закупки</w:t>
      </w:r>
      <w:bookmarkEnd w:id="38"/>
      <w:r>
        <w:rPr/>
        <w:t xml:space="preserve">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3.2. Дополнительные документы по ценообразованию в состав заявки Участника не включаются.</w:t>
      </w:r>
    </w:p>
    <w:p>
      <w:pPr>
        <w:pStyle w:val="ListParagraph"/>
        <w:ind w:left="0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307"/>
        <w:gridCol w:w="3307"/>
        <w:gridCol w:w="3307"/>
      </w:tblGrid>
      <w:tr>
        <w:trPr/>
        <w:tc>
          <w:tcPr>
            <w:tcW w:w="3307" w:type="dxa"/>
            <w:tcBorders/>
          </w:tcPr>
          <w:p>
            <w:pPr>
              <w:pStyle w:val="Style36"/>
              <w:rPr/>
            </w:pPr>
            <w:r>
              <w:rPr/>
            </w:r>
          </w:p>
        </w:tc>
        <w:tc>
          <w:tcPr>
            <w:tcW w:w="3307" w:type="dxa"/>
            <w:tcBorders/>
          </w:tcPr>
          <w:p>
            <w:pPr>
              <w:pStyle w:val="Style36"/>
              <w:rPr/>
            </w:pPr>
            <w:r>
              <w:rPr/>
            </w:r>
          </w:p>
        </w:tc>
        <w:tc>
          <w:tcPr>
            <w:tcW w:w="3307" w:type="dxa"/>
            <w:tcBorders/>
          </w:tcPr>
          <w:p>
            <w:pPr>
              <w:pStyle w:val="Style36"/>
              <w:rPr/>
            </w:pPr>
            <w:r>
              <w:rPr/>
            </w:r>
          </w:p>
        </w:tc>
      </w:tr>
      <w:tr>
        <w:trPr/>
        <w:tc>
          <w:tcPr>
            <w:tcW w:w="3307" w:type="dxa"/>
            <w:tcBorders/>
          </w:tcPr>
          <w:p>
            <w:pPr>
              <w:pStyle w:val="Style36"/>
              <w:rPr/>
            </w:pPr>
            <w:r>
              <w:rPr/>
            </w:r>
          </w:p>
        </w:tc>
        <w:tc>
          <w:tcPr>
            <w:tcW w:w="3307" w:type="dxa"/>
            <w:tcBorders/>
          </w:tcPr>
          <w:p>
            <w:pPr>
              <w:pStyle w:val="Style36"/>
              <w:rPr/>
            </w:pPr>
            <w:r>
              <w:rPr/>
            </w:r>
          </w:p>
        </w:tc>
        <w:tc>
          <w:tcPr>
            <w:tcW w:w="3307" w:type="dxa"/>
            <w:tcBorders/>
          </w:tcPr>
          <w:p>
            <w:pPr>
              <w:pStyle w:val="Style36"/>
              <w:rPr/>
            </w:pPr>
            <w:r>
              <w:rPr/>
            </w:r>
          </w:p>
        </w:tc>
      </w:tr>
    </w:tbl>
    <w:p>
      <w:pPr>
        <w:pStyle w:val="ListParagraph"/>
        <w:ind w:left="0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</w:r>
    </w:p>
    <w:p>
      <w:pPr>
        <w:pStyle w:val="ListParagraph"/>
        <w:ind w:left="0"/>
        <w:jc w:val="both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</w:r>
    </w:p>
    <w:sectPr>
      <w:headerReference w:type="default" r:id="rId2"/>
      <w:headerReference w:type="first" r:id="rId3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331" w:hanging="362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85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13e8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ind w:hanging="0" w:left="5038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basedOn w:val="DefaultParagraphFont"/>
    <w:uiPriority w:val="99"/>
    <w:unhideWhenUsed/>
    <w:rsid w:val="00ce5fde"/>
    <w:rPr>
      <w:color w:val="0563C1" w:themeColor="hyperlink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Символ нумерации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880d13"/>
    <w:pPr>
      <w:tabs>
        <w:tab w:val="clear" w:pos="708"/>
        <w:tab w:val="left" w:pos="1120" w:leader="none"/>
        <w:tab w:val="right" w:pos="9911" w:leader="dot"/>
      </w:tabs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Default" w:customStyle="1">
    <w:name w:val="Default"/>
    <w:qFormat/>
    <w:rsid w:val="000f3d81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000000"/>
      <w:kern w:val="0"/>
      <w:sz w:val="24"/>
      <w:szCs w:val="24"/>
      <w:lang w:val="ru-RU" w:eastAsia="ru-RU" w:bidi="ar-SA"/>
    </w:rPr>
  </w:style>
  <w:style w:type="paragraph" w:styleId="Style34" w:customStyle="1">
    <w:name w:val="[РГ] Текст"/>
    <w:basedOn w:val="Normal"/>
    <w:qFormat/>
    <w:rsid w:val="009651eb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123" w:customStyle="1">
    <w:name w:val="Нумерованный 123"/>
    <w:qFormat/>
  </w:style>
  <w:style w:type="numbering" w:styleId="29466805171">
    <w:name w:val="29466805171"/>
    <w:qFormat/>
  </w:style>
  <w:style w:type="numbering" w:styleId="20394249691">
    <w:name w:val="2039424969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33F271-A54B-464F-9FC2-CE743FAFE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4383</TotalTime>
  <Application>AlterOffice/2026.2.0.0$Linux_X86_64 LibreOffice_project/bc4ef1adf80b36c7a6365f8ed6cbf29021361edd</Application>
  <AppVersion>15.0000</AppVersion>
  <Pages>6</Pages>
  <Words>1211</Words>
  <Characters>8081</Characters>
  <CharactersWithSpaces>9140</CharactersWithSpaces>
  <Paragraphs>160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2025-06-10T09:41:00Z</dcterms:created>
  <dc:creator>Быстров Олег Геннадьевич</dc:creator>
  <dc:description/>
  <dc:language>ru-RU</dc:language>
  <cp:lastModifiedBy>melnikovoi@corp.gidroogk.com</cp:lastModifiedBy>
  <cp:lastPrinted>2026-08-05T00:41:00Z</cp:lastPrinted>
  <dcterms:modified xsi:type="dcterms:W3CDTF">2026-10-26T09:46:26Z</dcterms:modified>
  <cp:revision>88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