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header3.xml" ContentType="application/vnd.openxmlformats-officedocument.wordprocessingml.header+xml"/>
  <Override PartName="/word/fontTable.xml" ContentType="application/vnd.openxmlformats-officedocument.wordprocessingml.fontTable+xml"/>
  <Override PartName="/word/footer4.xml" ContentType="application/vnd.openxmlformats-officedocument.wordprocessingml.footer+xml"/>
  <Override PartName="/word/theme/theme1.xml" ContentType="application/vnd.openxmlformats-officedocument.theme+xml"/>
  <Override PartName="/word/footer5.xml" ContentType="application/vnd.openxmlformats-officedocument.wordprocessingml.footer+xml"/>
  <Override PartName="/word/_rels/document.xml.rels" ContentType="application/vnd.openxmlformats-package.relationships+xml"/>
  <Override PartName="/word/header2.xml" ContentType="application/vnd.openxmlformats-officedocument.wordprocessingml.head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outlineLvl w:val="0"/>
        <w:rPr>
          <w:sz w:val="24"/>
        </w:rPr>
      </w:pPr>
      <w:r>
        <w:rPr>
          <w:sz w:val="24"/>
        </w:rPr>
        <w:t xml:space="preserve"> </w:t>
      </w:r>
      <w:r>
        <w:rPr>
          <w:sz w:val="24"/>
        </w:rPr>
        <w:t>Договор поставки №__-Вот/пос-25</w:t>
      </w:r>
    </w:p>
    <w:p>
      <w:pPr>
        <w:pStyle w:val="Normal"/>
        <w:shd w:val="clear" w:color="auto" w:fill="FFFFFF"/>
        <w:spacing w:before="0" w:after="120"/>
        <w:jc w:val="both"/>
        <w:rPr>
          <w:sz w:val="24"/>
          <w:szCs w:val="24"/>
          <w:highlight w:val="yellow"/>
        </w:rPr>
      </w:pPr>
      <w:r>
        <w:rPr>
          <w:sz w:val="24"/>
          <w:szCs w:val="24"/>
        </w:rPr>
        <w:t>г. Чайковский</w:t>
        <w:tab/>
        <w:tab/>
        <w:tab/>
        <w:tab/>
        <w:tab/>
        <w:t xml:space="preserve">                                            «  »               20</w:t>
      </w:r>
      <w:r>
        <w:rPr>
          <w:sz w:val="24"/>
          <w:szCs w:val="24"/>
          <w:u w:val="single"/>
        </w:rPr>
        <w:t xml:space="preserve">       </w:t>
      </w:r>
      <w:r>
        <w:rPr>
          <w:sz w:val="24"/>
          <w:szCs w:val="24"/>
        </w:rPr>
        <w:t>г.</w:t>
      </w:r>
    </w:p>
    <w:p>
      <w:pPr>
        <w:pStyle w:val="Normal"/>
        <w:shd w:val="clear" w:color="auto" w:fill="FFFFFF"/>
        <w:spacing w:before="0" w:after="120"/>
        <w:ind w:firstLine="567"/>
        <w:jc w:val="both"/>
        <w:rPr>
          <w:sz w:val="24"/>
          <w:szCs w:val="24"/>
        </w:rPr>
      </w:pPr>
      <w:r>
        <w:rPr>
          <w:sz w:val="24"/>
          <w:szCs w:val="24"/>
        </w:rPr>
      </w:r>
    </w:p>
    <w:p>
      <w:pPr>
        <w:pStyle w:val="Normal"/>
        <w:suppressAutoHyphens w:val="false"/>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Директора Воткинского филиала АО «Гидроремонт-ВКК» в г. Чайковский Глазырина Николая Васильевича, действующего на основании Доверенности №</w:t>
      </w:r>
      <w:r>
        <w:rPr>
          <w:sz w:val="24"/>
          <w:szCs w:val="24"/>
          <w:u w:val="single"/>
        </w:rPr>
        <w:t xml:space="preserve">   </w:t>
      </w:r>
      <w:r>
        <w:rPr>
          <w:sz w:val="24"/>
          <w:szCs w:val="24"/>
        </w:rPr>
        <w:t xml:space="preserve"> от  </w:t>
      </w:r>
      <w:r>
        <w:rPr>
          <w:sz w:val="24"/>
          <w:szCs w:val="24"/>
          <w:u w:val="single"/>
        </w:rPr>
        <w:t xml:space="preserve">                </w:t>
      </w:r>
      <w:r>
        <w:rPr>
          <w:sz w:val="24"/>
          <w:szCs w:val="24"/>
        </w:rPr>
        <w:t xml:space="preserve">  года, с одной стороны, и</w:t>
      </w:r>
    </w:p>
    <w:p>
      <w:pPr>
        <w:pStyle w:val="Normal"/>
        <w:suppressAutoHyphens w:val="false"/>
        <w:spacing w:before="0" w:after="120"/>
        <w:ind w:firstLine="567"/>
        <w:jc w:val="both"/>
        <w:rPr>
          <w:sz w:val="24"/>
          <w:szCs w:val="24"/>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pPr>
        <w:pStyle w:val="Normal"/>
        <w:tabs>
          <w:tab w:val="clear" w:pos="720"/>
          <w:tab w:val="left" w:pos="567" w:leader="none"/>
        </w:tabs>
        <w:suppressAutoHyphens w:val="false"/>
        <w:spacing w:before="0" w:after="120"/>
        <w:ind w:firstLine="556"/>
        <w:jc w:val="both"/>
        <w:rPr>
          <w:sz w:val="24"/>
          <w:szCs w:val="24"/>
        </w:rPr>
      </w:pPr>
      <w:r>
        <w:rPr>
          <w:sz w:val="24"/>
          <w:szCs w:val="24"/>
        </w:rPr>
        <w:t xml:space="preserve">по результатам проведенной Нерегламентированной закупки, ЛОТ №, что подтверждается Протоколом №____ от </w:t>
      </w:r>
      <w:r>
        <w:rPr>
          <w:bCs/>
          <w:sz w:val="24"/>
          <w:szCs w:val="24"/>
        </w:rPr>
        <w:t>«_____» _________ 20 __ г.,</w:t>
      </w:r>
      <w:r>
        <w:rPr>
          <w:sz w:val="24"/>
          <w:szCs w:val="24"/>
        </w:rPr>
        <w:t xml:space="preserve"> </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Предмет Договора</w:t>
      </w:r>
    </w:p>
    <w:p>
      <w:pPr>
        <w:pStyle w:val="Title"/>
        <w:numPr>
          <w:ilvl w:val="1"/>
          <w:numId w:val="6"/>
        </w:numPr>
        <w:tabs>
          <w:tab w:val="clear" w:pos="720"/>
          <w:tab w:val="left" w:pos="567" w:leader="none"/>
          <w:tab w:val="left" w:pos="993" w:leader="none"/>
          <w:tab w:val="left" w:pos="1843" w:leader="none"/>
        </w:tabs>
        <w:spacing w:before="0" w:after="120"/>
        <w:ind w:left="-142" w:firstLine="284"/>
        <w:jc w:val="both"/>
        <w:rPr>
          <w:b w:val="false"/>
          <w:sz w:val="24"/>
        </w:rPr>
      </w:pPr>
      <w:r>
        <w:rPr>
          <w:b w:val="false"/>
          <w:sz w:val="24"/>
        </w:rPr>
        <w:t>Поставщик обязуется передать Покупателю</w:t>
      </w:r>
      <w:r>
        <w:rPr>
          <w:sz w:val="24"/>
        </w:rPr>
        <w:t xml:space="preserve"> </w:t>
      </w:r>
      <w:r>
        <w:rPr>
          <w:rStyle w:val="Style16"/>
          <w:sz w:val="24"/>
          <w:szCs w:val="24"/>
        </w:rPr>
        <w:t>низковольтно</w:t>
      </w:r>
      <w:r>
        <w:rPr>
          <w:rStyle w:val="Style16"/>
          <w:sz w:val="24"/>
          <w:szCs w:val="24"/>
        </w:rPr>
        <w:t xml:space="preserve">е </w:t>
      </w:r>
      <w:r>
        <w:rPr>
          <w:rStyle w:val="Style16"/>
          <w:sz w:val="24"/>
          <w:szCs w:val="24"/>
        </w:rPr>
        <w:t>комплектн</w:t>
      </w:r>
      <w:r>
        <w:rPr>
          <w:rStyle w:val="Style16"/>
          <w:sz w:val="24"/>
          <w:szCs w:val="24"/>
        </w:rPr>
        <w:t>ое</w:t>
      </w:r>
      <w:r>
        <w:rPr>
          <w:rStyle w:val="Style16"/>
          <w:sz w:val="24"/>
          <w:szCs w:val="24"/>
        </w:rPr>
        <w:t xml:space="preserve"> устройств</w:t>
      </w:r>
      <w:r>
        <w:rPr>
          <w:rStyle w:val="Style16"/>
          <w:sz w:val="24"/>
          <w:szCs w:val="24"/>
        </w:rPr>
        <w:t>о</w:t>
      </w:r>
      <w:r>
        <w:rPr>
          <w:rStyle w:val="Style16"/>
          <w:sz w:val="24"/>
          <w:szCs w:val="24"/>
        </w:rPr>
        <w:t xml:space="preserve"> производства «ДКС»</w:t>
      </w:r>
      <w:r>
        <w:rPr>
          <w:rStyle w:val="PlaceholderText"/>
          <w:rFonts w:eastAsia="Calibri" w:eastAsiaTheme="minorHAnsi"/>
          <w:b w:val="false"/>
        </w:rPr>
        <w:t xml:space="preserve"> (</w:t>
      </w:r>
      <w:r>
        <w:rPr>
          <w:b w:val="false"/>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pPr>
        <w:pStyle w:val="Title"/>
        <w:numPr>
          <w:ilvl w:val="1"/>
          <w:numId w:val="6"/>
        </w:numPr>
        <w:tabs>
          <w:tab w:val="clear" w:pos="720"/>
          <w:tab w:val="left" w:pos="142" w:leader="none"/>
          <w:tab w:val="left" w:pos="1425" w:leader="none"/>
        </w:tabs>
        <w:spacing w:before="0" w:after="120"/>
        <w:ind w:left="993" w:hanging="851"/>
        <w:jc w:val="both"/>
        <w:rPr>
          <w:b w:val="false"/>
          <w:sz w:val="24"/>
        </w:rPr>
      </w:pPr>
      <w:r>
        <w:rPr>
          <w:b w:val="false"/>
          <w:sz w:val="24"/>
        </w:rPr>
        <w:t>Поставка осуществляется одной партией.</w:t>
      </w:r>
      <w:r>
        <w:rPr>
          <w:sz w:val="24"/>
        </w:rPr>
        <w:t xml:space="preserve"> </w:t>
      </w:r>
    </w:p>
    <w:p>
      <w:pPr>
        <w:pStyle w:val="ListParagraph"/>
        <w:shd w:val="clear" w:color="auto" w:fill="FFFFFF"/>
        <w:tabs>
          <w:tab w:val="clear" w:pos="720"/>
          <w:tab w:val="left" w:pos="142" w:leader="none"/>
          <w:tab w:val="left" w:pos="540" w:leader="none"/>
        </w:tabs>
        <w:spacing w:before="0" w:after="120"/>
        <w:ind w:left="0" w:hanging="0"/>
        <w:contextualSpacing w:val="false"/>
        <w:jc w:val="both"/>
        <w:rPr>
          <w:sz w:val="24"/>
          <w:szCs w:val="24"/>
        </w:rPr>
      </w:pPr>
      <w:r>
        <w:rPr>
          <w:sz w:val="24"/>
          <w:szCs w:val="24"/>
        </w:rPr>
        <w:t xml:space="preserve">   </w:t>
      </w:r>
      <w:r>
        <w:rPr>
          <w:sz w:val="24"/>
          <w:szCs w:val="24"/>
        </w:rPr>
        <w:t xml:space="preserve">1.3. </w:t>
        <w:tab/>
        <w:t xml:space="preserve">    Поставка по Договору выполняется для нужд Воткинского филиала АО «Гидроремонт-ВКК» г. Чайковский.</w:t>
      </w:r>
    </w:p>
    <w:p>
      <w:pPr>
        <w:pStyle w:val="ListParagraph"/>
        <w:shd w:val="clear" w:color="auto" w:fill="FFFFFF"/>
        <w:tabs>
          <w:tab w:val="clear" w:pos="720"/>
          <w:tab w:val="left" w:pos="142" w:leader="none"/>
          <w:tab w:val="left" w:pos="540" w:leader="none"/>
        </w:tabs>
        <w:spacing w:before="0" w:after="120"/>
        <w:ind w:left="0" w:hanging="0"/>
        <w:contextualSpacing w:val="false"/>
        <w:jc w:val="both"/>
        <w:rPr>
          <w:sz w:val="24"/>
          <w:szCs w:val="24"/>
        </w:rPr>
      </w:pPr>
      <w:r>
        <w:rPr>
          <w:sz w:val="24"/>
          <w:szCs w:val="24"/>
        </w:rPr>
        <w:t xml:space="preserve">    </w:t>
      </w:r>
      <w:r>
        <w:rPr>
          <w:sz w:val="24"/>
          <w:szCs w:val="24"/>
        </w:rPr>
        <w:t>1.4. Место поставки: Воткинский филиал АО «Гидроремонт-ВКК» в г. Чайковский, 617761, Пермский край   г. Чайковский, территория Воткинской ГЭС, д.1. (далее – «Место поставки»»).</w:t>
      </w:r>
    </w:p>
    <w:p>
      <w:pPr>
        <w:pStyle w:val="ListParagraph"/>
        <w:shd w:val="clear" w:color="auto" w:fill="FFFFFF"/>
        <w:tabs>
          <w:tab w:val="clear" w:pos="720"/>
          <w:tab w:val="left" w:pos="142" w:leader="none"/>
          <w:tab w:val="left" w:pos="540" w:leader="none"/>
        </w:tabs>
        <w:spacing w:before="0" w:after="120"/>
        <w:ind w:left="0" w:hanging="0"/>
        <w:contextualSpacing w:val="false"/>
        <w:jc w:val="both"/>
        <w:rPr>
          <w:sz w:val="24"/>
          <w:szCs w:val="24"/>
        </w:rPr>
      </w:pPr>
      <w:r>
        <w:rPr>
          <w:sz w:val="24"/>
          <w:szCs w:val="24"/>
        </w:rPr>
        <w:t xml:space="preserve">         </w:t>
      </w:r>
      <w:r>
        <w:rPr>
          <w:sz w:val="24"/>
          <w:szCs w:val="24"/>
        </w:rPr>
        <w:t xml:space="preserve">1.5.  Срок поставки Продукции по договору: Не позднее </w:t>
      </w:r>
      <w:r>
        <w:rPr>
          <w:sz w:val="24"/>
          <w:szCs w:val="24"/>
        </w:rPr>
        <w:t>60</w:t>
      </w:r>
      <w:r>
        <w:rPr>
          <w:sz w:val="24"/>
          <w:szCs w:val="24"/>
        </w:rPr>
        <w:t xml:space="preserve"> (</w:t>
      </w:r>
      <w:r>
        <w:rPr>
          <w:sz w:val="24"/>
          <w:szCs w:val="24"/>
        </w:rPr>
        <w:t>шестидесяти</w:t>
      </w:r>
      <w:r>
        <w:rPr>
          <w:sz w:val="24"/>
          <w:szCs w:val="24"/>
        </w:rPr>
        <w:t>) рабочих дней c даты подписания договора.</w:t>
      </w:r>
    </w:p>
    <w:p>
      <w:pPr>
        <w:pStyle w:val="ListParagraph"/>
        <w:shd w:val="clear" w:color="auto" w:fill="FFFFFF"/>
        <w:tabs>
          <w:tab w:val="clear" w:pos="720"/>
          <w:tab w:val="left" w:pos="-142" w:leader="none"/>
        </w:tabs>
        <w:spacing w:lineRule="auto" w:line="288" w:before="0" w:after="0"/>
        <w:ind w:left="567" w:hanging="0"/>
        <w:contextualSpacing w:val="false"/>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lineRule="auto" w:line="288" w:before="0" w:after="120"/>
        <w:ind w:left="0" w:firstLine="567"/>
        <w:contextualSpacing w:val="false"/>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______________</w:t>
      </w:r>
      <w:r>
        <w:rPr>
          <w:sz w:val="24"/>
          <w:szCs w:val="24"/>
        </w:rPr>
        <w:t xml:space="preserve"> рублей </w:t>
      </w:r>
      <w:r>
        <w:rPr>
          <w:b/>
          <w:sz w:val="24"/>
          <w:szCs w:val="24"/>
        </w:rPr>
        <w:t xml:space="preserve">00 </w:t>
      </w:r>
      <w:r>
        <w:rPr>
          <w:sz w:val="24"/>
          <w:szCs w:val="24"/>
        </w:rPr>
        <w:t xml:space="preserve">копеек, в том числе НДС (22 %) в размере </w:t>
      </w:r>
      <w:r>
        <w:rPr>
          <w:b/>
          <w:sz w:val="24"/>
          <w:szCs w:val="24"/>
        </w:rPr>
        <w:t>____________</w:t>
      </w:r>
      <w:r>
        <w:rPr>
          <w:sz w:val="24"/>
          <w:szCs w:val="24"/>
        </w:rPr>
        <w:t xml:space="preserve"> рублей </w:t>
      </w:r>
      <w:r>
        <w:rPr>
          <w:b/>
          <w:sz w:val="24"/>
          <w:szCs w:val="24"/>
        </w:rPr>
        <w:t>00</w:t>
      </w:r>
      <w:r>
        <w:rPr>
          <w:sz w:val="24"/>
          <w:szCs w:val="24"/>
        </w:rPr>
        <w:t xml:space="preserve"> копеек</w:t>
      </w:r>
      <w:r>
        <w:rPr>
          <w:rStyle w:val="FootnoteReference"/>
          <w:bCs/>
          <w:szCs w:val="28"/>
          <w:vertAlign w:val="superscript"/>
        </w:rPr>
        <w:footnoteReference w:id="2"/>
      </w:r>
      <w:r>
        <w:rPr>
          <w:sz w:val="24"/>
          <w:szCs w:val="24"/>
        </w:rPr>
        <w:t xml:space="preserve">.   </w:t>
      </w:r>
    </w:p>
    <w:p>
      <w:pPr>
        <w:pStyle w:val="ListParagraph"/>
        <w:numPr>
          <w:ilvl w:val="1"/>
          <w:numId w:val="6"/>
        </w:numPr>
        <w:shd w:val="clear" w:color="auto" w:fill="FFFFFF"/>
        <w:tabs>
          <w:tab w:val="clear" w:pos="720"/>
          <w:tab w:val="left" w:pos="0" w:leader="none"/>
          <w:tab w:val="left" w:pos="851" w:leader="none"/>
        </w:tabs>
        <w:spacing w:lineRule="auto" w:line="288" w:before="0" w:after="120"/>
        <w:ind w:left="0" w:firstLine="567"/>
        <w:contextualSpacing w:val="false"/>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 ч. по таможенному оформлению, если применимо), </w:t>
      </w:r>
      <w:r>
        <w:rPr>
          <w:bCs/>
          <w:sz w:val="24"/>
          <w:szCs w:val="24"/>
        </w:rPr>
        <w:t xml:space="preserve">а также </w:t>
      </w:r>
      <w:r>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Стоимость единицы Продукции, а также общая стоимость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 w:val="left" w:pos="1425" w:leader="none"/>
        </w:tabs>
        <w:spacing w:before="0" w:after="120"/>
        <w:ind w:left="0" w:firstLine="567"/>
        <w:contextualSpacing w:val="false"/>
        <w:jc w:val="both"/>
        <w:rPr>
          <w:sz w:val="24"/>
          <w:szCs w:val="24"/>
        </w:rPr>
      </w:pPr>
      <w:r>
        <w:rPr>
          <w:sz w:val="24"/>
          <w:szCs w:val="24"/>
        </w:rPr>
        <w:t>Оплата в соответствии с Договором осуществляется следующим образом:</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2.5.1. Платеж в размере 100% (Сто процентов) от стоимости Продукции выплачивается в течение 30 (тридцати) календарных дней / 7 (семи) рабочих дней</w:t>
      </w:r>
      <w:r>
        <w:rPr>
          <w:rStyle w:val="FootnoteReference"/>
          <w:sz w:val="24"/>
          <w:szCs w:val="24"/>
          <w:vertAlign w:val="superscript"/>
        </w:rPr>
        <w:footnoteReference w:id="3"/>
      </w:r>
      <w:r>
        <w:rPr>
          <w:sz w:val="24"/>
          <w:szCs w:val="24"/>
        </w:rPr>
        <w:t xml:space="preserve"> 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tab/>
      </w:r>
    </w:p>
    <w:p>
      <w:pPr>
        <w:pStyle w:val="ListParagraph"/>
        <w:numPr>
          <w:ilvl w:val="1"/>
          <w:numId w:val="6"/>
        </w:numPr>
        <w:shd w:val="clear" w:color="auto" w:fill="FFFFFF"/>
        <w:tabs>
          <w:tab w:val="clear" w:pos="720"/>
          <w:tab w:val="left" w:pos="0" w:leader="none"/>
          <w:tab w:val="left" w:pos="851" w:leader="none"/>
          <w:tab w:val="left" w:pos="1425" w:leader="none"/>
        </w:tabs>
        <w:spacing w:before="0" w:after="120"/>
        <w:ind w:left="0" w:firstLine="567"/>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ListParagraph"/>
        <w:numPr>
          <w:ilvl w:val="1"/>
          <w:numId w:val="6"/>
        </w:numPr>
        <w:shd w:val="clear" w:color="auto" w:fill="FFFFFF"/>
        <w:tabs>
          <w:tab w:val="clear" w:pos="720"/>
          <w:tab w:val="left" w:pos="0" w:leader="none"/>
          <w:tab w:val="left" w:pos="851" w:leader="none"/>
          <w:tab w:val="left" w:pos="1425" w:leader="none"/>
        </w:tabs>
        <w:spacing w:before="0" w:after="120"/>
        <w:ind w:left="0" w:firstLine="567"/>
        <w:contextualSpacing w:val="false"/>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Сертификат качества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Технический паспорт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Инструкция по эксплуатации (монтажу и т.п.)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Упаковочный лист на Продукцию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sz w:val="24"/>
          <w:szCs w:val="24"/>
        </w:rPr>
      </w:pPr>
      <w:r>
        <w:rPr>
          <w:sz w:val="24"/>
          <w:szCs w:val="24"/>
        </w:rPr>
        <w:t>Обязательные первичные документы:</w:t>
      </w:r>
    </w:p>
    <w:p>
      <w:pPr>
        <w:pStyle w:val="Normal"/>
        <w:shd w:val="clear" w:color="auto" w:fill="FFFFFF"/>
        <w:spacing w:before="0" w:after="120"/>
        <w:ind w:firstLine="567"/>
        <w:jc w:val="both"/>
        <w:rPr>
          <w:sz w:val="24"/>
          <w:szCs w:val="24"/>
        </w:rPr>
      </w:pPr>
      <w:r>
        <w:rPr>
          <w:sz w:val="24"/>
          <w:szCs w:val="24"/>
        </w:rPr>
        <w:t>-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pPr>
        <w:pStyle w:val="Normal"/>
        <w:widowControl w:val="false"/>
        <w:numPr>
          <w:ilvl w:val="0"/>
          <w:numId w:val="5"/>
        </w:numPr>
        <w:shd w:val="clear" w:color="auto" w:fill="FFFFFF"/>
        <w:tabs>
          <w:tab w:val="left" w:pos="720" w:leader="none"/>
          <w:tab w:val="left" w:pos="1134" w:leader="none"/>
          <w:tab w:val="left" w:pos="1276" w:leader="none"/>
          <w:tab w:val="left" w:pos="1353" w:leader="none"/>
        </w:tabs>
        <w:spacing w:before="0" w:after="120"/>
        <w:ind w:left="0" w:firstLine="567"/>
        <w:jc w:val="both"/>
        <w:rPr>
          <w:sz w:val="24"/>
          <w:szCs w:val="24"/>
        </w:rPr>
      </w:pPr>
      <w:r>
        <w:rPr>
          <w:sz w:val="24"/>
          <w:szCs w:val="24"/>
        </w:rPr>
        <w:t xml:space="preserve"> </w:t>
      </w: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bookmarkStart w:id="0" w:name="_GoBack"/>
      <w:bookmarkEnd w:id="0"/>
    </w:p>
    <w:p>
      <w:pPr>
        <w:pStyle w:val="Normal"/>
        <w:widowControl w:val="false"/>
        <w:numPr>
          <w:ilvl w:val="1"/>
          <w:numId w:val="4"/>
        </w:numPr>
        <w:shd w:val="clear" w:color="auto" w:fill="FFFFFF"/>
        <w:tabs>
          <w:tab w:val="clear" w:pos="720"/>
          <w:tab w:val="left" w:pos="1134" w:leader="none"/>
          <w:tab w:val="left" w:pos="1276" w:leader="none"/>
          <w:tab w:val="left" w:pos="1843" w:leader="none"/>
        </w:tabs>
        <w:spacing w:before="0" w:after="120"/>
        <w:ind w:left="-142" w:firstLine="709"/>
        <w:jc w:val="both"/>
        <w:rPr>
          <w:sz w:val="24"/>
          <w:szCs w:val="24"/>
        </w:rPr>
      </w:pPr>
      <w:r>
        <w:rPr>
          <w:sz w:val="24"/>
          <w:szCs w:val="24"/>
        </w:rPr>
        <w:t>Срок гарантийных обязательств Поставщика должен быть равный 36 (тридцати шести) месяцам, исчисляемый с даты ввода Продукции в эксплуатацию, но не более 48 (сорока восьми) месяцев с даты подписания Сторонами соответствующей товарной накладной по форме ТОРГ-12 или Универсального передаточного документа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продукции за каждый день просрочки.</w:t>
      </w:r>
    </w:p>
    <w:p>
      <w:pPr>
        <w:pStyle w:val="Normal"/>
        <w:widowControl w:val="false"/>
        <w:shd w:val="clear" w:color="auto" w:fill="FFFFFF"/>
        <w:tabs>
          <w:tab w:val="clear" w:pos="720"/>
          <w:tab w:val="left" w:pos="1276" w:leader="none"/>
        </w:tabs>
        <w:spacing w:before="0" w:after="120"/>
        <w:ind w:firstLine="1134"/>
        <w:jc w:val="both"/>
        <w:rPr>
          <w:sz w:val="24"/>
          <w:szCs w:val="24"/>
        </w:rPr>
      </w:pPr>
      <w:r>
        <w:rPr>
          <w:sz w:val="24"/>
          <w:szCs w:val="24"/>
        </w:rPr>
        <w:t xml:space="preserve"> </w:t>
      </w:r>
      <w:r>
        <w:rPr>
          <w:sz w:val="24"/>
          <w:szCs w:val="24"/>
        </w:rPr>
        <w:t>В случае несвоевременного устранения Поставщиком выявленных недостатков Продукции, Покупатель вправе потребовать уплаты Поставщиком:</w:t>
      </w:r>
    </w:p>
    <w:p>
      <w:pPr>
        <w:pStyle w:val="Normal"/>
        <w:widowControl w:val="false"/>
        <w:shd w:val="clear" w:color="auto" w:fill="FFFFFF"/>
        <w:tabs>
          <w:tab w:val="clear" w:pos="720"/>
          <w:tab w:val="left" w:pos="1276" w:leader="none"/>
        </w:tabs>
        <w:spacing w:before="0"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pPr>
        <w:pStyle w:val="Normal"/>
        <w:widowControl w:val="false"/>
        <w:shd w:val="clear" w:color="auto" w:fill="FFFFFF"/>
        <w:tabs>
          <w:tab w:val="clear" w:pos="720"/>
          <w:tab w:val="left" w:pos="1276" w:leader="none"/>
        </w:tabs>
        <w:spacing w:before="0" w:after="120"/>
        <w:ind w:firstLine="567"/>
        <w:jc w:val="both"/>
        <w:rPr>
          <w:sz w:val="24"/>
          <w:szCs w:val="24"/>
        </w:rPr>
      </w:pPr>
      <w:r>
        <w:rPr>
          <w:sz w:val="24"/>
          <w:szCs w:val="24"/>
        </w:rPr>
        <w:t>-     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left="709" w:hanging="283"/>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shd w:val="clear" w:color="auto" w:fill="FFFFFF"/>
        <w:ind w:firstLine="567"/>
        <w:jc w:val="both"/>
        <w:rPr>
          <w:bCs/>
          <w:color w:val="000000"/>
          <w:sz w:val="24"/>
          <w:szCs w:val="24"/>
        </w:rPr>
      </w:pPr>
      <w:r>
        <w:rPr>
          <w:sz w:val="24"/>
          <w:szCs w:val="24"/>
        </w:rPr>
        <w:t xml:space="preserve">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20"/>
          <w:tab w:val="left" w:pos="567" w:leader="none"/>
        </w:tabs>
        <w:jc w:val="both"/>
        <w:rPr>
          <w:color w:val="000000"/>
          <w:sz w:val="24"/>
          <w:szCs w:val="24"/>
        </w:rPr>
      </w:pPr>
      <w:r>
        <w:rPr>
          <w:color w:val="000000"/>
          <w:sz w:val="24"/>
          <w:szCs w:val="24"/>
        </w:rPr>
        <w:tab/>
        <w:t xml:space="preserve">Каналы связи Линия доверия Группы РусГидро: </w:t>
      </w:r>
    </w:p>
    <w:p>
      <w:pPr>
        <w:pStyle w:val="Normal"/>
        <w:shd w:val="clear" w:color="auto" w:fill="FFFFFF"/>
        <w:tabs>
          <w:tab w:val="clear" w:pos="720"/>
          <w:tab w:val="left" w:pos="567" w:leader="none"/>
        </w:tabs>
        <w:jc w:val="both"/>
        <w:rPr>
          <w:sz w:val="24"/>
          <w:szCs w:val="24"/>
        </w:rPr>
      </w:pPr>
      <w:r>
        <w:rPr>
          <w:sz w:val="24"/>
          <w:szCs w:val="24"/>
        </w:rPr>
        <w:tab/>
        <w:t>Электронная почта: ld@rushydro.ru.</w:t>
      </w:r>
    </w:p>
    <w:p>
      <w:pPr>
        <w:pStyle w:val="Normal"/>
        <w:shd w:val="clear" w:color="auto" w:fill="FFFFFF"/>
        <w:tabs>
          <w:tab w:val="clear" w:pos="720"/>
          <w:tab w:val="left" w:pos="567" w:leader="none"/>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spacing w:lineRule="auto" w:line="259" w:before="0" w:after="160"/>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rPr>
          <w:t>№ 18162/09</w:t>
        </w:r>
      </w:hyperlink>
      <w:r>
        <w:rPr>
          <w:sz w:val="24"/>
          <w:szCs w:val="24"/>
        </w:rPr>
        <w:t xml:space="preserve"> и от 25.05.2010 </w:t>
      </w:r>
      <w:hyperlink r:id="rId3">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left="0" w:firstLine="567"/>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left="0" w:firstLine="567"/>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Приложения к Договору</w:t>
      </w:r>
    </w:p>
    <w:p>
      <w:pPr>
        <w:pStyle w:val="Heading3"/>
        <w:keepNext w:val="false"/>
        <w:tabs>
          <w:tab w:val="clear" w:pos="0"/>
        </w:tabs>
        <w:overflowPunct w:val="true"/>
        <w:spacing w:before="0" w:after="120"/>
        <w:ind w:left="567" w:hanging="0"/>
        <w:jc w:val="both"/>
        <w:textAlignment w:val="baseline"/>
        <w:rPr>
          <w:b w:val="false"/>
          <w:sz w:val="24"/>
          <w:szCs w:val="24"/>
        </w:rPr>
      </w:pPr>
      <w:bookmarkStart w:id="4" w:name="sub_1"/>
      <w:bookmarkEnd w:id="4"/>
      <w:r>
        <w:rPr>
          <w:b w:val="false"/>
          <w:sz w:val="24"/>
          <w:szCs w:val="24"/>
        </w:rPr>
        <w:t>- Приложение № 1 – Спецификация.</w:t>
      </w:r>
    </w:p>
    <w:p>
      <w:pPr>
        <w:pStyle w:val="Normal"/>
        <w:spacing w:before="0" w:after="120"/>
        <w:ind w:left="567" w:hanging="567"/>
        <w:rPr>
          <w:sz w:val="24"/>
          <w:szCs w:val="24"/>
        </w:rPr>
      </w:pPr>
      <w:r>
        <w:rPr>
          <w:sz w:val="24"/>
          <w:szCs w:val="24"/>
        </w:rPr>
        <w:tab/>
        <w:t>- Приложение № 2 – Технические требования на поставку продукции.</w:t>
      </w:r>
    </w:p>
    <w:p>
      <w:pPr>
        <w:pStyle w:val="Normal"/>
        <w:spacing w:before="0" w:after="120"/>
        <w:ind w:left="567" w:hanging="567"/>
        <w:rPr>
          <w:sz w:val="24"/>
          <w:szCs w:val="24"/>
        </w:rPr>
      </w:pPr>
      <w:r>
        <w:rPr>
          <w:sz w:val="24"/>
          <w:szCs w:val="24"/>
        </w:rPr>
      </w:r>
      <w:bookmarkStart w:id="5" w:name="sub_1_Копия_1"/>
      <w:bookmarkStart w:id="6" w:name="sub_1_Копия_1"/>
      <w:bookmarkEnd w:id="6"/>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 xml:space="preserve">Адреса, реквизиты и подписи Сторон </w:t>
      </w:r>
    </w:p>
    <w:p>
      <w:pPr>
        <w:pStyle w:val="BodyText"/>
        <w:numPr>
          <w:ilvl w:val="0"/>
          <w:numId w:val="0"/>
        </w:numPr>
        <w:spacing w:before="120" w:after="0"/>
        <w:jc w:val="right"/>
        <w:outlineLvl w:val="0"/>
        <w:rPr>
          <w:b/>
          <w:bCs/>
          <w:color w:val="000000"/>
          <w:sz w:val="24"/>
          <w:szCs w:val="24"/>
        </w:rPr>
      </w:pPr>
      <w:r>
        <w:rPr>
          <w:b/>
          <w:bCs/>
          <w:color w:val="000000"/>
          <w:sz w:val="24"/>
          <w:szCs w:val="24"/>
        </w:rPr>
      </w:r>
    </w:p>
    <w:tbl>
      <w:tblPr>
        <w:tblW w:w="9464"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85"/>
        <w:gridCol w:w="4678"/>
      </w:tblGrid>
      <w:tr>
        <w:trPr/>
        <w:tc>
          <w:tcPr>
            <w:tcW w:w="4785" w:type="dxa"/>
            <w:tcBorders/>
          </w:tcPr>
          <w:p>
            <w:pPr>
              <w:pStyle w:val="Normal"/>
              <w:widowControl w:val="false"/>
              <w:suppressAutoHyphens w:val="false"/>
              <w:rPr>
                <w:b/>
                <w:sz w:val="24"/>
                <w:szCs w:val="24"/>
                <w:u w:val="single"/>
              </w:rPr>
            </w:pPr>
            <w:r>
              <w:rPr>
                <w:b/>
                <w:sz w:val="24"/>
                <w:szCs w:val="24"/>
                <w:u w:val="single"/>
              </w:rPr>
              <w:t>Покупатель:</w:t>
            </w:r>
          </w:p>
        </w:tc>
        <w:tc>
          <w:tcPr>
            <w:tcW w:w="4678" w:type="dxa"/>
            <w:tcBorders/>
          </w:tcPr>
          <w:p>
            <w:pPr>
              <w:pStyle w:val="Normal"/>
              <w:widowControl w:val="false"/>
              <w:suppressAutoHyphens w:val="false"/>
              <w:rPr>
                <w:b/>
                <w:sz w:val="24"/>
                <w:szCs w:val="24"/>
                <w:u w:val="single"/>
              </w:rPr>
            </w:pPr>
            <w:r>
              <w:rPr>
                <w:b/>
                <w:sz w:val="24"/>
                <w:szCs w:val="24"/>
                <w:u w:val="single"/>
              </w:rPr>
              <w:t>Поставщик:</w:t>
            </w:r>
          </w:p>
        </w:tc>
      </w:tr>
      <w:tr>
        <w:trPr/>
        <w:tc>
          <w:tcPr>
            <w:tcW w:w="4785" w:type="dxa"/>
            <w:tcBorders/>
          </w:tcPr>
          <w:p>
            <w:pPr>
              <w:pStyle w:val="Normal"/>
              <w:widowControl w:val="false"/>
              <w:suppressAutoHyphens w:val="false"/>
              <w:spacing w:lineRule="auto" w:line="276"/>
              <w:rPr>
                <w:b/>
                <w:sz w:val="24"/>
                <w:szCs w:val="24"/>
              </w:rPr>
            </w:pPr>
            <w:r>
              <w:rPr>
                <w:b/>
                <w:sz w:val="24"/>
                <w:szCs w:val="24"/>
              </w:rPr>
              <w:t>Акционерное общество</w:t>
            </w:r>
          </w:p>
          <w:p>
            <w:pPr>
              <w:pStyle w:val="Normal"/>
              <w:widowControl w:val="false"/>
              <w:pBdr>
                <w:bottom w:val="single" w:sz="12" w:space="1" w:color="000000"/>
              </w:pBdr>
              <w:suppressAutoHyphens w:val="false"/>
              <w:spacing w:lineRule="auto" w:line="276"/>
              <w:rPr>
                <w:b/>
                <w:sz w:val="24"/>
                <w:szCs w:val="24"/>
              </w:rPr>
            </w:pPr>
            <w:r>
              <w:rPr>
                <w:b/>
                <w:sz w:val="24"/>
                <w:szCs w:val="24"/>
              </w:rPr>
              <w:t>«Гидроремонт-ВКК» (АО «Гидроремонт-ВКК»)</w:t>
            </w:r>
          </w:p>
          <w:p>
            <w:pPr>
              <w:pStyle w:val="Normal"/>
              <w:widowControl w:val="false"/>
              <w:pBdr>
                <w:bottom w:val="single" w:sz="12" w:space="1" w:color="000000"/>
              </w:pBdr>
              <w:suppressAutoHyphens w:val="false"/>
              <w:spacing w:lineRule="auto" w:line="276"/>
              <w:rPr>
                <w:sz w:val="24"/>
                <w:szCs w:val="24"/>
              </w:rPr>
            </w:pPr>
            <w:r>
              <w:rPr>
                <w:sz w:val="24"/>
                <w:szCs w:val="24"/>
              </w:rPr>
              <w:t>Юридический адрес: 603140, Нижегородская обл., г.о. город Нижний Новгород, г. Нижний Новгород, пер. Мотальный, д.8 помещ. ВП31, офис С1А, Воткинский филиал АО «Гидроремонт-ВКК» в г. Чайковский</w:t>
            </w:r>
          </w:p>
          <w:p>
            <w:pPr>
              <w:pStyle w:val="Normal"/>
              <w:widowControl w:val="false"/>
              <w:pBdr>
                <w:bottom w:val="single" w:sz="12" w:space="1" w:color="000000"/>
              </w:pBdr>
              <w:suppressAutoHyphens w:val="false"/>
              <w:spacing w:lineRule="auto" w:line="276"/>
              <w:rPr>
                <w:sz w:val="24"/>
                <w:szCs w:val="24"/>
              </w:rPr>
            </w:pPr>
            <w:r>
              <w:rPr>
                <w:sz w:val="24"/>
                <w:szCs w:val="24"/>
              </w:rPr>
              <w:t>Грузополучатель: Воткинский филиал АО «Гидроремонт-ВКК» в г. Чайковский</w:t>
            </w:r>
          </w:p>
          <w:p>
            <w:pPr>
              <w:pStyle w:val="Normal"/>
              <w:widowControl w:val="false"/>
              <w:pBdr>
                <w:bottom w:val="single" w:sz="12" w:space="1" w:color="000000"/>
              </w:pBdr>
              <w:suppressAutoHyphens w:val="false"/>
              <w:spacing w:lineRule="auto" w:line="276"/>
              <w:rPr>
                <w:sz w:val="24"/>
                <w:szCs w:val="24"/>
              </w:rPr>
            </w:pPr>
            <w:r>
              <w:rPr>
                <w:sz w:val="24"/>
                <w:szCs w:val="24"/>
              </w:rPr>
              <w:t>Почтовый адрес: 617761, Российская Федерация, Пермский край, г. Чайковский, Воткинская ГЭС.</w:t>
            </w:r>
          </w:p>
          <w:p>
            <w:pPr>
              <w:pStyle w:val="Normal"/>
              <w:widowControl w:val="false"/>
              <w:pBdr>
                <w:bottom w:val="single" w:sz="12" w:space="1" w:color="000000"/>
              </w:pBdr>
              <w:suppressAutoHyphens w:val="false"/>
              <w:spacing w:lineRule="auto" w:line="276"/>
              <w:rPr>
                <w:sz w:val="24"/>
                <w:szCs w:val="24"/>
              </w:rPr>
            </w:pPr>
            <w:r>
              <w:rPr>
                <w:sz w:val="24"/>
                <w:szCs w:val="24"/>
              </w:rPr>
              <w:t>ИНН 6345012488 КПП 592043001</w:t>
            </w:r>
          </w:p>
          <w:p>
            <w:pPr>
              <w:pStyle w:val="Normal"/>
              <w:widowControl w:val="false"/>
              <w:pBdr>
                <w:bottom w:val="single" w:sz="12" w:space="1" w:color="000000"/>
              </w:pBdr>
              <w:suppressAutoHyphens w:val="false"/>
              <w:spacing w:lineRule="auto" w:line="276"/>
              <w:rPr>
                <w:sz w:val="24"/>
                <w:szCs w:val="24"/>
              </w:rPr>
            </w:pPr>
            <w:r>
              <w:rPr>
                <w:sz w:val="24"/>
                <w:szCs w:val="24"/>
              </w:rPr>
              <w:t>ОГРН: 1036301733005</w:t>
            </w:r>
          </w:p>
          <w:p>
            <w:pPr>
              <w:pStyle w:val="Normal"/>
              <w:widowControl w:val="false"/>
              <w:pBdr>
                <w:bottom w:val="single" w:sz="12" w:space="1" w:color="000000"/>
              </w:pBdr>
              <w:suppressAutoHyphens w:val="false"/>
              <w:spacing w:lineRule="auto" w:line="276"/>
              <w:rPr>
                <w:sz w:val="24"/>
                <w:szCs w:val="24"/>
              </w:rPr>
            </w:pPr>
            <w:r>
              <w:rPr>
                <w:sz w:val="24"/>
                <w:szCs w:val="24"/>
              </w:rPr>
              <w:t>Расчетный счет: 40702810800000060241</w:t>
            </w:r>
          </w:p>
          <w:p>
            <w:pPr>
              <w:pStyle w:val="Normal"/>
              <w:widowControl w:val="false"/>
              <w:pBdr>
                <w:bottom w:val="single" w:sz="12" w:space="1" w:color="000000"/>
              </w:pBdr>
              <w:suppressAutoHyphens w:val="false"/>
              <w:spacing w:lineRule="auto" w:line="276"/>
              <w:rPr>
                <w:sz w:val="24"/>
                <w:szCs w:val="24"/>
              </w:rPr>
            </w:pPr>
            <w:r>
              <w:rPr>
                <w:sz w:val="24"/>
                <w:szCs w:val="24"/>
              </w:rPr>
              <w:t>Наименование банка: Банк ГПБ (АО), г.Москва</w:t>
            </w:r>
          </w:p>
          <w:p>
            <w:pPr>
              <w:pStyle w:val="Normal"/>
              <w:widowControl w:val="false"/>
              <w:pBdr>
                <w:bottom w:val="single" w:sz="12" w:space="1" w:color="000000"/>
              </w:pBdr>
              <w:suppressAutoHyphens w:val="false"/>
              <w:spacing w:lineRule="auto" w:line="276"/>
              <w:rPr>
                <w:sz w:val="24"/>
                <w:szCs w:val="24"/>
              </w:rPr>
            </w:pPr>
            <w:r>
              <w:rPr>
                <w:sz w:val="24"/>
                <w:szCs w:val="24"/>
              </w:rPr>
              <w:t>Кор. Счет: 30101810200000000823 в ГУ Банка России по ЦФО</w:t>
            </w:r>
          </w:p>
          <w:p>
            <w:pPr>
              <w:pStyle w:val="Normal"/>
              <w:widowControl w:val="false"/>
              <w:pBdr>
                <w:bottom w:val="single" w:sz="12" w:space="1" w:color="000000"/>
              </w:pBdr>
              <w:suppressAutoHyphens w:val="false"/>
              <w:spacing w:lineRule="auto" w:line="276"/>
              <w:rPr>
                <w:sz w:val="24"/>
                <w:szCs w:val="24"/>
              </w:rPr>
            </w:pPr>
            <w:r>
              <w:rPr>
                <w:sz w:val="24"/>
                <w:szCs w:val="24"/>
              </w:rPr>
              <w:t>БИК: 044525823</w:t>
            </w:r>
          </w:p>
          <w:p>
            <w:pPr>
              <w:pStyle w:val="Normal"/>
              <w:widowControl w:val="false"/>
              <w:pBdr>
                <w:bottom w:val="single" w:sz="12" w:space="1" w:color="000000"/>
              </w:pBdr>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t>SamohvalovaNV@rushydro.ru</w:t>
            </w:r>
          </w:p>
        </w:tc>
        <w:tc>
          <w:tcPr>
            <w:tcW w:w="4678" w:type="dxa"/>
            <w:tcBorders/>
          </w:tcPr>
          <w:p>
            <w:pPr>
              <w:pStyle w:val="Normal"/>
              <w:widowControl w:val="false"/>
              <w:pBdr>
                <w:bottom w:val="single" w:sz="12" w:space="1" w:color="000000"/>
              </w:pBdr>
              <w:suppressAutoHyphens w:val="false"/>
              <w:spacing w:lineRule="auto" w:line="276"/>
              <w:rPr>
                <w:b/>
                <w:sz w:val="24"/>
                <w:szCs w:val="24"/>
              </w:rPr>
            </w:pPr>
            <w:r>
              <w:rPr>
                <w:b/>
                <w:sz w:val="24"/>
                <w:szCs w:val="24"/>
              </w:rPr>
            </w:r>
          </w:p>
          <w:p>
            <w:pPr>
              <w:pStyle w:val="Normal"/>
              <w:widowControl w:val="false"/>
              <w:pBdr>
                <w:bottom w:val="single" w:sz="12" w:space="1" w:color="000000"/>
              </w:pBdr>
              <w:suppressAutoHyphens w:val="false"/>
              <w:spacing w:lineRule="auto" w:line="276"/>
              <w:rPr>
                <w:b/>
                <w:sz w:val="24"/>
                <w:szCs w:val="24"/>
              </w:rPr>
            </w:pPr>
            <w:r>
              <w:rPr>
                <w:b/>
                <w:sz w:val="24"/>
                <w:szCs w:val="24"/>
              </w:rPr>
            </w:r>
          </w:p>
          <w:p>
            <w:pPr>
              <w:pStyle w:val="Normal"/>
              <w:widowControl w:val="false"/>
              <w:pBdr>
                <w:bottom w:val="single" w:sz="12" w:space="1" w:color="000000"/>
              </w:pBdr>
              <w:suppressAutoHyphens w:val="false"/>
              <w:spacing w:lineRule="auto" w:line="276"/>
              <w:rPr>
                <w:sz w:val="24"/>
                <w:szCs w:val="24"/>
              </w:rPr>
            </w:pPr>
            <w:r>
              <w:rPr>
                <w:sz w:val="24"/>
                <w:szCs w:val="24"/>
              </w:rPr>
              <w:t xml:space="preserve">Юридический адрес: </w:t>
            </w:r>
          </w:p>
          <w:p>
            <w:pPr>
              <w:pStyle w:val="Normal"/>
              <w:widowControl w:val="false"/>
              <w:pBdr>
                <w:bottom w:val="single" w:sz="12" w:space="1" w:color="000000"/>
              </w:pBdr>
              <w:suppressAutoHyphens w:val="false"/>
              <w:spacing w:lineRule="auto" w:line="276"/>
              <w:rPr>
                <w:sz w:val="24"/>
                <w:szCs w:val="24"/>
              </w:rPr>
            </w:pPr>
            <w:r>
              <w:rPr>
                <w:sz w:val="24"/>
                <w:szCs w:val="24"/>
              </w:rPr>
              <w:t xml:space="preserve">Почтовый адрес: </w:t>
            </w:r>
          </w:p>
          <w:p>
            <w:pPr>
              <w:pStyle w:val="Normal"/>
              <w:widowControl w:val="false"/>
              <w:pBdr>
                <w:bottom w:val="single" w:sz="12" w:space="1" w:color="000000"/>
              </w:pBdr>
              <w:suppressAutoHyphens w:val="false"/>
              <w:spacing w:lineRule="auto" w:line="276"/>
              <w:rPr>
                <w:sz w:val="24"/>
                <w:szCs w:val="24"/>
              </w:rPr>
            </w:pPr>
            <w:r>
              <w:rPr>
                <w:sz w:val="24"/>
                <w:szCs w:val="24"/>
              </w:rPr>
            </w:r>
          </w:p>
          <w:p>
            <w:pPr>
              <w:pStyle w:val="Normal"/>
              <w:widowControl w:val="false"/>
              <w:pBdr>
                <w:bottom w:val="single" w:sz="12" w:space="1" w:color="000000"/>
              </w:pBdr>
              <w:suppressAutoHyphens w:val="false"/>
              <w:spacing w:lineRule="auto" w:line="276"/>
              <w:rPr>
                <w:sz w:val="24"/>
                <w:szCs w:val="24"/>
              </w:rPr>
            </w:pPr>
            <w:r>
              <w:rPr>
                <w:sz w:val="24"/>
                <w:szCs w:val="24"/>
              </w:rPr>
              <w:t xml:space="preserve">ИНН/КПП: </w:t>
            </w:r>
          </w:p>
          <w:p>
            <w:pPr>
              <w:pStyle w:val="Normal"/>
              <w:widowControl w:val="false"/>
              <w:pBdr>
                <w:bottom w:val="single" w:sz="12" w:space="1" w:color="000000"/>
              </w:pBdr>
              <w:suppressAutoHyphens w:val="false"/>
              <w:spacing w:lineRule="auto" w:line="276"/>
              <w:rPr>
                <w:sz w:val="24"/>
                <w:szCs w:val="24"/>
              </w:rPr>
            </w:pPr>
            <w:r>
              <w:rPr>
                <w:sz w:val="24"/>
                <w:szCs w:val="24"/>
              </w:rPr>
              <w:t xml:space="preserve">ОГРН: </w:t>
            </w:r>
          </w:p>
          <w:p>
            <w:pPr>
              <w:pStyle w:val="Normal"/>
              <w:widowControl w:val="false"/>
              <w:pBdr>
                <w:bottom w:val="single" w:sz="12" w:space="1" w:color="000000"/>
              </w:pBdr>
              <w:suppressAutoHyphens w:val="false"/>
              <w:spacing w:lineRule="auto" w:line="276"/>
              <w:rPr>
                <w:sz w:val="24"/>
                <w:szCs w:val="24"/>
              </w:rPr>
            </w:pPr>
            <w:r>
              <w:rPr>
                <w:sz w:val="24"/>
                <w:szCs w:val="24"/>
              </w:rPr>
              <w:t xml:space="preserve">Расчетный счет: </w:t>
            </w:r>
          </w:p>
          <w:p>
            <w:pPr>
              <w:pStyle w:val="Normal"/>
              <w:widowControl w:val="false"/>
              <w:pBdr>
                <w:bottom w:val="single" w:sz="12" w:space="1" w:color="000000"/>
              </w:pBdr>
              <w:suppressAutoHyphens w:val="false"/>
              <w:spacing w:lineRule="auto" w:line="276"/>
              <w:rPr>
                <w:sz w:val="24"/>
                <w:szCs w:val="24"/>
              </w:rPr>
            </w:pPr>
            <w:r>
              <w:rPr>
                <w:sz w:val="24"/>
                <w:szCs w:val="24"/>
              </w:rPr>
              <w:t xml:space="preserve">Наименование банка: </w:t>
            </w:r>
          </w:p>
          <w:p>
            <w:pPr>
              <w:pStyle w:val="Normal"/>
              <w:widowControl w:val="false"/>
              <w:pBdr>
                <w:bottom w:val="single" w:sz="12" w:space="1" w:color="000000"/>
              </w:pBdr>
              <w:suppressAutoHyphens w:val="false"/>
              <w:spacing w:lineRule="auto" w:line="276"/>
              <w:rPr>
                <w:sz w:val="24"/>
                <w:szCs w:val="24"/>
              </w:rPr>
            </w:pPr>
            <w:r>
              <w:rPr>
                <w:sz w:val="24"/>
                <w:szCs w:val="24"/>
              </w:rPr>
              <w:t xml:space="preserve">Кор. Счет: </w:t>
            </w:r>
          </w:p>
          <w:p>
            <w:pPr>
              <w:pStyle w:val="Normal"/>
              <w:widowControl w:val="false"/>
              <w:pBdr>
                <w:bottom w:val="single" w:sz="12" w:space="1" w:color="000000"/>
              </w:pBdr>
              <w:suppressAutoHyphens w:val="false"/>
              <w:spacing w:lineRule="auto" w:line="276"/>
              <w:rPr>
                <w:sz w:val="24"/>
                <w:szCs w:val="24"/>
              </w:rPr>
            </w:pPr>
            <w:r>
              <w:rPr>
                <w:sz w:val="24"/>
                <w:szCs w:val="24"/>
              </w:rPr>
              <w:t xml:space="preserve">БИК: </w:t>
            </w:r>
          </w:p>
          <w:p>
            <w:pPr>
              <w:pStyle w:val="Normal"/>
              <w:widowControl w:val="false"/>
              <w:pBdr>
                <w:bottom w:val="single" w:sz="12" w:space="1" w:color="000000"/>
              </w:pBdr>
              <w:suppressAutoHyphens w:val="false"/>
              <w:spacing w:lineRule="auto" w:line="276"/>
              <w:rPr>
                <w:sz w:val="24"/>
                <w:szCs w:val="24"/>
              </w:rPr>
            </w:pPr>
            <w:r>
              <w:rPr>
                <w:sz w:val="24"/>
                <w:szCs w:val="24"/>
              </w:rPr>
            </w:r>
          </w:p>
          <w:p>
            <w:pPr>
              <w:pStyle w:val="Normal"/>
              <w:widowControl w:val="false"/>
              <w:suppressAutoHyphens w:val="false"/>
              <w:rPr>
                <w:sz w:val="24"/>
                <w:szCs w:val="24"/>
              </w:rPr>
            </w:pPr>
            <w:r>
              <w:rPr>
                <w:sz w:val="24"/>
                <w:szCs w:val="24"/>
              </w:rPr>
            </w:r>
          </w:p>
        </w:tc>
      </w:tr>
      <w:tr>
        <w:trPr>
          <w:trHeight w:val="80" w:hRule="atLeast"/>
        </w:trPr>
        <w:tc>
          <w:tcPr>
            <w:tcW w:w="4785" w:type="dxa"/>
            <w:tcBorders/>
          </w:tcPr>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t>_______________ /Н.В. Глазырин /</w:t>
            </w:r>
          </w:p>
          <w:p>
            <w:pPr>
              <w:pStyle w:val="Normal"/>
              <w:widowControl w:val="false"/>
              <w:suppressAutoHyphens w:val="false"/>
              <w:spacing w:lineRule="auto" w:line="276"/>
              <w:rPr>
                <w:sz w:val="24"/>
                <w:szCs w:val="24"/>
              </w:rPr>
            </w:pPr>
            <w:r>
              <w:rPr>
                <w:sz w:val="24"/>
                <w:szCs w:val="24"/>
              </w:rPr>
              <w:t>м.п.</w:t>
            </w:r>
          </w:p>
        </w:tc>
        <w:tc>
          <w:tcPr>
            <w:tcW w:w="4678" w:type="dxa"/>
            <w:tcBorders/>
          </w:tcPr>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t>________________ /</w:t>
            </w:r>
            <w:r>
              <w:rPr/>
              <w:t xml:space="preserve"> </w:t>
            </w:r>
            <w:r>
              <w:rPr>
                <w:sz w:val="24"/>
                <w:szCs w:val="24"/>
              </w:rPr>
              <w:t>________ /</w:t>
            </w:r>
          </w:p>
          <w:p>
            <w:pPr>
              <w:pStyle w:val="Normal"/>
              <w:widowControl w:val="false"/>
              <w:suppressAutoHyphens w:val="false"/>
              <w:spacing w:lineRule="auto" w:line="276"/>
              <w:rPr>
                <w:sz w:val="24"/>
                <w:szCs w:val="24"/>
              </w:rPr>
            </w:pPr>
            <w:r>
              <w:rPr>
                <w:sz w:val="24"/>
                <w:szCs w:val="24"/>
              </w:rPr>
              <w:t>м. п.</w:t>
            </w:r>
          </w:p>
        </w:tc>
      </w:tr>
    </w:tbl>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lang w:val="en-US"/>
        </w:rPr>
      </w:pPr>
      <w:r>
        <w:rPr>
          <w:b/>
          <w:bCs/>
          <w:sz w:val="24"/>
          <w:szCs w:val="24"/>
          <w:lang w:val="en-US"/>
        </w:rPr>
      </w:r>
    </w:p>
    <w:p>
      <w:pPr>
        <w:pStyle w:val="BodyText"/>
        <w:numPr>
          <w:ilvl w:val="0"/>
          <w:numId w:val="0"/>
        </w:numPr>
        <w:jc w:val="right"/>
        <w:outlineLvl w:val="0"/>
        <w:rPr>
          <w:b/>
          <w:bCs/>
          <w:sz w:val="24"/>
          <w:szCs w:val="24"/>
        </w:rPr>
      </w:pPr>
      <w:r>
        <w:rPr>
          <w:b/>
          <w:bCs/>
          <w:sz w:val="24"/>
          <w:szCs w:val="24"/>
          <w:lang w:val="en-US"/>
        </w:rPr>
        <w:t>П</w:t>
      </w:r>
      <w:r>
        <w:rPr>
          <w:b/>
          <w:bCs/>
          <w:sz w:val="24"/>
          <w:szCs w:val="24"/>
        </w:rPr>
        <w:t>риложение № 1</w:t>
      </w:r>
    </w:p>
    <w:p>
      <w:pPr>
        <w:pStyle w:val="BodyText"/>
        <w:ind w:firstLine="567"/>
        <w:jc w:val="right"/>
        <w:rPr>
          <w:bCs/>
          <w:sz w:val="24"/>
          <w:szCs w:val="24"/>
        </w:rPr>
      </w:pPr>
      <w:r>
        <w:rPr>
          <w:bCs/>
          <w:sz w:val="24"/>
          <w:szCs w:val="24"/>
        </w:rPr>
        <w:t xml:space="preserve">к договору поставки №-Вот/пос-25 </w:t>
      </w:r>
    </w:p>
    <w:p>
      <w:pPr>
        <w:pStyle w:val="BodyText"/>
        <w:ind w:firstLine="567"/>
        <w:jc w:val="right"/>
        <w:rPr>
          <w:bCs/>
          <w:sz w:val="24"/>
          <w:szCs w:val="24"/>
        </w:rPr>
      </w:pPr>
      <w:r>
        <w:rPr>
          <w:bCs/>
          <w:sz w:val="24"/>
          <w:szCs w:val="24"/>
        </w:rPr>
        <w:t>от «  »           20</w:t>
      </w:r>
      <w:r>
        <w:rPr>
          <w:bCs/>
          <w:sz w:val="24"/>
          <w:szCs w:val="24"/>
          <w:u w:val="single"/>
          <w:lang w:val="en-US"/>
        </w:rPr>
        <w:t xml:space="preserve">     </w:t>
      </w:r>
      <w:r>
        <w:rPr>
          <w:bCs/>
          <w:sz w:val="24"/>
          <w:szCs w:val="24"/>
        </w:rPr>
        <w:t xml:space="preserve"> г.</w:t>
      </w:r>
    </w:p>
    <w:p>
      <w:pPr>
        <w:pStyle w:val="BodyText"/>
        <w:ind w:firstLine="567"/>
        <w:jc w:val="right"/>
        <w:rPr>
          <w:bCs/>
          <w:sz w:val="24"/>
          <w:szCs w:val="24"/>
        </w:rPr>
      </w:pPr>
      <w:r>
        <w:rPr>
          <w:bCs/>
          <w:sz w:val="24"/>
          <w:szCs w:val="24"/>
        </w:rPr>
      </w:r>
    </w:p>
    <w:p>
      <w:pPr>
        <w:pStyle w:val="Normal"/>
        <w:numPr>
          <w:ilvl w:val="0"/>
          <w:numId w:val="0"/>
        </w:numPr>
        <w:spacing w:before="120" w:after="120"/>
        <w:ind w:firstLine="567"/>
        <w:jc w:val="center"/>
        <w:outlineLvl w:val="0"/>
        <w:rPr>
          <w:b/>
          <w:sz w:val="24"/>
          <w:szCs w:val="24"/>
        </w:rPr>
      </w:pPr>
      <w:r>
        <w:rPr>
          <w:b/>
          <w:sz w:val="24"/>
          <w:szCs w:val="24"/>
        </w:rPr>
        <w:t>Спецификация №1</w:t>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434"/>
        <w:gridCol w:w="2986"/>
        <w:gridCol w:w="1903"/>
        <w:gridCol w:w="625"/>
        <w:gridCol w:w="705"/>
        <w:gridCol w:w="1449"/>
        <w:gridCol w:w="1960"/>
      </w:tblGrid>
      <w:tr>
        <w:trPr/>
        <w:tc>
          <w:tcPr>
            <w:tcW w:w="4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both"/>
              <w:rPr>
                <w:b/>
              </w:rPr>
            </w:pPr>
            <w:r>
              <w:rPr>
                <w:b/>
              </w:rPr>
              <w:t>№</w:t>
            </w:r>
          </w:p>
        </w:tc>
        <w:tc>
          <w:tcPr>
            <w:tcW w:w="29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Наименование продукции</w:t>
            </w:r>
          </w:p>
        </w:tc>
        <w:tc>
          <w:tcPr>
            <w:tcW w:w="19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360"/>
              <w:jc w:val="center"/>
              <w:rPr>
                <w:b/>
                <w:sz w:val="24"/>
                <w:szCs w:val="24"/>
              </w:rPr>
            </w:pPr>
            <w:r>
              <w:rPr>
                <w:b/>
                <w:sz w:val="24"/>
                <w:szCs w:val="24"/>
              </w:rPr>
              <w:t>Страна происхождения товара</w:t>
            </w:r>
          </w:p>
        </w:tc>
        <w:tc>
          <w:tcPr>
            <w:tcW w:w="6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ЕИ.</w:t>
            </w:r>
          </w:p>
        </w:tc>
        <w:tc>
          <w:tcPr>
            <w:tcW w:w="70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Кол.</w:t>
            </w:r>
          </w:p>
        </w:tc>
        <w:tc>
          <w:tcPr>
            <w:tcW w:w="14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Цена без НДС</w:t>
            </w:r>
          </w:p>
        </w:tc>
        <w:tc>
          <w:tcPr>
            <w:tcW w:w="19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Сумма без НДС</w:t>
            </w:r>
          </w:p>
        </w:tc>
      </w:tr>
      <w:tr>
        <w:trPr/>
        <w:tc>
          <w:tcPr>
            <w:tcW w:w="4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right"/>
              <w:rPr>
                <w:sz w:val="22"/>
                <w:szCs w:val="22"/>
              </w:rPr>
            </w:pPr>
            <w:r>
              <w:rPr>
                <w:sz w:val="22"/>
                <w:szCs w:val="22"/>
              </w:rPr>
              <w:t>1</w:t>
            </w:r>
          </w:p>
        </w:tc>
        <w:tc>
          <w:tcPr>
            <w:tcW w:w="2986" w:type="dxa"/>
            <w:tcBorders>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r>
          </w:p>
        </w:tc>
        <w:tc>
          <w:tcPr>
            <w:tcW w:w="1903" w:type="dxa"/>
            <w:tcBorders>
              <w:bottom w:val="single" w:sz="4" w:space="0" w:color="000000"/>
              <w:right w:val="single" w:sz="4" w:space="0" w:color="000000"/>
            </w:tcBorders>
          </w:tcPr>
          <w:p>
            <w:pPr>
              <w:pStyle w:val="Normal"/>
              <w:widowControl w:val="false"/>
              <w:jc w:val="center"/>
              <w:rPr>
                <w:sz w:val="22"/>
                <w:szCs w:val="22"/>
              </w:rPr>
            </w:pPr>
            <w:r>
              <w:rPr>
                <w:sz w:val="22"/>
                <w:szCs w:val="22"/>
              </w:rPr>
            </w:r>
          </w:p>
        </w:tc>
        <w:tc>
          <w:tcPr>
            <w:tcW w:w="625" w:type="dxa"/>
            <w:tcBorders>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r>
          </w:p>
        </w:tc>
        <w:tc>
          <w:tcPr>
            <w:tcW w:w="705" w:type="dxa"/>
            <w:tcBorders>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r>
          </w:p>
        </w:tc>
        <w:tc>
          <w:tcPr>
            <w:tcW w:w="1449" w:type="dxa"/>
            <w:tcBorders>
              <w:top w:val="single" w:sz="4" w:space="0" w:color="000000"/>
              <w:bottom w:val="single" w:sz="4" w:space="0" w:color="000000"/>
              <w:right w:val="single" w:sz="4" w:space="0" w:color="000000"/>
            </w:tcBorders>
            <w:shd w:color="auto" w:fill="auto" w:val="clear"/>
          </w:tcPr>
          <w:p>
            <w:pPr>
              <w:pStyle w:val="Normal"/>
              <w:widowControl w:val="false"/>
              <w:jc w:val="right"/>
              <w:rPr>
                <w:sz w:val="22"/>
                <w:szCs w:val="22"/>
              </w:rPr>
            </w:pPr>
            <w:r>
              <w:rPr>
                <w:sz w:val="22"/>
                <w:szCs w:val="22"/>
              </w:rPr>
            </w:r>
          </w:p>
        </w:tc>
        <w:tc>
          <w:tcPr>
            <w:tcW w:w="19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right"/>
              <w:rPr>
                <w:sz w:val="22"/>
                <w:szCs w:val="22"/>
              </w:rPr>
            </w:pPr>
            <w:r>
              <w:rPr>
                <w:sz w:val="22"/>
                <w:szCs w:val="22"/>
              </w:rPr>
            </w:r>
          </w:p>
        </w:tc>
      </w:tr>
      <w:tr>
        <w:trPr>
          <w:trHeight w:val="284" w:hRule="atLeast"/>
        </w:trPr>
        <w:tc>
          <w:tcPr>
            <w:tcW w:w="8102"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120" w:after="120"/>
              <w:ind w:firstLine="567"/>
              <w:jc w:val="right"/>
              <w:outlineLvl w:val="0"/>
              <w:rPr>
                <w:b/>
                <w:sz w:val="24"/>
                <w:szCs w:val="24"/>
              </w:rPr>
            </w:pPr>
            <w:r>
              <w:rPr>
                <w:b/>
                <w:bCs/>
                <w:color w:val="000000"/>
                <w:sz w:val="22"/>
                <w:szCs w:val="22"/>
              </w:rPr>
              <w:t>Итого без НДС (20%)</w:t>
            </w:r>
          </w:p>
        </w:tc>
        <w:tc>
          <w:tcPr>
            <w:tcW w:w="196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120" w:after="120"/>
              <w:outlineLvl w:val="0"/>
              <w:rPr>
                <w:b/>
                <w:sz w:val="24"/>
                <w:szCs w:val="24"/>
              </w:rPr>
            </w:pPr>
            <w:r>
              <w:rPr>
                <w:b/>
                <w:sz w:val="24"/>
                <w:szCs w:val="24"/>
              </w:rPr>
            </w:r>
          </w:p>
        </w:tc>
      </w:tr>
      <w:tr>
        <w:trPr>
          <w:trHeight w:val="284" w:hRule="atLeast"/>
        </w:trPr>
        <w:tc>
          <w:tcPr>
            <w:tcW w:w="8102" w:type="dxa"/>
            <w:gridSpan w:val="6"/>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right"/>
              <w:rPr>
                <w:b/>
                <w:bCs/>
                <w:sz w:val="24"/>
                <w:szCs w:val="24"/>
              </w:rPr>
            </w:pPr>
            <w:r>
              <w:rPr>
                <w:b/>
                <w:bCs/>
                <w:color w:val="000000"/>
                <w:szCs w:val="22"/>
              </w:rPr>
              <w:t>В том числе НДС (20%)</w:t>
            </w:r>
          </w:p>
        </w:tc>
        <w:tc>
          <w:tcPr>
            <w:tcW w:w="1960" w:type="dxa"/>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center"/>
              <w:rPr>
                <w:b/>
                <w:bCs/>
                <w:sz w:val="24"/>
                <w:szCs w:val="24"/>
              </w:rPr>
            </w:pPr>
            <w:r>
              <w:rPr>
                <w:b/>
                <w:bCs/>
                <w:sz w:val="24"/>
                <w:szCs w:val="24"/>
              </w:rPr>
            </w:r>
          </w:p>
        </w:tc>
      </w:tr>
      <w:tr>
        <w:trPr>
          <w:trHeight w:val="284" w:hRule="atLeast"/>
        </w:trPr>
        <w:tc>
          <w:tcPr>
            <w:tcW w:w="8102" w:type="dxa"/>
            <w:gridSpan w:val="6"/>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right"/>
              <w:rPr>
                <w:b/>
                <w:bCs/>
                <w:sz w:val="24"/>
                <w:szCs w:val="24"/>
              </w:rPr>
            </w:pPr>
            <w:r>
              <w:rPr>
                <w:b/>
                <w:bCs/>
                <w:color w:val="000000"/>
                <w:szCs w:val="22"/>
              </w:rPr>
              <w:t>Итого с НДС (20%)</w:t>
            </w:r>
          </w:p>
        </w:tc>
        <w:tc>
          <w:tcPr>
            <w:tcW w:w="1960" w:type="dxa"/>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center"/>
              <w:rPr>
                <w:b/>
                <w:bCs/>
                <w:sz w:val="24"/>
                <w:szCs w:val="24"/>
              </w:rPr>
            </w:pPr>
            <w:r>
              <w:rPr>
                <w:b/>
                <w:bCs/>
                <w:sz w:val="24"/>
                <w:szCs w:val="24"/>
              </w:rPr>
            </w:r>
          </w:p>
        </w:tc>
      </w:tr>
    </w:tbl>
    <w:p>
      <w:pPr>
        <w:pStyle w:val="Normal"/>
        <w:numPr>
          <w:ilvl w:val="0"/>
          <w:numId w:val="0"/>
        </w:numPr>
        <w:spacing w:before="120" w:after="120"/>
        <w:ind w:firstLine="567"/>
        <w:jc w:val="center"/>
        <w:outlineLvl w:val="0"/>
        <w:rPr>
          <w:b/>
          <w:sz w:val="24"/>
          <w:szCs w:val="24"/>
        </w:rPr>
      </w:pPr>
      <w:r>
        <w:rPr>
          <w:b/>
          <w:sz w:val="24"/>
          <w:szCs w:val="24"/>
        </w:rPr>
      </w:r>
    </w:p>
    <w:p>
      <w:pPr>
        <w:pStyle w:val="BodyText"/>
        <w:spacing w:before="120" w:after="120"/>
        <w:ind w:firstLine="284"/>
        <w:rPr>
          <w:b/>
          <w:bCs/>
          <w:sz w:val="24"/>
          <w:szCs w:val="24"/>
        </w:rPr>
      </w:pPr>
      <w:r>
        <w:rPr>
          <w:b/>
          <w:bCs/>
          <w:sz w:val="24"/>
          <w:szCs w:val="24"/>
        </w:rPr>
        <w:t>Условия поставки:</w:t>
      </w:r>
    </w:p>
    <w:p>
      <w:pPr>
        <w:pStyle w:val="Normal"/>
        <w:widowControl w:val="false"/>
        <w:numPr>
          <w:ilvl w:val="0"/>
          <w:numId w:val="19"/>
        </w:numPr>
        <w:tabs>
          <w:tab w:val="left" w:pos="720" w:leader="none"/>
        </w:tabs>
        <w:spacing w:before="120" w:after="120"/>
        <w:ind w:left="0" w:firstLine="284"/>
        <w:jc w:val="both"/>
        <w:rPr>
          <w:sz w:val="24"/>
          <w:szCs w:val="24"/>
        </w:rPr>
      </w:pPr>
      <w:r>
        <w:rPr>
          <w:sz w:val="24"/>
          <w:szCs w:val="24"/>
        </w:rPr>
        <w:t xml:space="preserve">Общая сумма Спецификации составляет </w:t>
      </w:r>
      <w:r>
        <w:rPr>
          <w:b/>
          <w:sz w:val="24"/>
          <w:szCs w:val="24"/>
        </w:rPr>
        <w:t>____</w:t>
      </w:r>
      <w:r>
        <w:rPr>
          <w:sz w:val="24"/>
          <w:szCs w:val="24"/>
        </w:rPr>
        <w:t xml:space="preserve"> рублей </w:t>
      </w:r>
      <w:r>
        <w:rPr>
          <w:b/>
          <w:sz w:val="24"/>
          <w:szCs w:val="24"/>
        </w:rPr>
        <w:t xml:space="preserve">00 </w:t>
      </w:r>
      <w:r>
        <w:rPr>
          <w:sz w:val="24"/>
          <w:szCs w:val="24"/>
        </w:rPr>
        <w:t xml:space="preserve">копеек, в том числе НДС (22 %) в размере </w:t>
      </w:r>
      <w:r>
        <w:rPr>
          <w:b/>
          <w:sz w:val="24"/>
          <w:szCs w:val="24"/>
        </w:rPr>
        <w:t xml:space="preserve">СУММА </w:t>
      </w:r>
      <w:r>
        <w:rPr>
          <w:sz w:val="24"/>
          <w:szCs w:val="24"/>
        </w:rPr>
        <w:t xml:space="preserve">____рублей </w:t>
      </w:r>
      <w:r>
        <w:rPr>
          <w:b/>
          <w:sz w:val="24"/>
          <w:szCs w:val="24"/>
        </w:rPr>
        <w:t>00</w:t>
      </w:r>
      <w:r>
        <w:rPr>
          <w:sz w:val="24"/>
          <w:szCs w:val="24"/>
        </w:rPr>
        <w:t xml:space="preserve"> копеек.</w:t>
      </w:r>
      <w:r>
        <w:rPr>
          <w:b/>
          <w:sz w:val="24"/>
          <w:szCs w:val="24"/>
        </w:rPr>
        <w:t xml:space="preserve"> </w:t>
      </w:r>
    </w:p>
    <w:p>
      <w:pPr>
        <w:pStyle w:val="Normal"/>
        <w:widowControl w:val="false"/>
        <w:numPr>
          <w:ilvl w:val="0"/>
          <w:numId w:val="20"/>
        </w:numPr>
        <w:tabs>
          <w:tab w:val="left" w:pos="720" w:leader="none"/>
        </w:tabs>
        <w:spacing w:before="120" w:after="120"/>
        <w:ind w:left="0" w:firstLine="284"/>
        <w:jc w:val="both"/>
        <w:rPr>
          <w:sz w:val="24"/>
          <w:szCs w:val="24"/>
        </w:rPr>
      </w:pPr>
      <w:r>
        <w:rPr>
          <w:sz w:val="24"/>
          <w:szCs w:val="24"/>
        </w:rPr>
        <w:t xml:space="preserve">Срок поставки Продукции: Не позднее </w:t>
      </w:r>
      <w:r>
        <w:rPr>
          <w:sz w:val="24"/>
          <w:szCs w:val="24"/>
        </w:rPr>
        <w:t>60</w:t>
      </w:r>
      <w:r>
        <w:rPr>
          <w:sz w:val="24"/>
          <w:szCs w:val="24"/>
        </w:rPr>
        <w:t xml:space="preserve"> рабочих дней c даты подписания договора.</w:t>
      </w:r>
    </w:p>
    <w:p>
      <w:pPr>
        <w:pStyle w:val="Normal"/>
        <w:widowControl w:val="false"/>
        <w:numPr>
          <w:ilvl w:val="0"/>
          <w:numId w:val="21"/>
        </w:numPr>
        <w:tabs>
          <w:tab w:val="left" w:pos="720" w:leader="none"/>
        </w:tabs>
        <w:spacing w:before="120" w:after="120"/>
        <w:ind w:left="0" w:firstLine="284"/>
        <w:jc w:val="both"/>
        <w:rPr>
          <w:sz w:val="24"/>
          <w:szCs w:val="24"/>
        </w:rPr>
      </w:pPr>
      <w:r>
        <w:rPr>
          <w:sz w:val="24"/>
          <w:szCs w:val="24"/>
        </w:rPr>
        <w:t>Иные условия, предусмотренные техническими требованиями.</w:t>
      </w:r>
    </w:p>
    <w:p>
      <w:pPr>
        <w:pStyle w:val="Normal"/>
        <w:widowControl w:val="false"/>
        <w:numPr>
          <w:ilvl w:val="0"/>
          <w:numId w:val="22"/>
        </w:numPr>
        <w:tabs>
          <w:tab w:val="left" w:pos="720" w:leader="none"/>
        </w:tabs>
        <w:spacing w:before="120" w:after="120"/>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pPr>
        <w:pStyle w:val="Normal"/>
        <w:rPr>
          <w:sz w:val="24"/>
          <w:szCs w:val="24"/>
          <w:u w:val="single"/>
        </w:rPr>
      </w:pPr>
      <w:r>
        <w:rPr>
          <w:sz w:val="24"/>
          <w:szCs w:val="24"/>
          <w:u w:val="single"/>
        </w:rPr>
        <w:t>Покупатель:</w:t>
      </w:r>
    </w:p>
    <w:p>
      <w:pPr>
        <w:pStyle w:val="Normal"/>
        <w:rPr>
          <w:sz w:val="24"/>
          <w:szCs w:val="24"/>
        </w:rPr>
      </w:pPr>
      <w:r>
        <w:rPr>
          <w:sz w:val="24"/>
          <w:szCs w:val="24"/>
        </w:rPr>
        <w:t>АО «Гидроремонт-ВКК», адрес покупателя: 603140, Нижегородская обл., г.о. город Нижний Новгород, г. Нижний Новгород, пер. Мотальный, д.8 помещ. ВП31, офис С1А, Воткинский филиал АО «Гидроремонт-ВКК» в г. Чайковский, ИНН 6345012488, КПП 592043001.</w:t>
      </w:r>
    </w:p>
    <w:p>
      <w:pPr>
        <w:pStyle w:val="Normal"/>
        <w:rPr>
          <w:sz w:val="24"/>
          <w:szCs w:val="24"/>
          <w:u w:val="single"/>
        </w:rPr>
      </w:pPr>
      <w:r>
        <w:rPr>
          <w:sz w:val="24"/>
          <w:szCs w:val="24"/>
          <w:u w:val="single"/>
        </w:rPr>
        <w:t>Грузополучатель:</w:t>
      </w:r>
    </w:p>
    <w:p>
      <w:pPr>
        <w:pStyle w:val="Normal"/>
        <w:rPr>
          <w:sz w:val="24"/>
          <w:szCs w:val="24"/>
        </w:rPr>
      </w:pPr>
      <w:r>
        <w:rPr>
          <w:sz w:val="24"/>
          <w:szCs w:val="24"/>
        </w:rPr>
        <w:t>Воткинский филиал АО «Гидроремонт-ВКК» в г. Чайковский, 617761, Российская Федера-ция, Пермский край, г. Чайковский, Воткинская ГЭС,д.1</w:t>
      </w:r>
    </w:p>
    <w:p>
      <w:pPr>
        <w:pStyle w:val="Normal"/>
        <w:rPr>
          <w:sz w:val="24"/>
          <w:szCs w:val="24"/>
          <w:u w:val="single"/>
        </w:rPr>
      </w:pPr>
      <w:r>
        <w:rPr>
          <w:sz w:val="24"/>
          <w:szCs w:val="24"/>
          <w:u w:val="single"/>
        </w:rPr>
        <w:t>Плательщик:</w:t>
      </w:r>
    </w:p>
    <w:p>
      <w:pPr>
        <w:pStyle w:val="Normal"/>
        <w:rPr>
          <w:sz w:val="24"/>
          <w:szCs w:val="24"/>
        </w:rPr>
      </w:pPr>
      <w:r>
        <w:rPr>
          <w:sz w:val="24"/>
          <w:szCs w:val="24"/>
        </w:rPr>
        <w:t>АО "Гидроремонт-ВКК", ИНН 6345012488, Россия, 603140, Нижегородская обл., г.о. город Нижний Новгород, г. Нижний Новгород, пер. Мотальный, д.8 помещ. ВП31, офис С1А, Воткинский филиал АО «Гидроремонт-ВКК» в г. Чайковский, тел./факс: +7(342)274-13-15, р/с 40702810800000060241, в Банк ГПБ (АО), г.Москва, БИК 044525823, к/с 30101810200000000823.</w:t>
      </w:r>
    </w:p>
    <w:p>
      <w:pPr>
        <w:pStyle w:val="Normal"/>
        <w:rPr>
          <w:sz w:val="24"/>
          <w:szCs w:val="24"/>
          <w:u w:val="single"/>
        </w:rPr>
      </w:pPr>
      <w:r>
        <w:rPr>
          <w:sz w:val="24"/>
          <w:szCs w:val="24"/>
          <w:u w:val="single"/>
        </w:rPr>
        <w:t>Грузополучатель:</w:t>
      </w:r>
    </w:p>
    <w:p>
      <w:pPr>
        <w:pStyle w:val="Normal"/>
        <w:rPr/>
      </w:pPr>
      <w:r>
        <w:rPr>
          <w:sz w:val="24"/>
          <w:szCs w:val="24"/>
        </w:rPr>
        <w:t>Воткинский филиал АО "Гидроремонт-ВКК" в г.Чайковский, ИНН 6345012488, КПП 592043001, 617761, Пермский край, Чайковский г, Воткинская ГЭС, тел./факс: +7(34241)46341</w:t>
      </w:r>
    </w:p>
    <w:tbl>
      <w:tblPr>
        <w:tblpPr w:bottomFromText="0" w:horzAnchor="margin" w:leftFromText="180" w:rightFromText="180" w:tblpX="0" w:tblpY="225" w:topFromText="0" w:vertAnchor="text"/>
        <w:tblW w:w="957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sz w:val="22"/>
                <w:szCs w:val="24"/>
                <w:u w:val="single"/>
                <w:lang w:eastAsia="en-US"/>
              </w:rPr>
            </w:pPr>
            <w:r>
              <w:rPr>
                <w:b/>
                <w:sz w:val="24"/>
                <w:szCs w:val="24"/>
                <w:u w:val="single"/>
                <w:lang w:eastAsia="en-US"/>
              </w:rPr>
              <w:t>Покупатель</w:t>
            </w:r>
            <w:r>
              <w:rPr>
                <w:b/>
                <w:sz w:val="24"/>
                <w:szCs w:val="24"/>
                <w:u w:val="single"/>
                <w:lang w:val="en-US" w:eastAsia="en-US"/>
              </w:rPr>
              <w:t>:</w:t>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r>
      <w:tr>
        <w:trPr/>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sectPr>
          <w:headerReference w:type="default" r:id="rId5"/>
          <w:footerReference w:type="even" r:id="rId6"/>
          <w:footerReference w:type="default" r:id="rId7"/>
          <w:footerReference w:type="first" r:id="rId8"/>
          <w:footnotePr>
            <w:numFmt w:val="decimal"/>
          </w:footnotePr>
          <w:type w:val="nextPage"/>
          <w:pgSz w:w="11906" w:h="16838"/>
          <w:pgMar w:left="1134" w:right="709" w:gutter="0" w:header="454" w:top="567" w:footer="680" w:bottom="1134"/>
          <w:pgNumType w:fmt="decimal"/>
          <w:formProt w:val="false"/>
          <w:textDirection w:val="lrTb"/>
          <w:docGrid w:type="default" w:linePitch="272" w:charSpace="16384"/>
        </w:sectPr>
      </w:pPr>
    </w:p>
    <w:p>
      <w:pPr>
        <w:pStyle w:val="BodyText"/>
        <w:numPr>
          <w:ilvl w:val="0"/>
          <w:numId w:val="0"/>
        </w:numPr>
        <w:spacing w:before="0" w:after="120"/>
        <w:jc w:val="right"/>
        <w:outlineLvl w:val="0"/>
        <w:rPr>
          <w:b/>
          <w:bCs/>
          <w:sz w:val="24"/>
          <w:szCs w:val="24"/>
        </w:rPr>
      </w:pPr>
      <w:r>
        <w:rPr>
          <w:b/>
          <w:bCs/>
          <w:sz w:val="24"/>
          <w:szCs w:val="24"/>
        </w:rPr>
      </w:r>
    </w:p>
    <w:p>
      <w:pPr>
        <w:pStyle w:val="BodyText"/>
        <w:numPr>
          <w:ilvl w:val="0"/>
          <w:numId w:val="0"/>
        </w:numPr>
        <w:spacing w:before="0" w:after="120"/>
        <w:jc w:val="right"/>
        <w:outlineLvl w:val="0"/>
        <w:rPr>
          <w:b/>
          <w:bCs/>
          <w:sz w:val="24"/>
          <w:szCs w:val="24"/>
          <w:lang w:val="en-US"/>
        </w:rPr>
      </w:pPr>
      <w:r>
        <w:rPr>
          <w:b/>
          <w:bCs/>
          <w:sz w:val="24"/>
          <w:szCs w:val="24"/>
        </w:rPr>
        <w:t xml:space="preserve">Приложение № </w:t>
      </w:r>
      <w:r>
        <w:rPr>
          <w:b/>
          <w:bCs/>
          <w:sz w:val="24"/>
          <w:szCs w:val="24"/>
          <w:lang w:val="en-US"/>
        </w:rPr>
        <w:t>2</w:t>
      </w:r>
    </w:p>
    <w:p>
      <w:pPr>
        <w:pStyle w:val="BodyText"/>
        <w:spacing w:before="0" w:after="120"/>
        <w:ind w:firstLine="567"/>
        <w:jc w:val="right"/>
        <w:rPr>
          <w:bCs/>
          <w:sz w:val="24"/>
          <w:szCs w:val="24"/>
        </w:rPr>
      </w:pPr>
      <w:r>
        <w:rPr>
          <w:bCs/>
          <w:sz w:val="24"/>
          <w:szCs w:val="24"/>
        </w:rPr>
        <w:t xml:space="preserve">к договору поставки №-Вот/пос-26 </w:t>
      </w:r>
    </w:p>
    <w:p>
      <w:pPr>
        <w:pStyle w:val="BodyText"/>
        <w:spacing w:before="0" w:after="360"/>
        <w:ind w:firstLine="567"/>
        <w:jc w:val="right"/>
        <w:rPr>
          <w:bCs/>
          <w:sz w:val="24"/>
          <w:szCs w:val="24"/>
        </w:rPr>
      </w:pPr>
      <w:r>
        <w:rPr>
          <w:bCs/>
          <w:sz w:val="24"/>
          <w:szCs w:val="24"/>
        </w:rPr>
        <w:t>от «  »         20</w:t>
      </w:r>
      <w:r>
        <w:rPr>
          <w:bCs/>
          <w:sz w:val="24"/>
          <w:szCs w:val="24"/>
          <w:u w:val="single"/>
        </w:rPr>
        <w:t xml:space="preserve">   </w:t>
      </w:r>
      <w:r>
        <w:rPr>
          <w:bCs/>
          <w:sz w:val="24"/>
          <w:szCs w:val="24"/>
        </w:rPr>
        <w:t xml:space="preserve"> г.</w:t>
      </w:r>
    </w:p>
    <w:p>
      <w:pPr>
        <w:pStyle w:val="Normal"/>
        <w:spacing w:before="0" w:after="120"/>
        <w:jc w:val="center"/>
        <w:rPr>
          <w:sz w:val="24"/>
          <w:szCs w:val="24"/>
        </w:rPr>
      </w:pPr>
      <w:r>
        <w:rPr>
          <w:sz w:val="24"/>
          <w:szCs w:val="24"/>
        </w:rPr>
      </w:r>
    </w:p>
    <w:p>
      <w:pPr>
        <w:pStyle w:val="Normal"/>
        <w:spacing w:before="0" w:after="120"/>
        <w:jc w:val="center"/>
        <w:rPr>
          <w:sz w:val="24"/>
          <w:szCs w:val="24"/>
        </w:rPr>
      </w:pPr>
      <w:r>
        <w:rPr>
          <w:sz w:val="24"/>
          <w:szCs w:val="24"/>
        </w:rPr>
      </w:r>
    </w:p>
    <w:p>
      <w:pPr>
        <w:pStyle w:val="Normal"/>
        <w:spacing w:before="0" w:after="120"/>
        <w:jc w:val="center"/>
        <w:rPr>
          <w:sz w:val="24"/>
          <w:szCs w:val="24"/>
        </w:rPr>
      </w:pPr>
      <w:r>
        <w:rPr>
          <w:sz w:val="24"/>
          <w:szCs w:val="24"/>
        </w:rPr>
        <w:t>ТЕХНИЧЕСКИЕ ТРЕБОВАНИЯ</w:t>
      </w:r>
    </w:p>
    <w:p>
      <w:pPr>
        <w:pStyle w:val="Normal"/>
        <w:ind w:left="360" w:hanging="360"/>
        <w:jc w:val="center"/>
        <w:rPr>
          <w:b/>
          <w:sz w:val="24"/>
          <w:szCs w:val="24"/>
        </w:rPr>
      </w:pPr>
      <w:r>
        <w:rPr>
          <w:b/>
          <w:sz w:val="24"/>
          <w:szCs w:val="24"/>
        </w:rPr>
        <w:t xml:space="preserve">на поставку </w:t>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tbl>
      <w:tblPr>
        <w:tblpPr w:vertAnchor="text" w:horzAnchor="margin" w:leftFromText="180" w:rightFromText="180" w:tblpX="0" w:tblpY="225"/>
        <w:tblW w:w="957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sz w:val="22"/>
                <w:szCs w:val="24"/>
                <w:u w:val="single"/>
                <w:lang w:eastAsia="en-US"/>
              </w:rPr>
            </w:pPr>
            <w:r>
              <w:rPr>
                <w:b/>
                <w:sz w:val="24"/>
                <w:szCs w:val="24"/>
                <w:u w:val="single"/>
                <w:lang w:eastAsia="en-US"/>
              </w:rPr>
              <w:t>Покупатель</w:t>
            </w:r>
            <w:r>
              <w:rPr>
                <w:b/>
                <w:sz w:val="24"/>
                <w:szCs w:val="24"/>
                <w:u w:val="single"/>
                <w:lang w:val="en-US" w:eastAsia="en-US"/>
              </w:rPr>
              <w:t>:</w:t>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r>
      <w:tr>
        <w:trPr/>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pStyle w:val="Normal"/>
        <w:spacing w:lineRule="auto" w:line="360"/>
        <w:rPr>
          <w:rFonts w:eastAsia="Calibri"/>
          <w:sz w:val="24"/>
          <w:szCs w:val="24"/>
        </w:rPr>
      </w:pPr>
      <w:r>
        <w:rPr/>
      </w:r>
    </w:p>
    <w:sectPr>
      <w:headerReference w:type="default" r:id="rId9"/>
      <w:headerReference w:type="first" r:id="rId10"/>
      <w:footerReference w:type="default" r:id="rId11"/>
      <w:footerReference w:type="first" r:id="rId12"/>
      <w:footnotePr>
        <w:numFmt w:val="decimal"/>
      </w:footnotePr>
      <w:type w:val="nextPage"/>
      <w:pgSz w:w="11906" w:h="16838"/>
      <w:pgMar w:left="851" w:right="851" w:gutter="0" w:header="284" w:top="851" w:footer="709" w:bottom="170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Calibri">
    <w:charset w:val="01"/>
    <w:family w:val="roman"/>
    <w:pitch w:val="variable"/>
  </w:font>
  <w:font w:name="Liberation Sans">
    <w:altName w:val="Arial"/>
    <w:charset w:val="01"/>
    <w:family w:val="swiss"/>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0"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575" w:hanging="0"/>
      <w:rPr/>
    </w:pPr>
    <w:r>
      <w:rPr/>
      <mc:AlternateContent>
        <mc:Choice Requires="wps">
          <w:drawing>
            <wp:anchor behindDoc="0" distT="0" distB="0" distL="0" distR="0" simplePos="0" locked="0" layoutInCell="0" allowOverlap="1" relativeHeight="39">
              <wp:simplePos x="0" y="0"/>
              <wp:positionH relativeFrom="page">
                <wp:posOffset>10033000</wp:posOffset>
              </wp:positionH>
              <wp:positionV relativeFrom="paragraph">
                <wp:posOffset>144780</wp:posOffset>
              </wp:positionV>
              <wp:extent cx="908685" cy="145415"/>
              <wp:effectExtent l="0" t="0" r="0" b="0"/>
              <wp:wrapSquare wrapText="bothSides"/>
              <wp:docPr id="3" name="Врезка4"/>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790pt;margin-top:11.4pt;width:71.5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575" w:hanging="0"/>
      <w:rPr/>
    </w:pPr>
    <w:r>
      <w:rPr/>
      <mc:AlternateContent>
        <mc:Choice Requires="wps">
          <w:drawing>
            <wp:anchor behindDoc="0" distT="0" distB="0" distL="0" distR="0" simplePos="0" locked="0" layoutInCell="0" allowOverlap="1" relativeHeight="39">
              <wp:simplePos x="0" y="0"/>
              <wp:positionH relativeFrom="page">
                <wp:posOffset>10033000</wp:posOffset>
              </wp:positionH>
              <wp:positionV relativeFrom="paragraph">
                <wp:posOffset>144780</wp:posOffset>
              </wp:positionV>
              <wp:extent cx="908685" cy="145415"/>
              <wp:effectExtent l="0" t="0" r="0" b="0"/>
              <wp:wrapSquare wrapText="bothSides"/>
              <wp:docPr id="5" name="Врезка4"/>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790pt;margin-top:11.4pt;width:71.5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575" w:hanging="0"/>
      <w:rPr/>
    </w:pPr>
    <w:r>
      <w:rPr/>
      <mc:AlternateContent>
        <mc:Choice Requires="wps">
          <w:drawing>
            <wp:anchor behindDoc="0" distT="0" distB="0" distL="0" distR="0" simplePos="0" locked="0" layoutInCell="0" allowOverlap="1" relativeHeight="42">
              <wp:simplePos x="0" y="0"/>
              <wp:positionH relativeFrom="page">
                <wp:posOffset>10033000</wp:posOffset>
              </wp:positionH>
              <wp:positionV relativeFrom="paragraph">
                <wp:posOffset>144780</wp:posOffset>
              </wp:positionV>
              <wp:extent cx="908685" cy="145415"/>
              <wp:effectExtent l="0" t="0" r="0" b="0"/>
              <wp:wrapSquare wrapText="bothSides"/>
              <wp:docPr id="7" name="Врезка7"/>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wps:txbx>
                    <wps:bodyPr lIns="0" rIns="0" tIns="0" bIns="0" anchor="t">
                      <a:spAutoFit/>
                    </wps:bodyPr>
                  </wps:wsp>
                </a:graphicData>
              </a:graphic>
            </wp:anchor>
          </w:drawing>
        </mc:Choice>
        <mc:Fallback>
          <w:pict>
            <v:rect id="shape_0" ID="Врезка7" path="m0,0l-2147483645,0l-2147483645,-2147483646l0,-2147483646xe" stroked="f" o:allowincell="f" style="position:absolute;margin-left:790pt;margin-top:11.4pt;width:71.5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9"/>
        </w:rPr>
        <w:footnoteRef/>
      </w:r>
      <w:r>
        <w:rPr/>
        <w:t xml:space="preserve"> </w:t>
      </w:r>
      <w:r>
        <w:rPr/>
        <w:t>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3">
    <w:p>
      <w:pPr>
        <w:pStyle w:val="FootnoteText"/>
        <w:rPr/>
      </w:pPr>
      <w:r>
        <w:rPr>
          <w:rStyle w:val="Style9"/>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right"/>
      <w:rPr/>
    </w:pPr>
    <w:r>
      <w:rPr/>
    </w:r>
  </w:p>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right"/>
      <w:rPr/>
    </w:pPr>
    <w:r>
      <w:rPr/>
    </w:r>
  </w:p>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4"/>
    <w:lvlOverride w:ilvl="0">
      <w:startOverride w:val="1"/>
    </w:lvlOverride>
  </w:num>
  <w:num w:numId="20">
    <w:abstractNumId w:val="14"/>
  </w:num>
  <w:num w:numId="21">
    <w:abstractNumId w:val="14"/>
  </w:num>
  <w:num w:numId="22">
    <w:abstractNumId w:val="14"/>
  </w:num>
</w:numbering>
</file>

<file path=word/settings.xml><?xml version="1.0" encoding="utf-8"?>
<w:settings xmlns:w="http://schemas.openxmlformats.org/wordprocessingml/2006/main">
  <w:zoom w:percent="120"/>
  <w:embedSystemFonts/>
  <w:defaultTabStop w:val="720"/>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1"/>
    <w:qFormat/>
    <w:rsid w:val="00e42745"/>
    <w:pPr>
      <w:keepNext w:val="true"/>
      <w:outlineLvl w:val="0"/>
    </w:pPr>
    <w:rPr>
      <w:b/>
    </w:rPr>
  </w:style>
  <w:style w:type="paragraph" w:styleId="Heading2">
    <w:name w:val="Heading 2"/>
    <w:basedOn w:val="Normal"/>
    <w:next w:val="Normal"/>
    <w:link w:val="21"/>
    <w:qFormat/>
    <w:rsid w:val="00e42745"/>
    <w:pPr>
      <w:keepNext w:val="true"/>
      <w:jc w:val="both"/>
      <w:outlineLvl w:val="1"/>
    </w:pPr>
    <w:rPr>
      <w:b/>
    </w:rPr>
  </w:style>
  <w:style w:type="paragraph" w:styleId="Heading3">
    <w:name w:val="Heading 3"/>
    <w:basedOn w:val="Normal"/>
    <w:next w:val="Normal"/>
    <w:link w:val="31"/>
    <w:uiPriority w:val="9"/>
    <w:qFormat/>
    <w:rsid w:val="00e42745"/>
    <w:pPr>
      <w:keepNext w:val="true"/>
      <w:tabs>
        <w:tab w:val="clear" w:pos="720"/>
        <w:tab w:val="left" w:pos="0" w:leader="none"/>
      </w:tabs>
      <w:jc w:val="center"/>
      <w:outlineLvl w:val="2"/>
    </w:pPr>
    <w:rPr>
      <w:b/>
    </w:rPr>
  </w:style>
  <w:style w:type="paragraph" w:styleId="Heading4">
    <w:name w:val="Heading 4"/>
    <w:basedOn w:val="Normal"/>
    <w:next w:val="Normal"/>
    <w:link w:val="4"/>
    <w:uiPriority w:val="9"/>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uiPriority w:val="99"/>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uiPriority w:val="99"/>
    <w:qFormat/>
    <w:rsid w:val="0066561f"/>
    <w:rPr/>
  </w:style>
  <w:style w:type="character" w:styleId="Style5" w:customStyle="1">
    <w:name w:val="Тема примечания Знак"/>
    <w:link w:val="Annotationsubject"/>
    <w:uiPriority w:val="99"/>
    <w:qFormat/>
    <w:rsid w:val="0066561f"/>
    <w:rPr>
      <w:b/>
      <w:bCs/>
    </w:rPr>
  </w:style>
  <w:style w:type="character" w:styleId="31" w:customStyle="1">
    <w:name w:val="Заголовок 3 Знак"/>
    <w:uiPriority w:val="9"/>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qFormat/>
    <w:locked/>
    <w:rsid w:val="00b11d27"/>
    <w:rPr/>
  </w:style>
  <w:style w:type="character" w:styleId="1" w:customStyle="1">
    <w:name w:val="1. Статья Знак"/>
    <w:link w:val="13"/>
    <w:qFormat/>
    <w:rsid w:val="00b11d27"/>
    <w:rPr>
      <w:sz w:val="24"/>
      <w:szCs w:val="24"/>
      <w:lang w:val="x-none" w:eastAsia="x-none"/>
    </w:rPr>
  </w:style>
  <w:style w:type="character" w:styleId="21" w:customStyle="1">
    <w:name w:val="Заголовок 2 Знак"/>
    <w:qFormat/>
    <w:rsid w:val="00c50ec8"/>
    <w:rPr>
      <w:b/>
    </w:rPr>
  </w:style>
  <w:style w:type="character" w:styleId="Style13" w:customStyle="1">
    <w:name w:val="Основной текст_"/>
    <w:link w:val="14"/>
    <w:uiPriority w:val="99"/>
    <w:qFormat/>
    <w:locked/>
    <w:rsid w:val="00c50ec8"/>
    <w:rPr>
      <w:sz w:val="28"/>
      <w:szCs w:val="28"/>
      <w:shd w:fill="FFFFFF" w:val="clear"/>
    </w:rPr>
  </w:style>
  <w:style w:type="character" w:styleId="Style14" w:customStyle="1">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styleId="11" w:customStyle="1">
    <w:name w:val="Заголовок 1 Знак"/>
    <w:basedOn w:val="DefaultParagraphFont"/>
    <w:qFormat/>
    <w:rsid w:val="00844d51"/>
    <w:rPr>
      <w:b/>
    </w:rPr>
  </w:style>
  <w:style w:type="character" w:styleId="Apple-converted-space" w:customStyle="1">
    <w:name w:val="apple-converted-space"/>
    <w:basedOn w:val="DefaultParagraphFont"/>
    <w:qFormat/>
    <w:rsid w:val="0047198c"/>
    <w:rPr/>
  </w:style>
  <w:style w:type="character" w:styleId="Thname1" w:customStyle="1">
    <w:name w:val="thname1"/>
    <w:qFormat/>
    <w:rsid w:val="008e4c72"/>
    <w:rPr/>
  </w:style>
  <w:style w:type="character" w:styleId="Thvalue1" w:customStyle="1">
    <w:name w:val="thvalue1"/>
    <w:qFormat/>
    <w:rsid w:val="008e4c72"/>
    <w:rPr/>
  </w:style>
  <w:style w:type="character" w:styleId="Style15" w:customStyle="1">
    <w:name w:val="Текст Знак"/>
    <w:basedOn w:val="DefaultParagraphFont"/>
    <w:link w:val="PlainText"/>
    <w:uiPriority w:val="99"/>
    <w:semiHidden/>
    <w:qFormat/>
    <w:rsid w:val="008e4c72"/>
    <w:rPr>
      <w:rFonts w:ascii="Calibri" w:hAnsi="Calibri" w:eastAsia="Calibri"/>
      <w:sz w:val="22"/>
      <w:szCs w:val="21"/>
      <w:lang w:eastAsia="en-US"/>
    </w:rPr>
  </w:style>
  <w:style w:type="character" w:styleId="22" w:customStyle="1">
    <w:name w:val="Основной текст (2)_"/>
    <w:link w:val="24"/>
    <w:qFormat/>
    <w:locked/>
    <w:rsid w:val="008e4c72"/>
    <w:rPr>
      <w:sz w:val="23"/>
      <w:szCs w:val="23"/>
      <w:shd w:fill="FFFFFF" w:val="clear"/>
    </w:rPr>
  </w:style>
  <w:style w:type="character" w:styleId="Txt13" w:customStyle="1">
    <w:name w:val="txt_13"/>
    <w:qFormat/>
    <w:rsid w:val="008e4c72"/>
    <w:rPr/>
  </w:style>
  <w:style w:type="character" w:styleId="Emphasis">
    <w:name w:val="Emphasis"/>
    <w:uiPriority w:val="20"/>
    <w:qFormat/>
    <w:rsid w:val="008e4c72"/>
    <w:rPr>
      <w:i/>
      <w:iCs/>
    </w:rPr>
  </w:style>
  <w:style w:type="character" w:styleId="Strong">
    <w:name w:val="Strong"/>
    <w:qFormat/>
    <w:rsid w:val="008e4c72"/>
    <w:rPr>
      <w:b/>
      <w:bCs/>
    </w:rPr>
  </w:style>
  <w:style w:type="character" w:styleId="PlaceholderText">
    <w:name w:val="Placeholder Text"/>
    <w:basedOn w:val="DefaultParagraphFont"/>
    <w:uiPriority w:val="99"/>
    <w:semiHidden/>
    <w:qFormat/>
    <w:rsid w:val="00f135e9"/>
    <w:rPr>
      <w:color w:val="808080"/>
    </w:rPr>
  </w:style>
  <w:style w:type="character" w:styleId="4" w:customStyle="1">
    <w:name w:val="Заголовок 4 Знак"/>
    <w:basedOn w:val="DefaultParagraphFont"/>
    <w:uiPriority w:val="9"/>
    <w:qFormat/>
    <w:rsid w:val="004f4b87"/>
    <w:rPr>
      <w:b/>
    </w:rPr>
  </w:style>
  <w:style w:type="character" w:styleId="Style16">
    <w:name w:val="Основной шрифт абзаца"/>
    <w:qFormat/>
    <w:rPr/>
  </w:style>
  <w:style w:type="character" w:styleId="EndnoteReference">
    <w:name w:val="Endnote Reference"/>
    <w:rPr>
      <w:vertAlign w:val="superscript"/>
    </w:rPr>
  </w:style>
  <w:style w:type="character" w:styleId="Style17">
    <w:name w:val="Символ концевой сноски"/>
    <w:qFormat/>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NormalWeb">
    <w:name w:val="Normal (Web)"/>
    <w:basedOn w:val="Normal"/>
    <w:uiPriority w:val="99"/>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20"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2"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21"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uiPriority w:val="99"/>
    <w:qFormat/>
    <w:rsid w:val="0066561f"/>
    <w:pPr>
      <w:widowControl w:val="false"/>
    </w:pPr>
    <w:rPr>
      <w:rFonts w:ascii="Tahoma" w:hAnsi="Tahoma" w:cs="Tahoma"/>
      <w:sz w:val="16"/>
      <w:szCs w:val="16"/>
    </w:rPr>
  </w:style>
  <w:style w:type="paragraph" w:styleId="Annotationtext">
    <w:name w:val="annotation text"/>
    <w:basedOn w:val="Normal"/>
    <w:link w:val="Style4"/>
    <w:uiPriority w:val="99"/>
    <w:qFormat/>
    <w:rsid w:val="0066561f"/>
    <w:pPr>
      <w:widowControl w:val="false"/>
    </w:pPr>
    <w:rPr/>
  </w:style>
  <w:style w:type="paragraph" w:styleId="Annotationsubject">
    <w:name w:val="annotation subject"/>
    <w:basedOn w:val="Annotationtext"/>
    <w:next w:val="Annotationtext"/>
    <w:link w:val="Style5"/>
    <w:uiPriority w:val="99"/>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hanging="0"/>
      <w:contextualSpacing/>
    </w:pPr>
    <w:rPr/>
  </w:style>
  <w:style w:type="paragraph" w:styleId="Style22"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23"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eastAsia="en-US" w:val="ru-RU" w:bidi="ar-SA"/>
    </w:rPr>
  </w:style>
  <w:style w:type="paragraph" w:styleId="Style24"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3"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true"/>
      <w:ind w:right="1462" w:hanging="0"/>
      <w:textAlignment w:val="baseline"/>
    </w:pPr>
    <w:rPr>
      <w:b w:val="false"/>
      <w:sz w:val="24"/>
      <w:szCs w:val="24"/>
      <w:lang w:val="x-none" w:eastAsia="x-none"/>
    </w:rPr>
  </w:style>
  <w:style w:type="paragraph" w:styleId="23" w:customStyle="1">
    <w:name w:val="2. Пункт"/>
    <w:basedOn w:val="Heading3"/>
    <w:qFormat/>
    <w:rsid w:val="00b11d27"/>
    <w:pPr>
      <w:keepNext w:val="false"/>
      <w:widowControl w:val="false"/>
      <w:numPr>
        <w:ilvl w:val="1"/>
        <w:numId w:val="10"/>
      </w:numPr>
      <w:overflowPunct w:val="tru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true"/>
      <w:jc w:val="both"/>
      <w:textAlignment w:val="baseline"/>
    </w:pPr>
    <w:rPr>
      <w:bCs/>
      <w:sz w:val="24"/>
      <w:szCs w:val="24"/>
      <w:lang w:val="x-none" w:eastAsia="x-none"/>
    </w:rPr>
  </w:style>
  <w:style w:type="paragraph" w:styleId="Default" w:customStyle="1">
    <w:name w:val="Default"/>
    <w:qFormat/>
    <w:rsid w:val="000466f3"/>
    <w:pPr>
      <w:widowControl/>
      <w:suppressAutoHyphens w:val="true"/>
      <w:bidi w:val="0"/>
      <w:spacing w:before="0" w:after="0"/>
      <w:jc w:val="left"/>
    </w:pPr>
    <w:rPr>
      <w:rFonts w:ascii="Tahoma" w:hAnsi="Tahoma" w:cs="Tahoma" w:eastAsia="Times New Roman"/>
      <w:color w:val="000000"/>
      <w:kern w:val="0"/>
      <w:sz w:val="24"/>
      <w:szCs w:val="24"/>
      <w:lang w:val="ru-RU" w:eastAsia="ru-RU" w:bidi="ar-SA"/>
    </w:rPr>
  </w:style>
  <w:style w:type="paragraph" w:styleId="14" w:customStyle="1">
    <w:name w:val="Основной текст1"/>
    <w:basedOn w:val="Normal"/>
    <w:link w:val="Style13"/>
    <w:uiPriority w:val="99"/>
    <w:qFormat/>
    <w:rsid w:val="00c50ec8"/>
    <w:pPr>
      <w:widowControl w:val="false"/>
      <w:shd w:val="clear" w:color="auto" w:fill="FFFFFF"/>
      <w:spacing w:lineRule="exact" w:line="302"/>
    </w:pPr>
    <w:rPr>
      <w:sz w:val="28"/>
      <w:szCs w:val="28"/>
    </w:rPr>
  </w:style>
  <w:style w:type="paragraph" w:styleId="15" w:customStyle="1">
    <w:name w:val="Абзац списка1"/>
    <w:basedOn w:val="Normal"/>
    <w:qFormat/>
    <w:rsid w:val="00ca3068"/>
    <w:pPr>
      <w:widowControl w:val="false"/>
      <w:spacing w:lineRule="auto" w:line="276" w:before="0" w:after="200"/>
      <w:ind w:left="720" w:firstLine="709"/>
    </w:pPr>
    <w:rPr>
      <w:rFonts w:ascii="Calibri" w:hAnsi="Calibri" w:eastAsia="Calibri"/>
      <w:sz w:val="22"/>
      <w:szCs w:val="22"/>
      <w:lang w:eastAsia="ar-SA"/>
    </w:rPr>
  </w:style>
  <w:style w:type="paragraph" w:styleId="NoSpacing">
    <w:name w:val="No Spacing"/>
    <w:uiPriority w:val="1"/>
    <w:qFormat/>
    <w:rsid w:val="00844d51"/>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PlainText">
    <w:name w:val="Plain Text"/>
    <w:basedOn w:val="Normal"/>
    <w:link w:val="Style15"/>
    <w:uiPriority w:val="99"/>
    <w:semiHidden/>
    <w:unhideWhenUsed/>
    <w:qFormat/>
    <w:rsid w:val="008e4c72"/>
    <w:pPr/>
    <w:rPr>
      <w:rFonts w:ascii="Calibri" w:hAnsi="Calibri" w:eastAsia="Calibri"/>
      <w:sz w:val="22"/>
      <w:szCs w:val="21"/>
      <w:lang w:eastAsia="en-US"/>
    </w:rPr>
  </w:style>
  <w:style w:type="paragraph" w:styleId="24" w:customStyle="1">
    <w:name w:val="Основной текст (2)"/>
    <w:basedOn w:val="Normal"/>
    <w:link w:val="22"/>
    <w:qFormat/>
    <w:rsid w:val="008e4c72"/>
    <w:pPr>
      <w:shd w:val="clear" w:color="auto" w:fill="FFFFFF"/>
      <w:spacing w:lineRule="atLeast" w:line="0"/>
    </w:pPr>
    <w:rPr>
      <w:sz w:val="23"/>
      <w:szCs w:val="23"/>
    </w:rPr>
  </w:style>
  <w:style w:type="paragraph" w:styleId="WW-" w:customStyle="1">
    <w:name w:val="WW-Базовый"/>
    <w:qFormat/>
    <w:rsid w:val="008e4c72"/>
    <w:pPr>
      <w:widowControl/>
      <w:suppressAutoHyphens w:val="true"/>
      <w:bidi w:val="0"/>
      <w:spacing w:before="280" w:after="280"/>
      <w:ind w:left="720" w:hanging="0"/>
      <w:jc w:val="left"/>
    </w:pPr>
    <w:rPr>
      <w:rFonts w:ascii="Calibri" w:hAnsi="Calibri" w:eastAsia="Arial Unicode MS" w:cs="Arial Unicode MS"/>
      <w:color w:val="000000"/>
      <w:kern w:val="2"/>
      <w:sz w:val="22"/>
      <w:szCs w:val="22"/>
      <w:lang w:eastAsia="ar-SA" w:val="ru-RU" w:bidi="ar-SA"/>
    </w:rPr>
  </w:style>
  <w:style w:type="paragraph" w:styleId="16" w:customStyle="1">
    <w:name w:val="Обычный1"/>
    <w:qFormat/>
    <w:rsid w:val="008e4c72"/>
    <w:pPr>
      <w:widowControl/>
      <w:suppressAutoHyphens w:val="true"/>
      <w:bidi w:val="0"/>
      <w:spacing w:before="0" w:after="0"/>
      <w:jc w:val="left"/>
    </w:pPr>
    <w:rPr>
      <w:rFonts w:eastAsia="Arial" w:ascii="Times New Roman" w:hAnsi="Times New Roman" w:cs="Times New Roman"/>
      <w:color w:val="000000"/>
      <w:kern w:val="0"/>
      <w:sz w:val="20"/>
      <w:szCs w:val="20"/>
      <w:lang w:eastAsia="ar-SA" w:val="ru-RU" w:bidi="ar-SA"/>
    </w:rPr>
  </w:style>
  <w:style w:type="paragraph" w:styleId="25" w:customStyle="1">
    <w:name w:val="Абзац списка2"/>
    <w:basedOn w:val="Normal"/>
    <w:qFormat/>
    <w:rsid w:val="008e4c72"/>
    <w:pPr>
      <w:spacing w:lineRule="auto" w:line="276" w:before="0" w:after="200"/>
      <w:ind w:left="720" w:hanging="0"/>
    </w:pPr>
    <w:rPr>
      <w:rFonts w:ascii="Calibri" w:hAnsi="Calibri" w:eastAsia="Calibri"/>
      <w:sz w:val="22"/>
      <w:szCs w:val="22"/>
      <w:lang w:eastAsia="ar-SA"/>
    </w:rPr>
  </w:style>
  <w:style w:type="paragraph" w:styleId="Style25" w:customStyle="1">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1">
    <w:name w:val="Table Grid"/>
    <w:basedOn w:val="a1"/>
    <w:uiPriority w:val="39"/>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
    <w:name w:val="Сетка таблицы1"/>
    <w:basedOn w:val="a1"/>
    <w:uiPriority w:val="39"/>
    <w:rsid w:val="004f4b87"/>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9F54-5D0A-436C-A87A-586B8F1F6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Application>AlterOffice/3.4.0.9$Linux_X86_64 LibreOffice_project/b8daf9e823b1a5463a2f48435ddc2e8696e7d4fc</Application>
  <AppVersion>15.0000</AppVersion>
  <Pages>20</Pages>
  <Words>6729</Words>
  <Characters>47454</Characters>
  <CharactersWithSpaces>53923</CharactersWithSpaces>
  <Paragraphs>313</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2026-10-21T09:20:00Z</dcterms:created>
  <dc:creator>Света &amp; Алла (Twix)</dc:creator>
  <dc:description/>
  <dc:language>ru-RU</dc:language>
  <cp:lastModifiedBy>mastrikovaes@corp.gidroogk.com</cp:lastModifiedBy>
  <cp:lastPrinted>2018-10-08T04:06:00Z</cp:lastPrinted>
  <dcterms:modified xsi:type="dcterms:W3CDTF">2026-10-28T09:41:34Z</dcterms:modified>
  <cp:revision>6</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