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i/>
          <w:iCs/>
          <w:sz w:val="28"/>
          <w:szCs w:val="28"/>
        </w:rPr>
        <w:t>ОКПД2: 49.41.19.900 Услуги по перевозке спецтехники для нужд Хабаровского участка расчистки просек Дальневосточного филиала АО «ТК РусГидро»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21"/>
      </w:tblGrid>
      <w:tr>
        <w:trPr/>
        <w:tc>
          <w:tcPr>
            <w:tcW w:w="9921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634_94283321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6_94283321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8_94283321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0_942833219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2_942833219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4_942833219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6_94283321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8_942833219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0_942833219">
            <w:r>
              <w:rPr>
                <w:rStyle w:val="Style14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2_942833219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4_942833219">
            <w:r>
              <w:rPr>
                <w:rStyle w:val="Style14"/>
              </w:rPr>
              <w:t>2.2.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6_942833219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8_942833219">
            <w:r>
              <w:rPr>
                <w:rStyle w:val="Style14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60_942833219">
            <w:r>
              <w:rPr>
                <w:rStyle w:val="Style14"/>
              </w:rPr>
              <w:t>Таблица 4. Требования к качеству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62_942833219">
            <w:r>
              <w:rPr>
                <w:rStyle w:val="Style14"/>
              </w:rPr>
              <w:t xml:space="preserve">3. </w:t>
            </w:r>
            <w:r>
              <w:rPr>
                <w:rStyle w:val="Style14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</w:rPr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1"/>
        <w:keepLines/>
        <w:numPr>
          <w:ilvl w:val="0"/>
          <w:numId w:val="3"/>
        </w:numPr>
        <w:ind w:hanging="363" w:left="788"/>
        <w:rPr>
          <w:sz w:val="24"/>
          <w:lang w:val="ru-RU"/>
        </w:rPr>
      </w:pPr>
      <w:r>
        <w:br w:type="page"/>
      </w:r>
      <w:bookmarkStart w:id="0" w:name="__RefHeading___Toc2634_942833219"/>
      <w:bookmarkStart w:id="1" w:name="_Toc234764819"/>
      <w:bookmarkEnd w:id="0"/>
      <w:r>
        <w:rPr>
          <w:sz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636_942833219"/>
      <w:bookmarkStart w:id="3" w:name="_Toc46743505"/>
      <w:bookmarkStart w:id="4" w:name="_Toc234764820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Транспортное(ые) средство(а)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_RefHeading___Toc2638_942833219"/>
      <w:bookmarkStart w:id="6" w:name="_Toc234764821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ОКПД2: 49.41.19.900 Услуги по перевозке спецтехники для нужд Хабаровского участка расчистки просек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_RefHeading___Toc2640_942833219"/>
      <w:bookmarkStart w:id="8" w:name="_Toc234764822"/>
      <w:bookmarkStart w:id="9" w:name="_Toc46743507"/>
      <w:bookmarkEnd w:id="7"/>
      <w:r>
        <w:rPr/>
        <w:t xml:space="preserve">Цель </w:t>
      </w:r>
      <w:bookmarkEnd w:id="9"/>
      <w:r>
        <w:rPr>
          <w:lang w:val="ru-RU"/>
        </w:rPr>
        <w:t>оказания услуг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Перебазировка спецтехники осуществляется для выполнения обязательств по Договору подряда от 10.02.2025 №335/ХЭС «Выполнение работ по расчистке просек ВЛ 6-10 кВ структурного подразделения «Центральные электрические сети», филиала «Хабаровские электрические сети», заключенным между АО «ДРСК» «Хабаровские электрические сети» и Дальневосточным филиалом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_RefHeading___Toc2642_942833219"/>
      <w:bookmarkStart w:id="11" w:name="_Toc234764823"/>
      <w:bookmarkEnd w:id="10"/>
      <w:r>
        <w:rPr/>
        <w:t>Существующее положение</w:t>
      </w:r>
      <w:bookmarkEnd w:id="11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Услуги оказываются в отношении технических средств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2" w:name="__RefHeading___Toc2644_942833219"/>
      <w:bookmarkStart w:id="13" w:name="_Toc234764824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336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3"/>
        <w:gridCol w:w="1715"/>
        <w:gridCol w:w="2491"/>
        <w:gridCol w:w="3729"/>
        <w:gridCol w:w="1548"/>
      </w:tblGrid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оказания услуг)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sz w:val="22"/>
                <w:szCs w:val="22"/>
              </w:rPr>
            </w:pPr>
            <w:r>
              <w:rPr>
                <w:rFonts w:cs="TimesNewRomanPSMT"/>
                <w:iCs/>
                <w:sz w:val="22"/>
                <w:szCs w:val="22"/>
              </w:rPr>
              <w:t>Бульдозер ZOOMLION ZD160F-3</w:t>
            </w:r>
          </w:p>
        </w:tc>
        <w:tc>
          <w:tcPr>
            <w:tcW w:w="24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  <w:shd w:fill="auto" w:val="clear"/>
              </w:rPr>
              <w:t>Сахалинская область, г. Южно-Сахалинск</w:t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Габариты, мм (ДхШхВ):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6 360 х 3 420 х 3 245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Масса ТС в снаряженном состоянии 19 000 кг</w:t>
            </w:r>
          </w:p>
        </w:tc>
        <w:tc>
          <w:tcPr>
            <w:tcW w:w="15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Техника в </w:t>
            </w: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исправном состоянии</w:t>
            </w:r>
          </w:p>
        </w:tc>
      </w:tr>
      <w:tr>
        <w:trPr/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Экскаватор LOVOL FR225E2</w:t>
            </w:r>
          </w:p>
        </w:tc>
        <w:tc>
          <w:tcPr>
            <w:tcW w:w="24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Габариты, мм (ДхШхВ):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9 625 х 2 545 х 3 060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Масса ТС в снаряженном состоянии 23 400 кг</w:t>
            </w:r>
          </w:p>
        </w:tc>
        <w:tc>
          <w:tcPr>
            <w:tcW w:w="15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/>
            </w:pPr>
            <w:r>
              <w:rPr/>
            </w:r>
          </w:p>
        </w:tc>
      </w:tr>
    </w:tbl>
    <w:p>
      <w:pPr>
        <w:pStyle w:val="Heading1"/>
        <w:keepLines/>
        <w:numPr>
          <w:ilvl w:val="0"/>
          <w:numId w:val="3"/>
        </w:numPr>
        <w:spacing w:before="119" w:after="119"/>
        <w:ind w:hanging="363" w:left="788"/>
        <w:rPr>
          <w:iCs/>
          <w:caps/>
          <w:sz w:val="24"/>
          <w:lang w:val="ru-RU"/>
        </w:rPr>
      </w:pPr>
      <w:bookmarkStart w:id="14" w:name="__RefHeading___Toc2646_942833219"/>
      <w:bookmarkStart w:id="15" w:name="_Toc234764825"/>
      <w:bookmarkEnd w:id="14"/>
      <w:r>
        <w:rPr>
          <w:iCs/>
          <w:sz w:val="24"/>
          <w:lang w:val="ru-RU"/>
        </w:rPr>
        <w:t>Требования</w:t>
      </w:r>
      <w:r>
        <w:rPr>
          <w:iCs/>
          <w:sz w:val="24"/>
        </w:rPr>
        <w:t xml:space="preserve"> к продукции</w:t>
      </w:r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2648_942833219"/>
      <w:bookmarkStart w:id="17" w:name="_Toc234764826"/>
      <w:bookmarkEnd w:id="1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ind w:hanging="0" w:left="0"/>
        <w:rPr/>
      </w:pPr>
      <w:bookmarkStart w:id="18" w:name="__RefHeading___Toc2650_942833219"/>
      <w:bookmarkStart w:id="19" w:name="_Toc234764827"/>
      <w:bookmarkEnd w:id="18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0" w:name="__RefHeading___Toc2652_942833219"/>
      <w:bookmarkStart w:id="21" w:name="_Toc234764828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10336" w:type="dxa"/>
        <w:jc w:val="left"/>
        <w:tblInd w:w="-118" w:type="dxa"/>
        <w:tblLayout w:type="fixed"/>
        <w:tblCellMar>
          <w:top w:w="0" w:type="dxa"/>
          <w:left w:w="7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447"/>
        <w:gridCol w:w="8157"/>
        <w:gridCol w:w="1022"/>
        <w:gridCol w:w="709"/>
      </w:tblGrid>
      <w:tr>
        <w:trPr/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81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измерения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>
          <w:trHeight w:val="106" w:hRule="atLeast"/>
        </w:trPr>
        <w:tc>
          <w:tcPr>
            <w:tcW w:w="447" w:type="dxa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123" w:hRule="atLeast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ind w:hanging="511" w:left="72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Бульдозер ZOOMLION ZD160F-3</w:t>
            </w:r>
          </w:p>
        </w:tc>
      </w:tr>
      <w:tr>
        <w:trPr>
          <w:trHeight w:val="1278" w:hRule="atLeast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Сахалинская область, г. Южно-Сахалинск – Хабаровский край, г. Хабаровск, с применением грузового седельного тягача с возможностью перевозки техники грузоподъемностью не менее 19 тонн.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>
          <w:trHeight w:val="1313" w:hRule="atLeast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Хабаровский край, г. Хабаровск - Сахалинская область, г. Южно-Сахалинск, с применением грузового седельного тягача с возможностью перевозки техники грузоподъемностью не менее 19 тонн.</w:t>
            </w:r>
          </w:p>
        </w:tc>
        <w:tc>
          <w:tcPr>
            <w:tcW w:w="10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7" w:type="dxa"/>
            <w:vMerge w:val="restart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511"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Экскаватор LOVOL FR225E2</w:t>
            </w:r>
          </w:p>
        </w:tc>
      </w:tr>
      <w:tr>
        <w:trPr>
          <w:trHeight w:val="1050" w:hRule="atLeast"/>
        </w:trPr>
        <w:tc>
          <w:tcPr>
            <w:tcW w:w="447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Сахалинская область, г. Южно-Сахалинск – Хабаровский край, г. Хабаровск, с применением грузового седельного тягача с возможностью перевозки техники грузоподъемностью не менее 23,4 тонн.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>
          <w:trHeight w:val="1068" w:hRule="atLeast"/>
        </w:trPr>
        <w:tc>
          <w:tcPr>
            <w:tcW w:w="447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Хабаровский край, г. Хабаровск - Сахалинская область, г. Южно-Сахалинск, с применением грузового седельного тягача с возможностью перевозки техники грузоподъемностью не менее 23,4 тонн.</w:t>
            </w:r>
          </w:p>
        </w:tc>
        <w:tc>
          <w:tcPr>
            <w:tcW w:w="10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9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23" w:name="__RefHeading___Toc2654_942833219"/>
      <w:bookmarkStart w:id="24" w:name="_Toc234764829"/>
      <w:bookmarkStart w:id="25" w:name="_Toc51339696"/>
      <w:bookmarkEnd w:id="23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tabs>
          <w:tab w:val="clear" w:pos="0"/>
        </w:tabs>
        <w:ind w:hanging="0" w:left="284"/>
        <w:rPr>
          <w:sz w:val="24"/>
          <w:szCs w:val="24"/>
        </w:rPr>
      </w:pPr>
      <w:bookmarkStart w:id="26" w:name="__RefHeading___Toc2656_942833219"/>
      <w:bookmarkStart w:id="27" w:name="_Toc234764830"/>
      <w:bookmarkEnd w:id="26"/>
      <w:r>
        <w:rPr>
          <w:sz w:val="24"/>
          <w:szCs w:val="24"/>
        </w:rPr>
        <w:t>Таблица 3. Требования к срокам оказания услуг</w:t>
      </w:r>
      <w:bookmarkEnd w:id="27"/>
    </w:p>
    <w:tbl>
      <w:tblPr>
        <w:tblW w:w="10038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3549"/>
        <w:gridCol w:w="2528"/>
        <w:gridCol w:w="3116"/>
      </w:tblGrid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50" w:hRule="atLeast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1.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ОКПД2: 49.41.19.900 Услуги по перевозке спецтехники для нужд Хабаровского участка расчистки просек Дальневосточного филиала АО «ТК РусГидро»</w:t>
              <w:br/>
              <w:t>(срок действия договора)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4"/>
                <w:szCs w:val="24"/>
              </w:rPr>
              <w:t>31.07.2027</w:t>
            </w:r>
          </w:p>
        </w:tc>
      </w:tr>
      <w:tr>
        <w:trPr/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2.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ОКПД2: 49.41.19.900 Услуги по перевозке спецтехники для нужд Хабаровского участка расчистки просек Дальневосточного филиала АО «ТК РусГидро»</w:t>
              <w:br/>
              <w:t>(срок поставки по заявке)</w:t>
            </w:r>
          </w:p>
        </w:tc>
        <w:tc>
          <w:tcPr>
            <w:tcW w:w="2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В течение 5 (пяти) дней с момента подачи заявки от Заказчика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bCs/>
                <w:sz w:val="22"/>
                <w:szCs w:val="22"/>
              </w:rPr>
              <w:t>В течение 20 (двадцати) календарных дней с момента принятия груза к перевозке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28" w:name="__RefHeading___Toc2658_942833219"/>
      <w:bookmarkStart w:id="29" w:name="_Toc234764831"/>
      <w:bookmarkStart w:id="30" w:name="_Toc200980035"/>
      <w:bookmarkStart w:id="31" w:name="_Toc46743511"/>
      <w:bookmarkStart w:id="32" w:name="_Toc51339698"/>
      <w:bookmarkStart w:id="33" w:name="_Toc50125131"/>
      <w:bookmarkEnd w:id="28"/>
      <w:bookmarkEnd w:id="32"/>
      <w:bookmarkEnd w:id="33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  <w:bookmarkEnd w:id="2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34" w:name="__RefHeading___Toc2660_942833219"/>
      <w:bookmarkStart w:id="35" w:name="_Toc234764832"/>
      <w:bookmarkEnd w:id="34"/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ru-RU"/>
        </w:rPr>
        <w:t>.</w:t>
      </w:r>
      <w:bookmarkEnd w:id="3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(позиции №1-2 Таблицы 2): </w:t>
      </w:r>
      <w:r>
        <w:rPr>
          <w:b w:val="false"/>
          <w:bCs w:val="false"/>
          <w:sz w:val="24"/>
          <w:szCs w:val="24"/>
        </w:rPr>
        <w:t>ОКПД2: 49.41.19.900 Услуги по перевозке спецтехники для нужд Хабаровского участка расчистки просек Дальневосточного филиала АО «ТК РусГидро»</w:t>
      </w:r>
      <w:r>
        <w:rPr>
          <w:rFonts w:eastAsia="Calibri"/>
          <w:b w:val="false"/>
          <w:bCs w:val="false"/>
          <w:sz w:val="24"/>
          <w:szCs w:val="24"/>
        </w:rPr>
        <w:t>.</w:t>
      </w:r>
    </w:p>
    <w:tbl>
      <w:tblPr>
        <w:tblStyle w:val="affff9"/>
        <w:tblW w:w="10256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039"/>
        <w:gridCol w:w="5"/>
        <w:gridCol w:w="5563"/>
        <w:gridCol w:w="1748"/>
      </w:tblGrid>
      <w:tr>
        <w:trPr/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5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1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Перевозка ТС по маршрутам должна осуществляться по предварительной заявке Заказчика в любое время, включая выходные и праздничные дни.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bidi w:val="0"/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4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Условия оказания услуг</w:t>
            </w:r>
          </w:p>
        </w:tc>
        <w:tc>
          <w:tcPr>
            <w:tcW w:w="5563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заборе груза по адресу Заказчика, погрузка производятся силами Заказчика. При доставке груза по адресу Заказчика выгрузка груза производятся силами Заказчика. При необходимости осуществления межтерминальной перевозки, погрузка и выгрузка груза производится силами и за счет Исполнителя. Погрузка и разгрузка груза в портах  производится силами и за счет Исполнителя.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маршрутам, указанным в таблице № 2 ТТ.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Складское хранение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направлениям (маршрутам) перевозки. В случае, когда конечной точкой маршрута является порт Исполнитель должен обеспечить вывоз груза на свои и/или склады партнеров.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ТС,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55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Дальневосточного филиала АО «Транспортная компания РусГидро» (680021, Хабаровский край, Хабаровск город, Ленинградская улица, 46).</w:t>
            </w:r>
          </w:p>
        </w:tc>
        <w:tc>
          <w:tcPr>
            <w:tcW w:w="174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экземплярах, транспортную накладную с отметками грузоотправителя и грузополучателя о сохранности груза.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Приказ Минтруда России от 28.10.2020 N 753н «Об утверждении Правил по охране труда при погрузочно-разгрузочных работах и размещении грузов»;</w:t>
            </w:r>
            <w:bookmarkStart w:id="36" w:name="_GoBack"/>
            <w:bookmarkEnd w:id="36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Федеральный закон от 10.12.1995 N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«Кодекс внутреннего водного транспорта Российской Федерации» от 07.03.2001 N 24-ФЗ;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Приказ Росморфлота от 22.10.1996  N 39 «Об утверждении и введении в действие «Правил перевозки грузов в контейнерах морским транспортом».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3"/>
        </w:numPr>
        <w:ind w:hanging="426" w:left="426"/>
        <w:rPr/>
      </w:pPr>
      <w:bookmarkStart w:id="37" w:name="__RefHeading___Toc2662_942833219"/>
      <w:bookmarkStart w:id="38" w:name="_Toc234764833"/>
      <w:bookmarkEnd w:id="37"/>
      <w:r>
        <w:rPr>
          <w:rFonts w:eastAsia="Calibri"/>
          <w:b/>
          <w:iCs/>
          <w:sz w:val="24"/>
          <w:szCs w:val="28"/>
          <w:lang w:eastAsia="x-none"/>
        </w:rPr>
        <w:t>Требования к документации по ценообразованию на этапе закупки</w:t>
      </w:r>
      <w:bookmarkEnd w:id="38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Участника не включаются.</w:t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1" w:hanging="36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29466805171">
    <w:name w:val="29466805171"/>
    <w:qFormat/>
  </w:style>
  <w:style w:type="numbering" w:styleId="20394249691">
    <w:name w:val="203942496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F271-A54B-464F-9FC2-CE743FAF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4377</TotalTime>
  <Application>AlterOffice/2026.2.0.0$Linux_X86_64 LibreOffice_project/bc4ef1adf80b36c7a6365f8ed6cbf29021361edd</Application>
  <AppVersion>15.0000</AppVersion>
  <Pages>7</Pages>
  <Words>1357</Words>
  <Characters>9099</Characters>
  <CharactersWithSpaces>10296</CharactersWithSpaces>
  <Paragraphs>167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melnikovoi@corp.gidroogk.com</cp:lastModifiedBy>
  <cp:lastPrinted>2026-08-05T00:41:00Z</cp:lastPrinted>
  <dcterms:modified xsi:type="dcterms:W3CDTF">2026-10-28T17:18:26Z</dcterms:modified>
  <cp:revision>90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