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ind w:firstLine="567"/>
        <w:jc w:val="right"/>
        <w:rPr>
          <w:b/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</w:r>
    </w:p>
    <w:p>
      <w:pPr>
        <w:pStyle w:val="Normal"/>
        <w:widowControl w:val="false"/>
        <w:ind w:firstLine="567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widowControl w:val="false"/>
        <w:ind w:firstLine="567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widowControl w:val="false"/>
        <w:ind w:firstLine="567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widowControl w:val="false"/>
        <w:ind w:firstLine="567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widowControl w:val="false"/>
        <w:ind w:firstLine="567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widowControl w:val="false"/>
        <w:ind w:firstLine="567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widowControl w:val="false"/>
        <w:ind w:firstLine="567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widowControl w:val="false"/>
        <w:ind w:firstLine="567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widowControl w:val="false"/>
        <w:ind w:firstLine="567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widowControl w:val="false"/>
        <w:ind w:firstLine="567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widowControl w:val="false"/>
        <w:ind w:firstLine="567"/>
        <w:jc w:val="center"/>
        <w:rPr>
          <w:color w:val="000000"/>
        </w:rPr>
      </w:pPr>
      <w:r>
        <w:rPr>
          <w:rFonts w:eastAsia="Calibri"/>
          <w:b/>
          <w:color w:val="000000"/>
          <w:szCs w:val="24"/>
        </w:rPr>
        <w:t>Технические требования на выполнение работ</w:t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widowControl w:val="false"/>
        <w:suppressAutoHyphens w:val="true"/>
        <w:bidi w:val="0"/>
        <w:spacing w:before="0" w:after="0"/>
        <w:ind w:left="0" w:right="0" w:hanging="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rFonts w:eastAsia="Calibri"/>
          <w:b w:val="false"/>
          <w:bCs w:val="false"/>
          <w:color w:val="000000"/>
          <w:kern w:val="0"/>
          <w:sz w:val="24"/>
          <w:szCs w:val="24"/>
          <w:lang w:val="ru-RU" w:eastAsia="en-US" w:bidi="ar-SA"/>
        </w:rPr>
        <w:t xml:space="preserve">ОКПД 2. 71.12.19. Разработка разделов рабочей документации «НСОВ. Оборудование насосной станции осветленной воды ЗШО-2» и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ru-RU" w:bidi="ar-SA"/>
        </w:rPr>
        <w:t xml:space="preserve">«Трубопроводы осветленной воды» </w:t>
      </w:r>
      <w:r>
        <w:rPr>
          <w:rFonts w:eastAsia="Calibri"/>
          <w:b w:val="false"/>
          <w:bCs w:val="false"/>
          <w:color w:val="000000"/>
          <w:kern w:val="0"/>
          <w:sz w:val="24"/>
          <w:szCs w:val="24"/>
          <w:lang w:val="ru-RU" w:eastAsia="en-US" w:bidi="ar-SA"/>
        </w:rPr>
        <w:t>для сооружений возврата осветленной воды по объекту: «Строительство ЗШО 2 Нерюнгринской ГРЭС»</w:t>
      </w:r>
    </w:p>
    <w:p>
      <w:pPr>
        <w:pStyle w:val="Normal"/>
        <w:widowControl w:val="false"/>
        <w:ind w:firstLine="567"/>
        <w:jc w:val="center"/>
        <w:rPr>
          <w:color w:val="000000"/>
        </w:rPr>
      </w:pPr>
      <w:r>
        <w:rPr>
          <w:rFonts w:eastAsia="Calibri"/>
          <w:b/>
          <w:color w:val="000000"/>
          <w:szCs w:val="24"/>
        </w:rPr>
        <w:t>Лот №____________________________</w:t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i/>
          <w:i/>
          <w:color w:val="000000"/>
          <w:szCs w:val="24"/>
        </w:rPr>
      </w:pPr>
      <w:r>
        <w:rPr>
          <w:rFonts w:eastAsia="Calibri"/>
          <w:b/>
          <w:i/>
          <w:color w:val="000000"/>
          <w:szCs w:val="24"/>
        </w:rPr>
      </w:r>
    </w:p>
    <w:p>
      <w:pPr>
        <w:pStyle w:val="Normal"/>
        <w:widowControl w:val="false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widowControl w:val="false"/>
        <w:ind w:firstLine="567"/>
        <w:rPr>
          <w:color w:val="000000"/>
          <w:szCs w:val="24"/>
        </w:rPr>
      </w:pPr>
      <w:r>
        <w:rPr>
          <w:color w:val="000000"/>
          <w:szCs w:val="24"/>
        </w:rPr>
      </w:r>
      <w:r>
        <w:br w:type="page"/>
      </w:r>
    </w:p>
    <w:p>
      <w:pPr>
        <w:pStyle w:val="Normal"/>
        <w:widowControl w:val="false"/>
        <w:ind w:firstLine="567"/>
        <w:jc w:val="center"/>
        <w:rPr>
          <w:color w:val="000000"/>
        </w:rPr>
      </w:pPr>
      <w:r>
        <w:rPr>
          <w:b/>
          <w:color w:val="000000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0" w:hanging="0"/>
            <w:rPr/>
          </w:pPr>
          <w:r>
            <w:fldChar w:fldCharType="begin"/>
          </w:r>
          <w:r>
            <w:rPr>
              <w:sz w:val="22"/>
              <w:b/>
            </w:rPr>
            <w:instrText> TOC \z \o "1-4" \u \h</w:instrText>
          </w:r>
          <w:r>
            <w:rPr>
              <w:sz w:val="22"/>
              <w:b/>
            </w:rPr>
            <w:fldChar w:fldCharType="separate"/>
          </w:r>
          <w:r>
            <w:rPr>
              <w:b/>
              <w:sz w:val="22"/>
            </w:rPr>
            <w:t>1. Общие сведения</w:t>
            <w:tab/>
            <w:t>3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1.1. Обозначения и сокращения</w:t>
            <w:tab/>
            <w:t>3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1.2. Наименование закупаемой продукции</w:t>
            <w:tab/>
            <w:t>3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1.3. Цель выполнения работ</w:t>
            <w:tab/>
            <w:t>3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1.4. Существующее положение</w:t>
            <w:tab/>
            <w:t>3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1.5. Информация в отношении исполнения договора</w:t>
            <w:tab/>
            <w:t>5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1.6. Иные требования и сведения общего характера</w:t>
            <w:tab/>
            <w:t>5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0" w:hanging="0"/>
            <w:rPr/>
          </w:pPr>
          <w:r>
            <w:rPr>
              <w:b/>
              <w:sz w:val="22"/>
            </w:rPr>
            <w:t>2. Требования к продукции</w:t>
            <w:tab/>
            <w:t>5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2.1. Общие требования к составу и объёму разрабатываемых разделов</w:t>
            <w:tab/>
            <w:t>5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2.2. Нормативная документация: оборудование НСОВ</w:t>
            <w:tab/>
            <w:t>6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2.3. Нормативная документация: трубопроводы осветленной воды</w:t>
            <w:tab/>
            <w:t>6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2.4. Требования к объемам и срокам выполнения работ</w:t>
            <w:tab/>
            <w:t>7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2.4.1. Требования к видам и объемам работ</w:t>
            <w:tab/>
            <w:t>7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2.4.2. Требования к срокам выполнения работ</w:t>
            <w:tab/>
            <w:t>8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283" w:hanging="0"/>
            <w:rPr/>
          </w:pPr>
          <w:r>
            <w:rPr>
              <w:b w:val="false"/>
              <w:sz w:val="22"/>
            </w:rPr>
            <w:t>2.5. Требования к качеству работ</w:t>
            <w:tab/>
            <w:t>9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0" w:hanging="0"/>
            <w:rPr/>
          </w:pPr>
          <w:r>
            <w:rPr>
              <w:b/>
              <w:sz w:val="22"/>
            </w:rPr>
            <w:t>3. Требования к документации по ценообразованию на этапе закупки</w:t>
            <w:tab/>
            <w:t>13</w:t>
          </w:r>
        </w:p>
        <w:p>
          <w:pPr>
            <w:pStyle w:val="Normal"/>
            <w:tabs>
              <w:tab w:val="clear" w:pos="708"/>
              <w:tab w:val="right" w:pos="9808" w:leader="dot"/>
            </w:tabs>
            <w:spacing w:lineRule="auto" w:line="240" w:before="0" w:after="140"/>
            <w:ind w:left="0" w:hanging="0"/>
            <w:rPr/>
          </w:pPr>
          <w:r>
            <w:rPr>
              <w:b/>
              <w:sz w:val="22"/>
            </w:rPr>
            <w:t>4. Требования к ценообразованию при заключении и исполнении договора 13</w:t>
            <w:tab/>
            <w:t>13</w:t>
          </w:r>
          <w:r>
            <w:rPr>
              <w:sz w:val="22"/>
              <w:b/>
            </w:rPr>
            <w:fldChar w:fldCharType="end"/>
          </w:r>
        </w:p>
      </w:sdtContent>
    </w:sdt>
    <w:p>
      <w:pPr>
        <w:pStyle w:val="16"/>
        <w:tabs>
          <w:tab w:val="clear" w:pos="708"/>
          <w:tab w:val="left" w:pos="560" w:leader="none"/>
          <w:tab w:val="right" w:pos="10055" w:leader="dot"/>
        </w:tabs>
        <w:rPr/>
      </w:pPr>
      <w:r>
        <w:rPr/>
      </w:r>
    </w:p>
    <w:p>
      <w:pPr>
        <w:pStyle w:val="2"/>
        <w:ind w:left="0" w:firstLine="567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i/>
          <w:i/>
          <w:color w:val="000000"/>
          <w:szCs w:val="24"/>
        </w:rPr>
      </w:pPr>
      <w:r>
        <w:rPr>
          <w:rFonts w:eastAsia="Calibri"/>
          <w:b/>
          <w:i/>
          <w:color w:val="000000"/>
          <w:szCs w:val="24"/>
        </w:rPr>
      </w:r>
      <w:r>
        <w:br w:type="page"/>
      </w:r>
    </w:p>
    <w:p>
      <w:pPr>
        <w:pStyle w:val="1"/>
        <w:ind w:left="0" w:firstLine="567"/>
        <w:rPr>
          <w:color w:val="000000"/>
        </w:rPr>
      </w:pPr>
      <w:bookmarkStart w:id="0" w:name="__RefHeading___Toc2541_956031921"/>
      <w:bookmarkStart w:id="1" w:name="_Toc51339692"/>
      <w:bookmarkStart w:id="2" w:name="_Toc221191357"/>
      <w:bookmarkEnd w:id="0"/>
      <w:r>
        <w:rPr>
          <w:color w:val="000000"/>
          <w:sz w:val="24"/>
          <w:szCs w:val="24"/>
        </w:rPr>
        <w:t>Общие сведения</w:t>
      </w:r>
      <w:bookmarkEnd w:id="1"/>
      <w:bookmarkEnd w:id="2"/>
    </w:p>
    <w:p>
      <w:pPr>
        <w:pStyle w:val="Normal"/>
        <w:rPr>
          <w:color w:val="000000"/>
          <w:szCs w:val="24"/>
          <w:lang w:eastAsia="x-none"/>
        </w:rPr>
      </w:pPr>
      <w:r>
        <w:rPr>
          <w:color w:val="000000"/>
          <w:szCs w:val="24"/>
          <w:lang w:eastAsia="x-none"/>
        </w:rPr>
      </w:r>
    </w:p>
    <w:p>
      <w:pPr>
        <w:pStyle w:val="4"/>
        <w:numPr>
          <w:ilvl w:val="0"/>
          <w:numId w:val="0"/>
        </w:numPr>
        <w:ind w:left="0" w:firstLine="567"/>
        <w:rPr>
          <w:color w:val="000000"/>
        </w:rPr>
      </w:pPr>
      <w:r>
        <w:rPr/>
        <w:t>1.1. Обозначения и сокращения</w:t>
      </w:r>
    </w:p>
    <w:tbl>
      <w:tblPr>
        <w:tblW w:w="9241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41"/>
      </w:tblGrid>
      <w:tr>
        <w:trPr>
          <w:trHeight w:val="454" w:hRule="atLeast"/>
        </w:trPr>
        <w:tc>
          <w:tcPr>
            <w:tcW w:w="92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АСУТП – автоматизированная система управления технологическими процессами</w:t>
            </w:r>
          </w:p>
        </w:tc>
      </w:tr>
      <w:tr>
        <w:trPr>
          <w:trHeight w:val="454" w:hRule="atLeast"/>
        </w:trPr>
        <w:tc>
          <w:tcPr>
            <w:tcW w:w="9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ГРЭС – государственная районная электростанция</w:t>
            </w:r>
          </w:p>
        </w:tc>
      </w:tr>
      <w:tr>
        <w:trPr>
          <w:trHeight w:val="454" w:hRule="atLeast"/>
        </w:trPr>
        <w:tc>
          <w:tcPr>
            <w:tcW w:w="9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ЗШО 2 - золошлакоотвал №2</w:t>
            </w:r>
          </w:p>
        </w:tc>
      </w:tr>
      <w:tr>
        <w:trPr>
          <w:trHeight w:val="454" w:hRule="atLeast"/>
        </w:trPr>
        <w:tc>
          <w:tcPr>
            <w:tcW w:w="9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ИИС – информационно-измерительная система</w:t>
            </w:r>
          </w:p>
        </w:tc>
      </w:tr>
      <w:tr>
        <w:trPr>
          <w:trHeight w:val="454" w:hRule="atLeast"/>
        </w:trPr>
        <w:tc>
          <w:tcPr>
            <w:tcW w:w="9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КИП – контрольно-измерительные приборы</w:t>
            </w:r>
          </w:p>
        </w:tc>
      </w:tr>
      <w:tr>
        <w:trPr>
          <w:trHeight w:val="454" w:hRule="atLeast"/>
        </w:trPr>
        <w:tc>
          <w:tcPr>
            <w:tcW w:w="9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КРУ – комплектное распределительное устройство</w:t>
            </w:r>
          </w:p>
        </w:tc>
      </w:tr>
      <w:tr>
        <w:trPr>
          <w:trHeight w:val="454" w:hRule="atLeast"/>
        </w:trPr>
        <w:tc>
          <w:tcPr>
            <w:tcW w:w="9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МП – микропроцессорный</w:t>
            </w:r>
          </w:p>
        </w:tc>
      </w:tr>
      <w:tr>
        <w:trPr>
          <w:trHeight w:val="454" w:hRule="atLeast"/>
        </w:trPr>
        <w:tc>
          <w:tcPr>
            <w:tcW w:w="9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ПТК – программно-технический комплекс</w:t>
            </w:r>
          </w:p>
        </w:tc>
      </w:tr>
      <w:tr>
        <w:trPr>
          <w:trHeight w:val="454" w:hRule="atLeast"/>
        </w:trPr>
        <w:tc>
          <w:tcPr>
            <w:tcW w:w="9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РД – рабочая документация</w:t>
            </w:r>
          </w:p>
        </w:tc>
      </w:tr>
      <w:tr>
        <w:trPr>
          <w:trHeight w:val="454" w:hRule="atLeast"/>
        </w:trPr>
        <w:tc>
          <w:tcPr>
            <w:tcW w:w="9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РЗА – релейная защита и автоматика</w:t>
            </w:r>
          </w:p>
        </w:tc>
      </w:tr>
      <w:tr>
        <w:trPr>
          <w:trHeight w:val="454" w:hRule="atLeast"/>
        </w:trPr>
        <w:tc>
          <w:tcPr>
            <w:tcW w:w="9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САУ – система автоматического управления</w:t>
            </w:r>
          </w:p>
        </w:tc>
      </w:tr>
      <w:tr>
        <w:trPr>
          <w:trHeight w:val="454" w:hRule="atLeast"/>
        </w:trPr>
        <w:tc>
          <w:tcPr>
            <w:tcW w:w="9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ТЗ – техническое задание</w:t>
            </w:r>
          </w:p>
        </w:tc>
      </w:tr>
    </w:tbl>
    <w:p>
      <w:pPr>
        <w:pStyle w:val="Normal"/>
        <w:widowControl w:val="false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4"/>
        <w:numPr>
          <w:ilvl w:val="0"/>
          <w:numId w:val="0"/>
        </w:numPr>
        <w:ind w:left="0" w:firstLine="567"/>
        <w:rPr>
          <w:color w:val="000000"/>
        </w:rPr>
      </w:pPr>
      <w:r>
        <w:rPr/>
        <w:t>1.2. Наименование закупаемой продукции</w:t>
      </w:r>
    </w:p>
    <w:p>
      <w:pPr>
        <w:pStyle w:val="Normal"/>
        <w:widowControl w:val="false"/>
        <w:suppressAutoHyphens w:val="true"/>
        <w:bidi w:val="0"/>
        <w:spacing w:before="0" w:after="0"/>
        <w:ind w:left="0" w:right="0" w:firstLine="567"/>
        <w:jc w:val="both"/>
        <w:rPr>
          <w:b w:val="false"/>
          <w:b w:val="false"/>
          <w:bCs w:val="false"/>
          <w:sz w:val="24"/>
          <w:szCs w:val="24"/>
        </w:rPr>
      </w:pPr>
      <w:r>
        <w:rPr>
          <w:rFonts w:eastAsia="Calibri"/>
          <w:b w:val="false"/>
          <w:bCs w:val="false"/>
          <w:color w:val="000000"/>
          <w:kern w:val="0"/>
          <w:sz w:val="24"/>
          <w:szCs w:val="24"/>
          <w:lang w:val="ru-RU" w:eastAsia="en-US" w:bidi="ar-SA"/>
        </w:rPr>
        <w:t xml:space="preserve">Разработка разделов рабочей документации «НСОВ. Оборудование насосной станции осветленной воды ЗШО-2» и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ru-RU" w:bidi="ar-SA"/>
        </w:rPr>
        <w:t xml:space="preserve">«Трубопроводы осветленной воды» </w:t>
      </w:r>
      <w:r>
        <w:rPr>
          <w:rFonts w:eastAsia="Calibri"/>
          <w:b w:val="false"/>
          <w:bCs w:val="false"/>
          <w:color w:val="000000"/>
          <w:kern w:val="0"/>
          <w:sz w:val="24"/>
          <w:szCs w:val="24"/>
          <w:lang w:val="ru-RU" w:eastAsia="en-US" w:bidi="ar-SA"/>
        </w:rPr>
        <w:t>для сооружений возврата осветленной воды по объекту: «Строительство ЗШО 2 Нерюнгринской ГРЭС».</w:t>
      </w:r>
    </w:p>
    <w:p>
      <w:pPr>
        <w:pStyle w:val="4"/>
        <w:numPr>
          <w:ilvl w:val="0"/>
          <w:numId w:val="0"/>
        </w:numPr>
        <w:ind w:left="0" w:firstLine="567"/>
        <w:rPr>
          <w:color w:val="000000"/>
        </w:rPr>
      </w:pPr>
      <w:r>
        <w:rPr/>
        <w:t>1.3. Цель выполнения работ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/>
        <w:t>Разработка рабочей документации «Насосная станция осветленной воды» по объекту: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/>
        <w:t>«Разработка разделов рабочей документации для сооружений возврата осветленной воды по объекту: «Строительство ЗШО 2 Нерюнгринской ГРЭС» в составе ко</w:t>
      </w: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мплектов:</w:t>
      </w:r>
    </w:p>
    <w:p>
      <w:pPr>
        <w:pStyle w:val="Normal"/>
        <w:widowControl w:val="false"/>
        <w:suppressAutoHyphens w:val="true"/>
        <w:bidi w:val="0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Код комплекта по KKS NH-000ETB-PT-0021-DC-00, наименование комплекта «НСОВ. Оборудование насосной станции осветленной воды ЗШО-2».</w:t>
      </w:r>
    </w:p>
    <w:p>
      <w:pPr>
        <w:pStyle w:val="Normal"/>
        <w:widowControl w:val="false"/>
        <w:suppressAutoHyphens w:val="true"/>
        <w:bidi w:val="0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Код комплекта по KKS NH-001PJA-PL-0001-DC-00, наименование комплекта  «Трубопроводы осветленной воды».</w:t>
      </w:r>
    </w:p>
    <w:p>
      <w:pPr>
        <w:pStyle w:val="Normal"/>
        <w:widowControl w:val="false"/>
        <w:suppressAutoHyphens w:val="true"/>
        <w:bidi w:val="0"/>
        <w:spacing w:before="0" w:after="0"/>
        <w:ind w:firstLine="567"/>
        <w:jc w:val="both"/>
        <w:rPr>
          <w:color w:val="000000"/>
        </w:rPr>
      </w:pPr>
      <w:r>
        <w:rPr>
          <w:color w:val="000000"/>
        </w:rPr>
      </w:r>
    </w:p>
    <w:p>
      <w:pPr>
        <w:pStyle w:val="4"/>
        <w:numPr>
          <w:ilvl w:val="0"/>
          <w:numId w:val="0"/>
        </w:numPr>
        <w:ind w:left="0" w:firstLine="567"/>
        <w:rPr>
          <w:color w:val="000000"/>
        </w:rPr>
      </w:pPr>
      <w:r>
        <w:rPr/>
        <w:t>1.4. Существующее положение</w:t>
      </w:r>
    </w:p>
    <w:p>
      <w:pPr>
        <w:pStyle w:val="Normal"/>
        <w:widowControl w:val="false"/>
        <w:suppressAutoHyphens w:val="true"/>
        <w:bidi w:val="0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Объект расположен в юго-восточной части п. Серебряный бор Нерюнгринского района республики Саха (Якутия). Расстояние от Нерюнгринской ГРЭС на запад до г. Нерюнгри составляет 6 км, на север до г. Чульман – 18 км, на юг до г. Беркакит – 10 км. Площадка ЗШО 2 ограничена естественным оврагом с восточной, западной и южной стороны, с северной стороны -первичная дамба. Отметка заполнения ЗШО 2 ограничена границей земельного участка с учетом расположения вспомогательных сооружений на не затапливаемых отметках. Отметка последнего яруса наращивания принимается  805,000 м.</w:t>
      </w:r>
    </w:p>
    <w:p>
      <w:pPr>
        <w:pStyle w:val="Normal"/>
        <w:widowControl w:val="false"/>
        <w:suppressAutoHyphens w:val="true"/>
        <w:bidi w:val="0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 xml:space="preserve">Назначение ЗШО 2 – транспортировка и размещение золошлаковых отходов Нерюнгринской ГРЭС с учётом проектируемых новых энергоблоков №4, №5. </w:t>
      </w:r>
    </w:p>
    <w:p>
      <w:pPr>
        <w:pStyle w:val="112"/>
        <w:widowControl w:val="false"/>
        <w:shd w:val="clear" w:fill="FFFFFF"/>
        <w:suppressAutoHyphens w:val="true"/>
        <w:bidi w:val="0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Расчетный расход золошлаковой пульпы определен исходя из суммарного расхода топлива энергоблоков Нерюнгринской ГРЭС (в том числе проектируемых энергоблоков № 4, № 5).</w:t>
      </w:r>
    </w:p>
    <w:p>
      <w:pPr>
        <w:pStyle w:val="112"/>
        <w:widowControl w:val="false"/>
        <w:shd w:val="clear" w:fill="FFFFFF"/>
        <w:suppressAutoHyphens w:val="true"/>
        <w:bidi w:val="0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Расчетная годовая емкость отвала при работе пяти энергоблоков - 953 тыс.м3</w:t>
      </w:r>
    </w:p>
    <w:p>
      <w:pPr>
        <w:pStyle w:val="112"/>
        <w:widowControl w:val="false"/>
        <w:shd w:val="clear" w:fill="FFFFFF"/>
        <w:suppressAutoHyphens w:val="true"/>
        <w:bidi w:val="0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Срок эксплуатации ЗШО 2 – 15 лет.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>
          <w:rFonts w:cs="Arial"/>
          <w:color w:val="000000"/>
          <w:sz w:val="24"/>
          <w:szCs w:val="24"/>
          <w:lang w:eastAsia="ru-RU"/>
        </w:rPr>
        <w:t>Сейсмичность районе строительства – 8 баллов.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>
          <w:color w:val="000000"/>
          <w:szCs w:val="24"/>
        </w:rPr>
        <w:t>Все оборудование, применяемое в проекте, должно быть согласовано с Генподрядчиком и иметь необходимые сертификаты (соответствия, качества и т.д.), соответствовать Техническим регламентам Таможенного союза, Госстандарту РФ (ГОСТ Р), требованиям Федеральной службы по экологическому, технологическому и атомному надзору (Ростехнадзор), Роспотребнадзора РФ, требованиям Технической политикиГруппы РусГидро.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>
          <w:color w:val="000000"/>
          <w:szCs w:val="24"/>
        </w:rPr>
        <w:t>При выполнении работ учитывать, что оборудование и комплектующие заграничных производителей допускается применять только в случае отсутствия аналогов, произведенных в РФ. При выборе оборудования и комплектующих отдать предпочтение оборудованию и комплектующим, изготавливающимся на территории РФ.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>
          <w:color w:val="000000"/>
          <w:szCs w:val="24"/>
        </w:rPr>
        <w:t>Оборудование должно быть оснащено необходимыми системами автоматического управления и приборами КИПиА. Предусмотреть интеграцию всех локальных систем управления в ПТК АСУТП.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>
          <w:color w:val="000000"/>
          <w:szCs w:val="24"/>
        </w:rPr>
        <w:t>Предусмотреть создание АСУТП. Предусмотреть возможность реализации дистанционного управления с АРМ оперативного персонала Нерюнгринской ГРЭС, в соответствии с Типовыми принципами переключений в электроустановках при осуществлении дистанционного управления оборудованием распределительных устройств электростанций Группы РусГидро, утвержденными 08.12.2021.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>
          <w:color w:val="000000"/>
          <w:szCs w:val="24"/>
        </w:rPr>
        <w:t>Цепи управления должны быть организованы от стабилизированного, гарантированного источника с учетом резервирования.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>
          <w:color w:val="000000"/>
          <w:szCs w:val="24"/>
        </w:rPr>
        <w:t>Основное технологическое оборудование должно изготавливаться и поставляться в комплектно-блочном исполнении максимальной заводской готовности крупными блоками, исходя из максимальной грузоподъемности и габаритов транспортных средств.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>
          <w:color w:val="000000"/>
          <w:szCs w:val="24"/>
        </w:rPr>
        <w:t xml:space="preserve">В составе оборудования насосной станции, предусмотреть устройство плавучей насосной станции для перекачки осветленной воды в ГРЭС из пруда ЗШО2, с учётом изменения уровня наполнения ЗШО2. Предусмотреть решения по подключению, якорению насосной станции, подвода трубопровода осветлённой воды на переменных отметках ЗШО2. 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>
          <w:color w:val="000000"/>
          <w:szCs w:val="24"/>
        </w:rPr>
        <w:t>Разработать технические решения по устройству плавучей насосной станции ЗШО2.</w:t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ind w:firstLine="567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b/>
          <w:color w:val="000000"/>
          <w:szCs w:val="24"/>
        </w:rPr>
        <w:t>Таблица 1. Перечень объектов заказчика</w:t>
      </w:r>
    </w:p>
    <w:tbl>
      <w:tblPr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0"/>
        <w:gridCol w:w="2793"/>
        <w:gridCol w:w="2705"/>
        <w:gridCol w:w="2140"/>
        <w:gridCol w:w="1843"/>
      </w:tblGrid>
      <w:tr>
        <w:trPr/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п/п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color w:val="000000"/>
                <w:szCs w:val="24"/>
              </w:rPr>
              <w:t>(место производства работ)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Примечания</w:t>
            </w:r>
          </w:p>
        </w:tc>
      </w:tr>
      <w:tr>
        <w:trPr/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1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2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3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left="0"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b/>
                <w:i/>
                <w:color w:val="000000"/>
                <w:szCs w:val="24"/>
              </w:rPr>
              <w:t>Разработка технических решения по устройству плавучей насосной станции осветленной воды ЗШО2.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678995, Российская Федерация,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Республика Саха (Якутия), Нерюнгринский район, пгт.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Серебряный Бор, площадка действующей Нерюнгринской ГРЭС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left="0"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000000"/>
                <w:szCs w:val="24"/>
              </w:rPr>
            </w:pPr>
            <w:r>
              <w:rPr>
                <w:b/>
                <w:i/>
                <w:color w:val="000000"/>
                <w:szCs w:val="24"/>
              </w:rPr>
              <w:t>«Разработка разделов рабочей документации для сооружений возврата осветленной воды по объекту: «Строительство ЗШО 2 Нерюнгринской ГРЭС»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678995, Российская Федерация,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Республика Саха (Якутия), Нерюнгринский район, пгт.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Серебряный Бор, площадка действующей Нерюнгринской ГРЭС</w:t>
            </w: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left="0"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000000"/>
                <w:szCs w:val="24"/>
              </w:rPr>
            </w:pPr>
            <w:r>
              <w:rPr>
                <w:b/>
                <w:i/>
                <w:color w:val="000000"/>
                <w:szCs w:val="24"/>
              </w:rPr>
              <w:t>«Разработка разделов рабочей документации для сооружений возврата осветленной воды по объекту: «Строительство ЗШО 2 Нерюнгринской ГРЭС»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678995, Российская Федерация,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Республика Саха (Якутия), Нерюнгринский район, пгт.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Серебряный Бор, площадка действующей Нерюнгринской ГРЭС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</w:r>
          </w:p>
        </w:tc>
      </w:tr>
    </w:tbl>
    <w:p>
      <w:pPr>
        <w:pStyle w:val="4"/>
        <w:numPr>
          <w:ilvl w:val="0"/>
          <w:numId w:val="0"/>
        </w:numPr>
        <w:ind w:left="0" w:firstLine="567"/>
        <w:rPr>
          <w:color w:val="000000"/>
        </w:rPr>
      </w:pPr>
      <w:r>
        <w:rPr/>
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Генподрядчиком на этапе исполнения договора)</w:t>
      </w:r>
    </w:p>
    <w:p>
      <w:pPr>
        <w:pStyle w:val="Normal"/>
        <w:ind w:firstLine="567"/>
        <w:jc w:val="both"/>
        <w:rPr>
          <w:color w:val="000000"/>
        </w:rPr>
      </w:pPr>
      <w:bookmarkStart w:id="3" w:name="_Toc50125126"/>
      <w:bookmarkEnd w:id="3"/>
      <w:r>
        <w:rPr>
          <w:b/>
          <w:color w:val="000000"/>
          <w:szCs w:val="24"/>
        </w:rPr>
        <w:t>1.5.1. Перечень исходных данных, предоставляемых для разработки разделов проектной документации:</w:t>
      </w:r>
    </w:p>
    <w:p>
      <w:pPr>
        <w:pStyle w:val="ListParagraph"/>
        <w:widowControl w:val="false"/>
        <w:numPr>
          <w:ilvl w:val="0"/>
          <w:numId w:val="6"/>
        </w:numPr>
        <w:tabs>
          <w:tab w:val="clear" w:pos="708"/>
          <w:tab w:val="left" w:pos="567" w:leader="none"/>
        </w:tabs>
        <w:suppressAutoHyphens w:val="true"/>
        <w:bidi w:val="0"/>
        <w:spacing w:lineRule="auto" w:line="276" w:before="0" w:after="0"/>
        <w:ind w:left="0" w:hanging="0"/>
        <w:contextualSpacing/>
        <w:jc w:val="both"/>
        <w:rPr>
          <w:color w:val="000000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Технические условия на подключение к сетям;</w:t>
      </w:r>
    </w:p>
    <w:p>
      <w:pPr>
        <w:pStyle w:val="ListParagraph"/>
        <w:widowControl w:val="false"/>
        <w:numPr>
          <w:ilvl w:val="0"/>
          <w:numId w:val="6"/>
        </w:numPr>
        <w:tabs>
          <w:tab w:val="clear" w:pos="708"/>
          <w:tab w:val="left" w:pos="567" w:leader="none"/>
        </w:tabs>
        <w:suppressAutoHyphens w:val="true"/>
        <w:bidi w:val="0"/>
        <w:spacing w:lineRule="auto" w:line="276" w:before="0" w:after="0"/>
        <w:ind w:left="0" w:hanging="0"/>
        <w:contextualSpacing/>
        <w:jc w:val="both"/>
        <w:rPr>
          <w:color w:val="000000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Проектная документация «Строительство 2-й очереди Нерюнгринской ГРЭС», разработанная АО «Институт Гидропроект» в рамках Дополнительных соглашений № 4, 7, 10 к договору от 29.04.2021 № 1510-2-2021.</w:t>
      </w:r>
    </w:p>
    <w:p>
      <w:pPr>
        <w:pStyle w:val="ListParagraph"/>
        <w:widowControl w:val="false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76"/>
        <w:ind w:left="0" w:hanging="0"/>
        <w:jc w:val="both"/>
        <w:rPr>
          <w:color w:val="000000"/>
        </w:rPr>
      </w:pPr>
      <w:r>
        <w:rPr>
          <w:color w:val="000000"/>
        </w:rPr>
        <w:t>Технические отчеты по инженерным изысканиям.</w:t>
      </w:r>
    </w:p>
    <w:p>
      <w:pPr>
        <w:pStyle w:val="Normal"/>
        <w:widowControl w:val="false"/>
        <w:spacing w:lineRule="auto" w:line="276" w:before="120" w:after="0"/>
        <w:ind w:firstLine="567"/>
        <w:jc w:val="both"/>
        <w:rPr>
          <w:color w:val="000000"/>
        </w:rPr>
      </w:pPr>
      <w:r>
        <w:rPr>
          <w:color w:val="000000"/>
          <w:szCs w:val="24"/>
        </w:rPr>
        <w:t>Перечень исходных данных может быть расширен по мере необходимости при выполнении работ.</w:t>
      </w:r>
    </w:p>
    <w:p>
      <w:pPr>
        <w:pStyle w:val="Normal"/>
        <w:widowControl w:val="false"/>
        <w:spacing w:lineRule="auto" w:line="276" w:before="12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4"/>
        <w:numPr>
          <w:ilvl w:val="0"/>
          <w:numId w:val="0"/>
        </w:numPr>
        <w:ind w:left="0" w:firstLine="567"/>
        <w:rPr>
          <w:color w:val="000000"/>
        </w:rPr>
      </w:pPr>
      <w:r>
        <w:rPr/>
        <w:t>1.6. Иные требования и сведения общего характера</w:t>
      </w:r>
    </w:p>
    <w:p>
      <w:pPr>
        <w:pStyle w:val="Normal"/>
        <w:spacing w:lineRule="auto" w:line="276"/>
        <w:ind w:firstLine="851"/>
        <w:jc w:val="both"/>
        <w:rPr>
          <w:color w:val="000000"/>
        </w:rPr>
      </w:pPr>
      <w:r>
        <w:rPr>
          <w:color w:val="000000"/>
          <w:szCs w:val="24"/>
        </w:rPr>
        <w:t>Субподрядчик в рамках договорных обязательств выполняет сопровождение при согласовании документации с Заказчиком до получения всех необходимых согласований и положительных заключений.</w:t>
      </w:r>
    </w:p>
    <w:p>
      <w:pPr>
        <w:pStyle w:val="Style54"/>
        <w:widowControl/>
        <w:tabs>
          <w:tab w:val="clear" w:pos="708"/>
          <w:tab w:val="left" w:pos="993" w:leader="none"/>
        </w:tabs>
        <w:spacing w:lineRule="auto" w:line="276"/>
        <w:ind w:firstLine="709"/>
        <w:jc w:val="both"/>
        <w:rPr>
          <w:color w:val="000000"/>
        </w:rPr>
      </w:pPr>
      <w:r>
        <w:rPr>
          <w:color w:val="000000"/>
        </w:rPr>
      </w:r>
    </w:p>
    <w:p>
      <w:pPr>
        <w:pStyle w:val="1"/>
        <w:ind w:left="0" w:hanging="0"/>
        <w:rPr>
          <w:color w:val="000000"/>
        </w:rPr>
      </w:pPr>
      <w:bookmarkStart w:id="4" w:name="__RefHeading___Toc2555_956031921"/>
      <w:bookmarkStart w:id="5" w:name="_Toc51339693"/>
      <w:bookmarkStart w:id="6" w:name="_Toc221191364"/>
      <w:bookmarkEnd w:id="4"/>
      <w:r>
        <w:rPr>
          <w:color w:val="000000"/>
          <w:sz w:val="24"/>
          <w:szCs w:val="24"/>
        </w:rPr>
        <w:t>Требования к продукции</w:t>
      </w:r>
      <w:bookmarkEnd w:id="5"/>
      <w:bookmarkEnd w:id="6"/>
    </w:p>
    <w:p>
      <w:pPr>
        <w:pStyle w:val="4"/>
        <w:numPr>
          <w:ilvl w:val="0"/>
          <w:numId w:val="0"/>
        </w:numPr>
        <w:ind w:left="0" w:firstLine="567"/>
        <w:jc w:val="both"/>
        <w:rPr>
          <w:color w:val="000000"/>
        </w:rPr>
      </w:pPr>
      <w:r>
        <w:rPr/>
        <w:t>2.1. Общие требования к составу и объёму разрабатываемых разделов: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464" w:leader="none"/>
          <w:tab w:val="left" w:pos="890" w:leader="none"/>
        </w:tabs>
        <w:ind w:left="0" w:firstLine="851"/>
        <w:jc w:val="both"/>
        <w:rPr>
          <w:color w:val="000000"/>
        </w:rPr>
      </w:pPr>
      <w:r>
        <w:rPr>
          <w:color w:val="000000"/>
          <w:lang w:eastAsia="x-none"/>
        </w:rPr>
        <w:t>Всё электротехническое оборудование должно иметь местное управление по локальной системе;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464" w:leader="none"/>
          <w:tab w:val="left" w:pos="890" w:leader="none"/>
        </w:tabs>
        <w:ind w:left="0" w:firstLine="851"/>
        <w:jc w:val="both"/>
        <w:rPr>
          <w:color w:val="000000"/>
        </w:rPr>
      </w:pPr>
      <w:r>
        <w:rPr>
          <w:color w:val="000000"/>
          <w:lang w:eastAsia="x-none"/>
        </w:rPr>
        <w:t>Для всего электротехнического оборудования должна быть предусмотрена возможность реализации системы мониторинга состояния оборудования по двум каналам (основной и резервный);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464" w:leader="none"/>
          <w:tab w:val="left" w:pos="890" w:leader="none"/>
        </w:tabs>
        <w:ind w:left="0" w:firstLine="851"/>
        <w:jc w:val="both"/>
        <w:rPr>
          <w:color w:val="000000"/>
        </w:rPr>
      </w:pPr>
      <w:r>
        <w:rPr>
          <w:color w:val="000000"/>
          <w:lang w:eastAsia="x-none"/>
        </w:rPr>
        <w:t>В рамках комплектов рабочей документации Субподрядчик разрабатывает и прикладывает технические требования/опросные листы на проектируемое оборудование.</w:t>
      </w:r>
    </w:p>
    <w:p>
      <w:pPr>
        <w:pStyle w:val="Normal"/>
        <w:rPr>
          <w:color w:val="000000"/>
          <w:szCs w:val="24"/>
          <w:lang w:eastAsia="x-none"/>
        </w:rPr>
      </w:pPr>
      <w:r>
        <w:rPr>
          <w:color w:val="000000"/>
          <w:szCs w:val="24"/>
          <w:lang w:eastAsia="x-none"/>
        </w:rPr>
      </w:r>
    </w:p>
    <w:p>
      <w:pPr>
        <w:pStyle w:val="4"/>
        <w:keepNext w:val="true"/>
        <w:numPr>
          <w:ilvl w:val="0"/>
          <w:numId w:val="0"/>
        </w:numPr>
        <w:spacing w:lineRule="auto" w:line="240" w:before="120" w:after="80"/>
        <w:ind w:left="0" w:hanging="0"/>
        <w:rPr/>
      </w:pPr>
      <w:r>
        <w:rPr>
          <w:b/>
          <w:sz w:val="24"/>
        </w:rPr>
        <w:t>2.2. Нормативная документация для раздела «НСОВ. Оборудование насосной станции осветленной воды ЗШО-2»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>Комплект NH-000ETB-PT-0021-DC-00. Перечень применяется также при разработке технических решений по устройству плавучей насосной станции осветленной воды ЗШО 2 в части соответствующих решений.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2.2.1. </w:t>
      </w:r>
      <w:hyperlink r:id="rId2">
        <w:r>
          <w:rPr>
            <w:color w:val="0563C1"/>
            <w:sz w:val="24"/>
            <w:u w:val="single"/>
          </w:rPr>
          <w:t>Федеральный закон от 30.12.2009 № 384-ФЗ «Технический регламент о безопасности зданий и сооружений»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2.2.2. </w:t>
      </w:r>
      <w:hyperlink r:id="rId3">
        <w:r>
          <w:rPr>
            <w:color w:val="0563C1"/>
            <w:sz w:val="24"/>
            <w:u w:val="single"/>
          </w:rPr>
          <w:t>Федеральный закон от 22.07.2008 № 123-ФЗ «Технический регламент о требованиях пожарной безопасности»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2.2.3. </w:t>
      </w:r>
      <w:hyperlink r:id="rId4">
        <w:r>
          <w:rPr>
            <w:color w:val="0563C1"/>
            <w:sz w:val="24"/>
            <w:u w:val="single"/>
          </w:rPr>
          <w:t>ТР ТС 010/2011 «О безопасности машин и оборудования»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2.2.4. </w:t>
      </w:r>
      <w:hyperlink r:id="rId5">
        <w:r>
          <w:rPr>
            <w:color w:val="0563C1"/>
            <w:sz w:val="24"/>
            <w:u w:val="single"/>
          </w:rPr>
          <w:t>ГОСТ Р 21.101-2026 «Система проектной документации для строительства. Основные требования к проектной и рабочей документации»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2.2.5. </w:t>
      </w:r>
      <w:hyperlink r:id="rId6">
        <w:r>
          <w:rPr>
            <w:color w:val="0563C1"/>
            <w:sz w:val="24"/>
            <w:u w:val="single"/>
          </w:rPr>
          <w:t>ГОСТ 21.002-2014 «Система проектной документации для строительства. Нормоконтроль проектной и рабочей документации»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2.2.6. </w:t>
      </w:r>
      <w:hyperlink r:id="rId7">
        <w:r>
          <w:rPr>
            <w:color w:val="0563C1"/>
            <w:sz w:val="24"/>
            <w:u w:val="single"/>
          </w:rPr>
          <w:t>ГОСТ 21.110-2013 «Система проектной документации для строительства. Спецификация оборудования, изделий и материалов»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2.2.7. </w:t>
      </w:r>
      <w:hyperlink r:id="rId8">
        <w:r>
          <w:rPr>
            <w:color w:val="0563C1"/>
            <w:sz w:val="24"/>
            <w:u w:val="single"/>
          </w:rPr>
          <w:t>ГОСТ 21.401-88 «Система проектной документации для строительства. Технология производства. Основные требования к рабочим чертежам»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2.2.8. </w:t>
      </w:r>
      <w:hyperlink r:id="rId9">
        <w:r>
          <w:rPr>
            <w:color w:val="0563C1"/>
            <w:sz w:val="24"/>
            <w:u w:val="single"/>
          </w:rPr>
          <w:t>ГОСТ 21.408-2013 «Система проектной документации для строительства. Правила выполнения рабочей документации автоматизации технологических процессов»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2.2.9. </w:t>
      </w:r>
      <w:hyperlink r:id="rId10">
        <w:r>
          <w:rPr>
            <w:color w:val="0563C1"/>
            <w:sz w:val="24"/>
            <w:u w:val="single"/>
          </w:rPr>
          <w:t>СП 31.13330.2021 «Водоснабжение. Наружные сети и сооружения»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2.2.10. </w:t>
      </w:r>
      <w:hyperlink r:id="rId11">
        <w:r>
          <w:rPr>
            <w:color w:val="0563C1"/>
            <w:sz w:val="24"/>
            <w:u w:val="single"/>
          </w:rPr>
          <w:t>СП 14.13330.2018 «Строительство в сейсмических районах»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2.2.11. </w:t>
      </w:r>
      <w:hyperlink r:id="rId12">
        <w:r>
          <w:rPr>
            <w:color w:val="0563C1"/>
            <w:sz w:val="24"/>
            <w:u w:val="single"/>
          </w:rPr>
          <w:t>СП 16.13330.2017 «Стальные конструкции»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2.2.12. </w:t>
      </w:r>
      <w:hyperlink r:id="rId13">
        <w:r>
          <w:rPr>
            <w:color w:val="0563C1"/>
            <w:sz w:val="24"/>
            <w:u w:val="single"/>
          </w:rPr>
          <w:t>СП 28.13330.2017 «Защита строительных конструкций от коррозии»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2.2.13. </w:t>
      </w:r>
      <w:hyperlink r:id="rId14">
        <w:r>
          <w:rPr>
            <w:color w:val="0563C1"/>
            <w:sz w:val="24"/>
            <w:u w:val="single"/>
          </w:rPr>
          <w:t>СП 76.13330.2016 «Электротехнические устройства»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2.2.14. </w:t>
      </w:r>
      <w:hyperlink r:id="rId15">
        <w:r>
          <w:rPr>
            <w:color w:val="0563C1"/>
            <w:sz w:val="24"/>
            <w:u w:val="single"/>
          </w:rPr>
          <w:t>СП 77.13330.2016 «Системы автоматизации»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2.2.15. </w:t>
      </w:r>
      <w:hyperlink r:id="rId16">
        <w:r>
          <w:rPr>
            <w:color w:val="0563C1"/>
            <w:sz w:val="24"/>
            <w:u w:val="single"/>
          </w:rPr>
          <w:t>ГОСТ 12.2.003-91 «Система стандартов безопасности труда. Оборудование производственное. Общие требования безопасности»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2.2.16. </w:t>
      </w:r>
      <w:hyperlink r:id="rId17">
        <w:r>
          <w:rPr>
            <w:color w:val="0563C1"/>
            <w:sz w:val="24"/>
            <w:u w:val="single"/>
          </w:rPr>
          <w:t>ГОСТ 12.2.007.0-75 «Система стандартов безопасности труда. Изделия электротехнические. Общие требования безопасности»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2.2.17. </w:t>
      </w:r>
      <w:hyperlink r:id="rId18">
        <w:r>
          <w:rPr>
            <w:color w:val="0563C1"/>
            <w:sz w:val="24"/>
            <w:u w:val="single"/>
          </w:rPr>
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>Нормативные документы применять с действующими изменениями и поправками на момент разработки документации, в пределах их области применения. Обозначения и наименования документов содержат гиперссылки на открытые публикации.</w:t>
      </w:r>
    </w:p>
    <w:p>
      <w:pPr>
        <w:pStyle w:val="4"/>
        <w:keepNext w:val="true"/>
        <w:numPr>
          <w:ilvl w:val="0"/>
          <w:numId w:val="0"/>
        </w:numPr>
        <w:spacing w:lineRule="auto" w:line="240" w:before="120" w:after="80"/>
        <w:ind w:left="0" w:hanging="0"/>
        <w:rPr/>
      </w:pPr>
      <w:r>
        <w:rPr>
          <w:b/>
          <w:sz w:val="24"/>
        </w:rPr>
        <w:t>2.3. Нормативная документация для раздела «Трубопроводы осветленной воды»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>Комплект NH-001PJA-PL-0001-DC-00. Нормативы по основаниям, стальным конструкциям, защите от коррозии и тепловой изоляции применяются в части предусмотренных комплектом решений и соответствующих условий прокладки.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2.3.1. </w:t>
      </w:r>
      <w:hyperlink r:id="rId19">
        <w:r>
          <w:rPr>
            <w:color w:val="0563C1"/>
            <w:sz w:val="24"/>
            <w:u w:val="single"/>
          </w:rPr>
          <w:t>Федеральный закон от 30.12.2009 № 384-ФЗ «Технический регламент о безопасности зданий и сооружений»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2.3.2. </w:t>
      </w:r>
      <w:hyperlink r:id="rId20">
        <w:r>
          <w:rPr>
            <w:color w:val="0563C1"/>
            <w:sz w:val="24"/>
            <w:u w:val="single"/>
          </w:rPr>
          <w:t>Федеральный закон от 22.07.2008 № 123-ФЗ «Технический регламент о требованиях пожарной безопасности»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2.3.3. </w:t>
      </w:r>
      <w:hyperlink r:id="rId21">
        <w:r>
          <w:rPr>
            <w:color w:val="0563C1"/>
            <w:sz w:val="24"/>
            <w:u w:val="single"/>
          </w:rPr>
          <w:t>ГОСТ Р 21.101-2026 «Система проектной документации для строительства. Основные требования к проектной и рабочей документации»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2.3.4. </w:t>
      </w:r>
      <w:hyperlink r:id="rId22">
        <w:r>
          <w:rPr>
            <w:color w:val="0563C1"/>
            <w:sz w:val="24"/>
            <w:u w:val="single"/>
          </w:rPr>
          <w:t>ГОСТ 21.002-2014 «Система проектной документации для строительства. Нормоконтроль проектной и рабочей документации»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2.3.5. </w:t>
      </w:r>
      <w:hyperlink r:id="rId23">
        <w:r>
          <w:rPr>
            <w:color w:val="0563C1"/>
            <w:sz w:val="24"/>
            <w:u w:val="single"/>
          </w:rPr>
          <w:t>ГОСТ 21.110-2013 «Система проектной документации для строительства. Спецификация оборудования, изделий и материалов»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2.3.6. </w:t>
      </w:r>
      <w:hyperlink r:id="rId24">
        <w:r>
          <w:rPr>
            <w:color w:val="0563C1"/>
            <w:sz w:val="24"/>
            <w:u w:val="single"/>
          </w:rPr>
          <w:t>ГОСТ 21.704-2011 «Система проектной документации для строительства. Правила выполнения рабочей документации наружных сетей водоснабжения и канализации»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2.3.7. </w:t>
      </w:r>
      <w:hyperlink r:id="rId25">
        <w:r>
          <w:rPr>
            <w:color w:val="0563C1"/>
            <w:sz w:val="24"/>
            <w:u w:val="single"/>
          </w:rPr>
          <w:t>СП 31.13330.2021 «Водоснабжение. Наружные сети и сооружения»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2.3.8. </w:t>
      </w:r>
      <w:hyperlink r:id="rId26">
        <w:r>
          <w:rPr>
            <w:color w:val="0563C1"/>
            <w:sz w:val="24"/>
            <w:u w:val="single"/>
          </w:rPr>
          <w:t>СП 129.13330.2019 «Наружные сети и сооружения водоснабжения и канализации»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2.3.9. </w:t>
      </w:r>
      <w:hyperlink r:id="rId27">
        <w:r>
          <w:rPr>
            <w:color w:val="0563C1"/>
            <w:sz w:val="24"/>
            <w:u w:val="single"/>
          </w:rPr>
          <w:t>СП 14.13330.2018 «Строительство в сейсмических районах»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2.3.10. </w:t>
      </w:r>
      <w:hyperlink r:id="rId28">
        <w:r>
          <w:rPr>
            <w:color w:val="0563C1"/>
            <w:sz w:val="24"/>
            <w:u w:val="single"/>
          </w:rPr>
          <w:t>СП 16.13330.2017 «Стальные конструкции»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2.3.11. </w:t>
      </w:r>
      <w:hyperlink r:id="rId29">
        <w:r>
          <w:rPr>
            <w:color w:val="0563C1"/>
            <w:sz w:val="24"/>
            <w:u w:val="single"/>
          </w:rPr>
          <w:t>СП 25.13330.2020 «Основания и фундаменты на вечномерзлых грунтах»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2.3.12. </w:t>
      </w:r>
      <w:hyperlink r:id="rId30">
        <w:r>
          <w:rPr>
            <w:color w:val="0563C1"/>
            <w:sz w:val="24"/>
            <w:u w:val="single"/>
          </w:rPr>
          <w:t>СП 28.13330.2017 «Защита строительных конструкций от коррозии»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2.3.13. </w:t>
      </w:r>
      <w:hyperlink r:id="rId31">
        <w:r>
          <w:rPr>
            <w:color w:val="0563C1"/>
            <w:sz w:val="24"/>
            <w:u w:val="single"/>
          </w:rPr>
          <w:t>СП 61.13330.2012 «Тепловая изоляция оборудования и трубопроводов»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 xml:space="preserve">2.3.14. </w:t>
      </w:r>
      <w:hyperlink r:id="rId32">
        <w:r>
          <w:rPr>
            <w:color w:val="0563C1"/>
            <w:sz w:val="24"/>
            <w:u w:val="single"/>
          </w:rPr>
          <w:t>ГОСТ 9.602-2016 «Единая система защиты от коррозии и старения. Сооружения подземные. Общие требования к защите от коррозии»</w:t>
        </w:r>
      </w:hyperlink>
      <w:r>
        <w:rPr/>
        <w:t>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>Нормативные документы применять с действующими изменениями и поправками на момент разработки документации, в пределах их области применения. Обозначения и наименования документов содержат гиперссылки на открытые публикации.</w:t>
      </w:r>
    </w:p>
    <w:p>
      <w:pPr>
        <w:pStyle w:val="Normal"/>
        <w:numPr>
          <w:ilvl w:val="0"/>
          <w:numId w:val="0"/>
        </w:numPr>
        <w:spacing w:lineRule="auto" w:line="240" w:before="0" w:after="80"/>
        <w:ind w:left="0" w:hanging="0"/>
        <w:rPr/>
      </w:pPr>
      <w:r>
        <w:rPr>
          <w:b w:val="false"/>
          <w:sz w:val="24"/>
        </w:rPr>
        <w:t>Положения стандартов СПДС, носящие рекомендательный характер, являются обязательными в рамках договора на разработку рабочей документации проекта «Строительство 2-й очереди Нерюнгринской ГРЭС».</w:t>
      </w:r>
    </w:p>
    <w:p>
      <w:pPr>
        <w:pStyle w:val="4"/>
        <w:numPr>
          <w:ilvl w:val="0"/>
          <w:numId w:val="0"/>
        </w:numPr>
        <w:spacing w:before="240" w:after="120"/>
        <w:ind w:left="431" w:firstLine="567"/>
        <w:rPr>
          <w:color w:val="000000"/>
        </w:rPr>
      </w:pPr>
      <w:r>
        <w:rPr/>
        <w:t>2.4. Требования к объемам и срокам выполнения работ</w:t>
      </w:r>
    </w:p>
    <w:p>
      <w:pPr>
        <w:pStyle w:val="3"/>
        <w:numPr>
          <w:ilvl w:val="0"/>
          <w:numId w:val="0"/>
        </w:numPr>
        <w:ind w:left="0" w:firstLine="567"/>
        <w:rPr>
          <w:color w:val="000000"/>
        </w:rPr>
      </w:pPr>
      <w:r>
        <w:rPr/>
        <w:t>2.4.1. Требования к видам и объемам работ</w:t>
      </w:r>
    </w:p>
    <w:p>
      <w:pPr>
        <w:pStyle w:val="Normal"/>
        <w:rPr>
          <w:color w:val="000000"/>
        </w:rPr>
      </w:pPr>
      <w:bookmarkStart w:id="7" w:name="_Toc51339695"/>
      <w:r>
        <w:rPr>
          <w:b/>
          <w:color w:val="000000"/>
          <w:szCs w:val="24"/>
        </w:rPr>
        <w:t xml:space="preserve">Таблица 2. Перечень </w:t>
      </w:r>
      <w:bookmarkEnd w:id="7"/>
      <w:r>
        <w:rPr>
          <w:b/>
          <w:color w:val="000000"/>
          <w:szCs w:val="24"/>
        </w:rPr>
        <w:t>и объем выполняемых работ</w:t>
      </w:r>
    </w:p>
    <w:tbl>
      <w:tblPr>
        <w:tblW w:w="981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23"/>
        <w:gridCol w:w="2021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п/п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Наименование работ / этапа работ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2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left="0" w:right="907"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/>
              <w:t>«Разработка технических решения по устройству плавучей насосной станции осветленной воды ЗШО2.»</w:t>
            </w:r>
          </w:p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Условная единица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left="0" w:right="907"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/>
              <w:t>«НСОВ. Оборудование насосной станции осветленной воды ЗШО-2».</w:t>
            </w:r>
          </w:p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Условная единица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left="0" w:right="907"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0" w:hanging="0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«Трубопроводы осветленной воды».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Условная единица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567"/>
        <w:rPr>
          <w:bCs/>
          <w:i/>
          <w:i/>
          <w:color w:val="000000"/>
          <w:szCs w:val="24"/>
          <w:shd w:fill="FFFF99" w:val="clear"/>
        </w:rPr>
      </w:pPr>
      <w:r>
        <w:rPr>
          <w:bCs/>
          <w:i/>
          <w:color w:val="000000"/>
          <w:szCs w:val="24"/>
          <w:shd w:fill="FFFF99" w:val="clear"/>
        </w:rPr>
      </w:r>
      <w:r>
        <w:br w:type="page"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567"/>
        <w:rPr>
          <w:bCs/>
          <w:i/>
          <w:i/>
          <w:color w:val="000000"/>
          <w:szCs w:val="24"/>
          <w:shd w:fill="FFFF99" w:val="clear"/>
        </w:rPr>
      </w:pPr>
      <w:r>
        <w:rPr>
          <w:bCs/>
          <w:i/>
          <w:color w:val="000000"/>
          <w:szCs w:val="24"/>
          <w:shd w:fill="FFFF99" w:val="clear"/>
        </w:rPr>
      </w:r>
    </w:p>
    <w:p>
      <w:pPr>
        <w:pStyle w:val="3"/>
        <w:numPr>
          <w:ilvl w:val="0"/>
          <w:numId w:val="0"/>
        </w:numPr>
        <w:ind w:left="0" w:firstLine="567"/>
        <w:rPr>
          <w:color w:val="000000"/>
        </w:rPr>
      </w:pPr>
      <w:r>
        <w:rPr/>
        <w:t>2.4.2. Требования к срокам выполнения работ</w:t>
      </w:r>
    </w:p>
    <w:p>
      <w:pPr>
        <w:pStyle w:val="Normal"/>
        <w:rPr>
          <w:color w:val="000000"/>
        </w:rPr>
      </w:pPr>
      <w:bookmarkStart w:id="8" w:name="_Toc50125127"/>
      <w:bookmarkStart w:id="9" w:name="_Toc51339697"/>
      <w:bookmarkStart w:id="10" w:name="_Toc501251261"/>
      <w:bookmarkEnd w:id="10"/>
      <w:r>
        <w:rPr>
          <w:b/>
          <w:color w:val="000000"/>
          <w:szCs w:val="24"/>
        </w:rPr>
        <w:t xml:space="preserve">Таблица 3. </w:t>
      </w:r>
      <w:bookmarkStart w:id="11" w:name="_Hlk50465284"/>
      <w:r>
        <w:rPr>
          <w:b/>
          <w:color w:val="000000"/>
          <w:szCs w:val="24"/>
        </w:rPr>
        <w:t xml:space="preserve">Требования по срокам </w:t>
      </w:r>
      <w:bookmarkEnd w:id="8"/>
      <w:bookmarkEnd w:id="9"/>
      <w:bookmarkEnd w:id="11"/>
      <w:r>
        <w:rPr>
          <w:b/>
          <w:color w:val="000000"/>
          <w:szCs w:val="24"/>
        </w:rPr>
        <w:t>выполнения работ</w:t>
      </w:r>
    </w:p>
    <w:tbl>
      <w:tblPr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47"/>
        <w:gridCol w:w="2991"/>
        <w:gridCol w:w="2977"/>
        <w:gridCol w:w="3115"/>
      </w:tblGrid>
      <w:tr>
        <w:trPr/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№ </w:t>
            </w:r>
            <w:r>
              <w:rPr>
                <w:color w:val="000000"/>
                <w:szCs w:val="24"/>
              </w:rPr>
              <w:t>п/п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Наименование работ/ этапа работ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7"/>
              <w:keepNext w:val="false"/>
              <w:widowControl w:val="fals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7"/>
              <w:keepNext w:val="false"/>
              <w:widowControl w:val="fals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  <w:bookmarkStart w:id="12" w:name="_Toc46743510"/>
            <w:bookmarkEnd w:id="12"/>
          </w:p>
        </w:tc>
      </w:tr>
      <w:tr>
        <w:trPr/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ind w:left="57"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Разработка технических решения по устройству плавучей насосной станции осветленной воды  ЗШО2.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20.11.2026  г.</w:t>
            </w:r>
          </w:p>
        </w:tc>
      </w:tr>
      <w:tr>
        <w:trPr/>
        <w:tc>
          <w:tcPr>
            <w:tcW w:w="9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ind w:left="57"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/>
              <w:t>«НСОВ. Оборудование насосной станции осветленной воды ЗШО-2».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1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29.01.2027  г.</w:t>
            </w:r>
          </w:p>
        </w:tc>
      </w:tr>
      <w:tr>
        <w:trPr/>
        <w:tc>
          <w:tcPr>
            <w:tcW w:w="9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ind w:left="0"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0" w:hanging="0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«Трубопроводы осветленной воды».</w:t>
            </w:r>
          </w:p>
        </w:tc>
        <w:tc>
          <w:tcPr>
            <w:tcW w:w="29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1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</w:tbl>
    <w:p>
      <w:pPr>
        <w:sectPr>
          <w:headerReference w:type="default" r:id="rId33"/>
          <w:headerReference w:type="first" r:id="rId34"/>
          <w:type w:val="nextPage"/>
          <w:pgSz w:w="11906" w:h="16838"/>
          <w:pgMar w:left="1134" w:right="707" w:header="680" w:top="1134" w:footer="0" w:bottom="1135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4"/>
        <w:numPr>
          <w:ilvl w:val="0"/>
          <w:numId w:val="0"/>
        </w:numPr>
        <w:ind w:left="0" w:firstLine="567"/>
        <w:rPr>
          <w:color w:val="000000"/>
        </w:rPr>
      </w:pPr>
      <w:r>
        <w:rPr/>
        <w:t>2.5. Требования к качеству работ</w:t>
      </w:r>
    </w:p>
    <w:p>
      <w:pPr>
        <w:pStyle w:val="Normal"/>
        <w:rPr>
          <w:color w:val="000000"/>
        </w:rPr>
      </w:pPr>
      <w:bookmarkStart w:id="13" w:name="_Toc51339698"/>
      <w:r>
        <w:rPr>
          <w:b/>
          <w:color w:val="000000"/>
          <w:szCs w:val="24"/>
        </w:rPr>
        <w:t xml:space="preserve">Таблица 4. Требования к </w:t>
      </w:r>
      <w:bookmarkEnd w:id="13"/>
      <w:r>
        <w:rPr>
          <w:b/>
          <w:color w:val="000000"/>
          <w:szCs w:val="24"/>
        </w:rPr>
        <w:t xml:space="preserve">качеству работ </w:t>
      </w:r>
    </w:p>
    <w:p>
      <w:pPr>
        <w:pStyle w:val="Normal"/>
        <w:widowControl w:val="false"/>
        <w:snapToGrid w:val="false"/>
        <w:spacing w:before="0" w:after="120"/>
        <w:ind w:firstLine="567"/>
        <w:rPr>
          <w:color w:val="000000"/>
        </w:rPr>
      </w:pPr>
      <w:r>
        <w:rPr>
          <w:b/>
          <w:bCs/>
          <w:color w:val="000000"/>
          <w:szCs w:val="24"/>
        </w:rPr>
        <w:t xml:space="preserve">Наименование работ: </w:t>
      </w:r>
      <w:r>
        <w:rPr>
          <w:rFonts w:eastAsia="Calibri"/>
          <w:b/>
          <w:bCs/>
          <w:color w:val="000000"/>
          <w:szCs w:val="24"/>
        </w:rPr>
        <w:t>«Разработка разделов рабочей документации для сооружений возврата осветленной воды по объекту: «Строительство ЗШО 2 Нерюнгринской ГРЭС»</w:t>
      </w:r>
    </w:p>
    <w:tbl>
      <w:tblPr>
        <w:tblStyle w:val="affff7"/>
        <w:tblW w:w="1502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3"/>
        <w:gridCol w:w="2364"/>
        <w:gridCol w:w="5627"/>
        <w:gridCol w:w="1744"/>
        <w:gridCol w:w="2307"/>
        <w:gridCol w:w="2420"/>
      </w:tblGrid>
      <w:tr>
        <w:trPr>
          <w:tblHeader w:val="true"/>
        </w:trPr>
        <w:tc>
          <w:tcPr>
            <w:tcW w:w="563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6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62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4"/>
                <w:lang w:val="ru-RU" w:eastAsia="ru-RU" w:bidi="ar-SA"/>
              </w:rPr>
              <w:t>Требование Генподрядчика</w:t>
            </w:r>
          </w:p>
        </w:tc>
        <w:tc>
          <w:tcPr>
            <w:tcW w:w="40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42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</w:trPr>
        <w:tc>
          <w:tcPr>
            <w:tcW w:w="56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</w:r>
          </w:p>
        </w:tc>
        <w:tc>
          <w:tcPr>
            <w:tcW w:w="236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</w:r>
          </w:p>
        </w:tc>
        <w:tc>
          <w:tcPr>
            <w:tcW w:w="562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</w:r>
          </w:p>
        </w:tc>
        <w:tc>
          <w:tcPr>
            <w:tcW w:w="17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2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</w:r>
          </w:p>
        </w:tc>
      </w:tr>
      <w:tr>
        <w:trPr>
          <w:tblHeader w:val="true"/>
        </w:trPr>
        <w:tc>
          <w:tcPr>
            <w:tcW w:w="5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4"/>
                <w:lang w:val="ru-RU" w:eastAsia="ru-RU" w:bidi="ar-SA"/>
              </w:rPr>
              <w:t>1</w:t>
            </w:r>
          </w:p>
        </w:tc>
        <w:tc>
          <w:tcPr>
            <w:tcW w:w="23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4"/>
                <w:lang w:val="ru-RU" w:eastAsia="ru-RU" w:bidi="ar-SA"/>
              </w:rPr>
              <w:t>2</w:t>
            </w:r>
          </w:p>
        </w:tc>
        <w:tc>
          <w:tcPr>
            <w:tcW w:w="56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4"/>
                <w:lang w:val="ru-RU" w:eastAsia="ru-RU" w:bidi="ar-SA"/>
              </w:rPr>
              <w:t>3</w:t>
            </w:r>
          </w:p>
        </w:tc>
        <w:tc>
          <w:tcPr>
            <w:tcW w:w="17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4"/>
                <w:lang w:val="ru-RU" w:eastAsia="ru-RU" w:bidi="ar-SA"/>
              </w:rPr>
              <w:t>4</w:t>
            </w:r>
          </w:p>
        </w:tc>
        <w:tc>
          <w:tcPr>
            <w:tcW w:w="2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4"/>
                <w:lang w:val="ru-RU" w:eastAsia="ru-RU" w:bidi="ar-SA"/>
              </w:rPr>
              <w:t>5</w:t>
            </w:r>
          </w:p>
        </w:tc>
        <w:tc>
          <w:tcPr>
            <w:tcW w:w="24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4"/>
                <w:lang w:val="ru-RU" w:eastAsia="ru-RU" w:bidi="ar-SA"/>
              </w:rPr>
              <w:t>6</w:t>
            </w:r>
          </w:p>
        </w:tc>
      </w:tr>
      <w:tr>
        <w:trPr>
          <w:cantSplit w:val="true"/>
        </w:trPr>
        <w:tc>
          <w:tcPr>
            <w:tcW w:w="563" w:type="dxa"/>
            <w:tcBorders/>
            <w:shd w:fill="E7E6E6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4462" w:type="dxa"/>
            <w:gridSpan w:val="5"/>
            <w:tcBorders/>
            <w:shd w:fill="E7E6E6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/>
                <w:sz w:val="20"/>
              </w:rPr>
              <w:t>Разработка технических решений по устройству плавучей насосной станции осветленной воды ЗШО 2</w:t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1.1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Состав и объем работ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Разработать технические решения по устройству плавучей насосной станции для возврата осветленной воды на ГРЭС с учетом изменения уровня наполнения ЗШО 2. Предусмотреть решения по подключению насосной станции к системе возврата осветленной воды.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1.2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Оборудование и управление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Предусмотреть местное управление оборудованием через локальную систему автоматического управления (ЛСАУ). В составе ЛСАУ применять серийно выпускаемые и сертифицированные на территории РФ программируемые логические контроллеры (ПЛК).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1.3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Нормативные требования и оформление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 xml:space="preserve">Применять нормативные документы п. 2.2 в части разрабатываемых решений. Документацию оформить по </w:t>
            </w:r>
            <w:hyperlink r:id="rId35">
              <w:r>
                <w:rPr>
                  <w:b w:val="false"/>
                  <w:color w:val="0563C1"/>
                  <w:sz w:val="20"/>
                  <w:u w:val="single"/>
                </w:rPr>
                <w:t>ГОСТ Р 21.101-2026</w:t>
              </w:r>
            </w:hyperlink>
            <w:r>
              <w:rPr>
                <w:b w:val="false"/>
                <w:sz w:val="20"/>
              </w:rPr>
              <w:t>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1.4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Контроль качества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 xml:space="preserve">Выполнить нормоконтроль по </w:t>
            </w:r>
            <w:hyperlink r:id="rId36">
              <w:r>
                <w:rPr>
                  <w:b w:val="false"/>
                  <w:color w:val="0563C1"/>
                  <w:sz w:val="20"/>
                  <w:u w:val="single"/>
                </w:rPr>
                <w:t>ГОСТ 21.002-2014</w:t>
              </w:r>
            </w:hyperlink>
            <w:r>
              <w:rPr>
                <w:b w:val="false"/>
                <w:sz w:val="20"/>
              </w:rPr>
              <w:t>, проверить комплектность и согласованность текстовых документов, чертежей, расчетов и спецификаций. Устранить замечания Генподрядчика и Заказчика.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1.5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Результат работ и представление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Согласованные технические решения по устройству плавучей насосной станции. Представить на электронном носителе (CD) в 2 экземплярах: комплекты в PDF с подписями и печатями; исходные чертежи — DWG; спецификации оборудования и материалов — XLSX и PDF; текстовые документы — DOC/XLSX и PDF.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1.6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Приемка результатов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В соответствии с условиями договора. Представить материалы данного этапа отдельно от комплектов рабочей документации.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  <w:shd w:fill="E7E6E6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462" w:type="dxa"/>
            <w:gridSpan w:val="5"/>
            <w:tcBorders/>
            <w:shd w:fill="E7E6E6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/>
                <w:sz w:val="20"/>
              </w:rPr>
              <w:t>«НСОВ. Оборудование насосной станции осветленной воды ЗШО-2». Комплект NH-000ETB-PT-0021-DC-00</w:t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2.1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Состав и объем работ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Разработать отдельный комплект рабочей документации на оборудование насосной станции в объеме, достаточном для необходимых согласований и разработки сметной документации. Включить технические требования / опросные листы на проектируемое оборудование и спецификации.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2.2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Оборудование, материалы и управление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Предусмотреть местное управление, мониторинг оборудования по основному и резервному каналам, объединение ЛСАУ по кольцевой структуре резервирования каналов и интеграцию в ПТК АСУТП. Применять серийно выпускаемые и сертифицированные на территории РФ ПЛК и программное обеспечение. Цепи управления — от стабилизированного гарантированного источника с резервированием. Оборудование согласовать с Генподрядчиком.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2.3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Нормативные требования и оформление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 xml:space="preserve">Применять нормативные документы п. 2.2. Рабочую документацию оформить по </w:t>
            </w:r>
            <w:hyperlink r:id="rId37">
              <w:r>
                <w:rPr>
                  <w:b w:val="false"/>
                  <w:color w:val="0563C1"/>
                  <w:sz w:val="20"/>
                  <w:u w:val="single"/>
                </w:rPr>
                <w:t>ГОСТ Р 21.101-2026</w:t>
              </w:r>
            </w:hyperlink>
            <w:r>
              <w:rPr>
                <w:b w:val="false"/>
                <w:sz w:val="20"/>
              </w:rPr>
              <w:t xml:space="preserve"> и </w:t>
            </w:r>
            <w:hyperlink r:id="rId38">
              <w:r>
                <w:rPr>
                  <w:b w:val="false"/>
                  <w:color w:val="0563C1"/>
                  <w:sz w:val="20"/>
                  <w:u w:val="single"/>
                </w:rPr>
                <w:t>ГОСТ 21.401-88</w:t>
              </w:r>
            </w:hyperlink>
            <w:r>
              <w:rPr>
                <w:b w:val="false"/>
                <w:sz w:val="20"/>
              </w:rPr>
              <w:t xml:space="preserve">; документацию автоматизации — по </w:t>
            </w:r>
            <w:hyperlink r:id="rId39">
              <w:r>
                <w:rPr>
                  <w:b w:val="false"/>
                  <w:color w:val="0563C1"/>
                  <w:sz w:val="20"/>
                  <w:u w:val="single"/>
                </w:rPr>
                <w:t>ГОСТ 21.408-2013</w:t>
              </w:r>
            </w:hyperlink>
            <w:r>
              <w:rPr>
                <w:b w:val="false"/>
                <w:sz w:val="20"/>
              </w:rPr>
              <w:t xml:space="preserve">; спецификации — по </w:t>
            </w:r>
            <w:hyperlink r:id="rId40">
              <w:r>
                <w:rPr>
                  <w:b w:val="false"/>
                  <w:color w:val="0563C1"/>
                  <w:sz w:val="20"/>
                  <w:u w:val="single"/>
                </w:rPr>
                <w:t>ГОСТ 21.110-2013</w:t>
              </w:r>
            </w:hyperlink>
            <w:r>
              <w:rPr>
                <w:b w:val="false"/>
                <w:sz w:val="20"/>
              </w:rPr>
              <w:t>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2.4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Контроль качества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 xml:space="preserve">Выполнить нормоконтроль по </w:t>
            </w:r>
            <w:hyperlink r:id="rId41">
              <w:r>
                <w:rPr>
                  <w:b w:val="false"/>
                  <w:color w:val="0563C1"/>
                  <w:sz w:val="20"/>
                  <w:u w:val="single"/>
                </w:rPr>
                <w:t>ГОСТ 21.002-2014</w:t>
              </w:r>
            </w:hyperlink>
            <w:r>
              <w:rPr>
                <w:b w:val="false"/>
                <w:sz w:val="20"/>
              </w:rPr>
              <w:t>, проверить комплектность и согласованность текстовых документов, чертежей, расчетов и спецификаций. Устранить замечания Генподрядчика и Заказчика. Проверить сопряжение оборудования с трубопроводами осветленной воды и системой АСУТП.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2.5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Результат работ и представление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Отдельный согласованный комплект NH-000ETB-PT-0021-DC-00. Представить на электронном носителе (CD) в 2 экземплярах: комплекты в PDF с подписями и печатями; исходные чертежи — DWG; спецификации оборудования и материалов — XLSX и PDF; текстовые документы — DOC/XLSX и PDF.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2.6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Приемка результатов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В соответствии с условиями договора. Комплект представить отдельно с собственной ведомостью документов и спецификациями.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  <w:shd w:fill="E7E6E6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4462" w:type="dxa"/>
            <w:gridSpan w:val="5"/>
            <w:tcBorders/>
            <w:shd w:fill="E7E6E6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/>
                <w:sz w:val="20"/>
              </w:rPr>
              <w:t>«Трубопроводы осветленной воды». Комплект NH-001PJA-PL-0001-DC-00</w:t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3.1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Состав и объем работ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Разработать отдельный комплект рабочей документации на трубопроводы осветленной воды в объеме, достаточном для необходимых согласований и разработки сметной документации. Включить общие данные, планы, профили и узлы в объеме принятых решений, спецификации, технические требования / опросные листы на проектируемое оборудование.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3.2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Материалы, оборудование и сопряжения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Материалы трубопроводов, арматуру и оборудование принять по расчетным параметрам и условиям эксплуатации, согласовать с Генподрядчиком. Увязать подключения с насосной станцией. Для оборудования комплекта, предусматривающего автоматическое управление, обеспечить местное управление и включение в ЛСАУ с кольцевым резервированием каналов; применять серийно выпускаемые и сертифицированные на территории РФ ПЛК и программное обеспечение.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3.3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Нормативные требования и оформление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 xml:space="preserve">Применять нормативные документы п. 2.3. Рабочую документацию оформить по </w:t>
            </w:r>
            <w:hyperlink r:id="rId42">
              <w:r>
                <w:rPr>
                  <w:b w:val="false"/>
                  <w:color w:val="0563C1"/>
                  <w:sz w:val="20"/>
                  <w:u w:val="single"/>
                </w:rPr>
                <w:t>ГОСТ Р 21.101-2026</w:t>
              </w:r>
            </w:hyperlink>
            <w:r>
              <w:rPr>
                <w:b w:val="false"/>
                <w:sz w:val="20"/>
              </w:rPr>
              <w:t xml:space="preserve"> и </w:t>
            </w:r>
            <w:hyperlink r:id="rId43">
              <w:r>
                <w:rPr>
                  <w:b w:val="false"/>
                  <w:color w:val="0563C1"/>
                  <w:sz w:val="20"/>
                  <w:u w:val="single"/>
                </w:rPr>
                <w:t>ГОСТ 21.704-2011</w:t>
              </w:r>
            </w:hyperlink>
            <w:r>
              <w:rPr>
                <w:b w:val="false"/>
                <w:sz w:val="20"/>
              </w:rPr>
              <w:t xml:space="preserve">; спецификации — по </w:t>
            </w:r>
            <w:hyperlink r:id="rId44">
              <w:r>
                <w:rPr>
                  <w:b w:val="false"/>
                  <w:color w:val="0563C1"/>
                  <w:sz w:val="20"/>
                  <w:u w:val="single"/>
                </w:rPr>
                <w:t>ГОСТ 21.110-2013</w:t>
              </w:r>
            </w:hyperlink>
            <w:r>
              <w:rPr>
                <w:b w:val="false"/>
                <w:sz w:val="20"/>
              </w:rPr>
              <w:t>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3.4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Контроль качества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 xml:space="preserve">Выполнить нормоконтроль по </w:t>
            </w:r>
            <w:hyperlink r:id="rId45">
              <w:r>
                <w:rPr>
                  <w:b w:val="false"/>
                  <w:color w:val="0563C1"/>
                  <w:sz w:val="20"/>
                  <w:u w:val="single"/>
                </w:rPr>
                <w:t>ГОСТ 21.002-2014</w:t>
              </w:r>
            </w:hyperlink>
            <w:r>
              <w:rPr>
                <w:b w:val="false"/>
                <w:sz w:val="20"/>
              </w:rPr>
              <w:t>, проверить комплектность и согласованность текстовых документов, чертежей, расчетов и спецификаций. Устранить замечания Генподрядчика и Заказчика. Проверить увязку трассы, отметок, подключений и спецификаций с комплектом оборудования НСОВ.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3.5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Результат работ и представление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Отдельный согласованный комплект NH-001PJA-PL-0001-DC-00. Представить на электронном носителе (CD) в 2 экземплярах: комплекты в PDF с подписями и печатями; исходные чертежи — DWG; спецификации оборудования и материалов — XLSX и PDF; текстовые документы — DOC/XLSX и PDF.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cantSplit w:val="true"/>
        </w:trPr>
        <w:tc>
          <w:tcPr>
            <w:tcW w:w="563" w:type="dxa"/>
            <w:tcBorders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3.6</w:t>
            </w:r>
          </w:p>
        </w:tc>
        <w:tc>
          <w:tcPr>
            <w:tcW w:w="236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Приемка результатов</w:t>
            </w:r>
          </w:p>
        </w:tc>
        <w:tc>
          <w:tcPr>
            <w:tcW w:w="562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В соответствии с условиями договора. Комплект представить отдельно с собственной ведомостью документов и спецификациями.</w:t>
            </w:r>
          </w:p>
        </w:tc>
        <w:tc>
          <w:tcPr>
            <w:tcW w:w="1744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Согласие с требованием</w:t>
            </w:r>
          </w:p>
        </w:tc>
        <w:tc>
          <w:tcPr>
            <w:tcW w:w="2307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/>
            </w:pPr>
            <w:r>
              <w:rPr>
                <w:b w:val="false"/>
                <w:sz w:val="20"/>
              </w:rPr>
              <w:t>—</w:t>
            </w:r>
          </w:p>
        </w:tc>
        <w:tc>
          <w:tcPr>
            <w:tcW w:w="2420" w:type="dxa"/>
            <w:tcBorders/>
            <w:shd w:color="auto" w:fill="auto" w:val="clear"/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46"/>
          <w:headerReference w:type="first" r:id="rId47"/>
          <w:type w:val="nextPage"/>
          <w:pgSz w:orient="landscape" w:w="16838" w:h="11906"/>
          <w:pgMar w:left="993" w:right="707" w:header="680" w:top="851" w:footer="0" w:bottom="851" w:gutter="0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1"/>
        <w:numPr>
          <w:ilvl w:val="0"/>
          <w:numId w:val="0"/>
        </w:numPr>
        <w:tabs>
          <w:tab w:val="clear" w:pos="708"/>
          <w:tab w:val="left" w:pos="0" w:leader="none"/>
        </w:tabs>
        <w:spacing w:before="120" w:after="60"/>
        <w:ind w:left="1134" w:hanging="0"/>
        <w:rPr>
          <w:color w:val="000000"/>
        </w:rPr>
      </w:pPr>
      <w:r>
        <w:rPr/>
      </w:r>
    </w:p>
    <w:sectPr>
      <w:headerReference w:type="default" r:id="rId48"/>
      <w:headerReference w:type="first" r:id="rId49"/>
      <w:type w:val="nextPage"/>
      <w:pgSz w:w="11906" w:h="16838"/>
      <w:pgMar w:left="1134" w:right="707" w:header="680" w:top="1134" w:footer="0" w:bottom="992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Garamond">
    <w:charset w:val="01"/>
    <w:family w:val="roman"/>
    <w:pitch w:val="variable"/>
  </w:font>
  <w:font w:name="TimesNewRomanPSM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pStyle w:val="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3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footnote reference" w:uiPriority="99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5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3382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8"/>
      <w:lang w:val="ru-RU" w:eastAsia="ru-RU" w:bidi="ar-SA"/>
    </w:rPr>
  </w:style>
  <w:style w:type="paragraph" w:styleId="1">
    <w:name w:val="Heading 1"/>
    <w:basedOn w:val="3"/>
    <w:next w:val="Normal"/>
    <w:qFormat/>
    <w:rsid w:val="00ce66cb"/>
    <w:pPr>
      <w:numPr>
        <w:ilvl w:val="0"/>
        <w:numId w:val="1"/>
      </w:numPr>
      <w:ind w:left="0" w:hanging="0"/>
      <w:jc w:val="center"/>
      <w:outlineLvl w:val="0"/>
    </w:pPr>
    <w:rPr>
      <w:sz w:val="28"/>
      <w:szCs w:val="28"/>
    </w:rPr>
  </w:style>
  <w:style w:type="paragraph" w:styleId="2">
    <w:name w:val="Heading 2"/>
    <w:basedOn w:val="4"/>
    <w:next w:val="Normal"/>
    <w:qFormat/>
    <w:rsid w:val="00ea61a8"/>
    <w:pPr>
      <w:numPr>
        <w:ilvl w:val="0"/>
        <w:numId w:val="0"/>
      </w:numPr>
    </w:pPr>
    <w:rPr/>
  </w:style>
  <w:style w:type="paragraph" w:styleId="3">
    <w:name w:val="Heading 3"/>
    <w:basedOn w:val="Normal"/>
    <w:next w:val="Normal"/>
    <w:autoRedefine/>
    <w:qFormat/>
    <w:rsid w:val="0027324c"/>
    <w:pPr>
      <w:widowControl w:val="false"/>
      <w:numPr>
        <w:ilvl w:val="2"/>
        <w:numId w:val="1"/>
      </w:numPr>
      <w:spacing w:before="120" w:after="120"/>
      <w:outlineLvl w:val="2"/>
    </w:pPr>
    <w:rPr>
      <w:rFonts w:eastAsia="Calibri"/>
      <w:b/>
      <w:szCs w:val="24"/>
      <w:lang w:val="x-none" w:eastAsia="x-none"/>
    </w:rPr>
  </w:style>
  <w:style w:type="paragraph" w:styleId="4">
    <w:name w:val="Heading 4"/>
    <w:basedOn w:val="3"/>
    <w:next w:val="Normal"/>
    <w:qFormat/>
    <w:rsid w:val="006629c9"/>
    <w:pPr>
      <w:numPr>
        <w:ilvl w:val="1"/>
        <w:numId w:val="1"/>
      </w:numPr>
      <w:outlineLvl w:val="1"/>
    </w:pPr>
    <w:rPr>
      <w:bCs/>
    </w:rPr>
  </w:style>
  <w:style w:type="paragraph" w:styleId="5">
    <w:name w:val="Heading 5"/>
    <w:basedOn w:val="Normal"/>
    <w:next w:val="Normal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Символ сноски"/>
    <w:qFormat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 w:customStyle="1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7" w:customStyle="1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ce66cb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27324c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8" w:customStyle="1">
    <w:name w:val="Название Знак"/>
    <w:uiPriority w:val="10"/>
    <w:qFormat/>
    <w:rsid w:val="00d22f6d"/>
    <w:rPr>
      <w:sz w:val="28"/>
    </w:rPr>
  </w:style>
  <w:style w:type="character" w:styleId="Style9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10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1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2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1" w:customStyle="1">
    <w:name w:val="Заголовок 1 Знак1"/>
    <w:qFormat/>
    <w:locked/>
    <w:rsid w:val="00d22f6d"/>
    <w:rPr>
      <w:sz w:val="28"/>
    </w:rPr>
  </w:style>
  <w:style w:type="character" w:styleId="Style13" w:customStyle="1">
    <w:name w:val="Текст сноски Знак"/>
    <w:uiPriority w:val="99"/>
    <w:qFormat/>
    <w:rsid w:val="00d22f6d"/>
    <w:rPr/>
  </w:style>
  <w:style w:type="character" w:styleId="Style14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5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16" w:customStyle="1">
    <w:name w:val="комментарий"/>
    <w:qFormat/>
    <w:rsid w:val="0025139e"/>
    <w:rPr>
      <w:b/>
      <w:i/>
      <w:shd w:fill="FFFF99" w:val="clear"/>
    </w:rPr>
  </w:style>
  <w:style w:type="character" w:styleId="Style17" w:customStyle="1">
    <w:name w:val="Подподпункт Знак"/>
    <w:qFormat/>
    <w:locked/>
    <w:rsid w:val="0025139e"/>
    <w:rPr>
      <w:sz w:val="26"/>
      <w:szCs w:val="26"/>
    </w:rPr>
  </w:style>
  <w:style w:type="character" w:styleId="311" w:customStyle="1">
    <w:name w:val="Заголовок 3 Знак1"/>
    <w:qFormat/>
    <w:rsid w:val="00b56f46"/>
    <w:rPr>
      <w:rFonts w:eastAsia="Calibri"/>
      <w:sz w:val="26"/>
      <w:szCs w:val="28"/>
      <w:lang w:eastAsia="en-US"/>
    </w:rPr>
  </w:style>
  <w:style w:type="character" w:styleId="Style18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9" w:customStyle="1">
    <w:name w:val="Текст примечания Знак"/>
    <w:semiHidden/>
    <w:qFormat/>
    <w:rsid w:val="00dc0f7d"/>
    <w:rPr/>
  </w:style>
  <w:style w:type="character" w:styleId="Style20" w:customStyle="1">
    <w:name w:val="Текст концевой сноски Знак"/>
    <w:basedOn w:val="DefaultParagraphFont"/>
    <w:qFormat/>
    <w:rsid w:val="003879d4"/>
    <w:rPr/>
  </w:style>
  <w:style w:type="character" w:styleId="Style21" w:customStyle="1">
    <w:name w:val="Символ концевой сноски"/>
    <w:qFormat/>
    <w:rPr>
      <w:vertAlign w:val="superscript"/>
    </w:rPr>
  </w:style>
  <w:style w:type="character" w:styleId="Style22">
    <w:name w:val="Привязка концевой сноски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3" w:customStyle="1">
    <w:name w:val="Пункт2 Знак"/>
    <w:qFormat/>
    <w:rsid w:val="00de52bc"/>
    <w:rPr>
      <w:rFonts w:ascii="Garamond" w:hAnsi="Garamond"/>
      <w:sz w:val="24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главление 3 Знак"/>
    <w:link w:val="33"/>
    <w:qFormat/>
    <w:rsid w:val="00c36f30"/>
    <w:rPr>
      <w:sz w:val="16"/>
      <w:szCs w:val="16"/>
    </w:rPr>
  </w:style>
  <w:style w:type="character" w:styleId="ConsPlusNormal" w:customStyle="1">
    <w:name w:val="ConsPlusNormal Знак"/>
    <w:qFormat/>
    <w:rsid w:val="00ec3619"/>
    <w:rPr>
      <w:rFonts w:ascii="Arial" w:hAnsi="Arial" w:cs="Arial"/>
    </w:rPr>
  </w:style>
  <w:style w:type="character" w:styleId="Fontstyle01" w:customStyle="1">
    <w:name w:val="fontstyle01"/>
    <w:basedOn w:val="DefaultParagraphFont"/>
    <w:qFormat/>
    <w:rsid w:val="00fc526c"/>
    <w:rPr>
      <w:rFonts w:ascii="TimesNewRomanPSMT" w:hAnsi="TimesNewRomanPSMT"/>
      <w:b w:val="false"/>
      <w:bCs w:val="false"/>
      <w:i w:val="false"/>
      <w:iCs w:val="false"/>
      <w:color w:val="000000"/>
      <w:sz w:val="24"/>
      <w:szCs w:val="24"/>
    </w:rPr>
  </w:style>
  <w:style w:type="character" w:styleId="Style23" w:customStyle="1">
    <w:name w:val="Посещённая гиперссылка"/>
    <w:basedOn w:val="DefaultParagraphFont"/>
    <w:semiHidden/>
    <w:unhideWhenUsed/>
    <w:rsid w:val="003a6ae2"/>
    <w:rPr>
      <w:color w:val="954F72" w:themeColor="followedHyperlink"/>
      <w:u w:val="single"/>
    </w:rPr>
  </w:style>
  <w:style w:type="character" w:styleId="Style24" w:customStyle="1">
    <w:name w:val="Ссылка указателя"/>
    <w:qFormat/>
    <w:rPr/>
  </w:style>
  <w:style w:type="paragraph" w:styleId="Style25" w:customStyle="1">
    <w:name w:val="Заголовок"/>
    <w:basedOn w:val="Normal"/>
    <w:next w:val="Style2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</w:rPr>
  </w:style>
  <w:style w:type="paragraph" w:styleId="Style26">
    <w:name w:val="Body Text"/>
    <w:basedOn w:val="Normal"/>
    <w:rsid w:val="0076353a"/>
    <w:pPr>
      <w:spacing w:before="0" w:after="120"/>
    </w:pPr>
    <w:rPr/>
  </w:style>
  <w:style w:type="paragraph" w:styleId="Style27">
    <w:name w:val="List"/>
    <w:basedOn w:val="Style26"/>
    <w:pPr/>
    <w:rPr>
      <w:rFonts w:cs="Lohit Devanagari"/>
    </w:rPr>
  </w:style>
  <w:style w:type="paragraph" w:styleId="Style2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9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Indexheading1">
    <w:name w:val="index heading1"/>
    <w:basedOn w:val="Style25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Normal"/>
    <w:qFormat/>
    <w:pPr>
      <w:suppressLineNumbers/>
    </w:pPr>
    <w:rPr>
      <w:rFonts w:cs="Lohit Devanagari"/>
    </w:rPr>
  </w:style>
  <w:style w:type="paragraph" w:styleId="Style3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1" w:customStyle="1">
    <w:name w:val="Раздел положения"/>
    <w:basedOn w:val="Normal"/>
    <w:autoRedefine/>
    <w:qFormat/>
    <w:rsid w:val="007475ee"/>
    <w:pPr>
      <w:tabs>
        <w:tab w:val="clear" w:pos="708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32" w:customStyle="1">
    <w:name w:val="Подраздел раздела положения"/>
    <w:basedOn w:val="Normal"/>
    <w:autoRedefine/>
    <w:qFormat/>
    <w:rsid w:val="007475ee"/>
    <w:pPr>
      <w:tabs>
        <w:tab w:val="clear" w:pos="708"/>
        <w:tab w:val="left" w:pos="360" w:leader="none"/>
      </w:tabs>
      <w:spacing w:before="80" w:after="80"/>
      <w:ind w:left="360" w:hanging="360"/>
      <w:jc w:val="both"/>
    </w:pPr>
    <w:rPr/>
  </w:style>
  <w:style w:type="paragraph" w:styleId="Style33">
    <w:name w:val="Footnote Text"/>
    <w:basedOn w:val="Normal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link w:val="32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4" w:customStyle="1">
    <w:name w:val="Колонтитул"/>
    <w:basedOn w:val="Normal"/>
    <w:qFormat/>
    <w:pPr/>
    <w:rPr/>
  </w:style>
  <w:style w:type="paragraph" w:styleId="Style35">
    <w:name w:val="Head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>
      <w:szCs w:val="24"/>
    </w:rPr>
  </w:style>
  <w:style w:type="paragraph" w:styleId="Style36">
    <w:name w:val="Body Text Indent"/>
    <w:basedOn w:val="Normal"/>
    <w:rsid w:val="0076353a"/>
    <w:pPr>
      <w:ind w:left="360" w:hanging="0"/>
    </w:pPr>
    <w:rPr>
      <w:szCs w:val="24"/>
    </w:rPr>
  </w:style>
  <w:style w:type="paragraph" w:styleId="Style37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Cs w:val="20"/>
    </w:rPr>
  </w:style>
  <w:style w:type="paragraph" w:styleId="Style38" w:customStyle="1">
    <w:name w:val="Подпункт"/>
    <w:basedOn w:val="Normal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Cs w:val="24"/>
    </w:rPr>
  </w:style>
  <w:style w:type="paragraph" w:styleId="34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39" w:customStyle="1">
    <w:name w:val="Раздел регламента"/>
    <w:basedOn w:val="Normal"/>
    <w:qFormat/>
    <w:rsid w:val="00e228fa"/>
    <w:pPr/>
    <w:rPr/>
  </w:style>
  <w:style w:type="paragraph" w:styleId="Style40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5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1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Cs w:val="24"/>
    </w:rPr>
  </w:style>
  <w:style w:type="paragraph" w:styleId="Style42">
    <w:name w:val="Subtitle"/>
    <w:basedOn w:val="Normal"/>
    <w:next w:val="Normal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Cs w:val="24"/>
    </w:rPr>
  </w:style>
  <w:style w:type="paragraph" w:styleId="Quote">
    <w:name w:val="Quote"/>
    <w:basedOn w:val="Normal"/>
    <w:next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3">
    <w:name w:val="Index Heading"/>
    <w:basedOn w:val="Style25"/>
    <w:pPr/>
    <w:rPr/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numPr>
        <w:ilvl w:val="0"/>
        <w:numId w:val="0"/>
      </w:numPr>
      <w:spacing w:before="480" w:after="120"/>
      <w:ind w:left="0" w:hanging="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rsid w:val="00d22f6d"/>
    <w:pPr/>
    <w:rPr>
      <w:rFonts w:eastAsia="Calibri"/>
      <w:szCs w:val="24"/>
      <w:lang w:val="x-none" w:eastAsia="x-none"/>
    </w:rPr>
  </w:style>
  <w:style w:type="paragraph" w:styleId="Style4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tabs>
        <w:tab w:val="clear" w:pos="708"/>
        <w:tab w:val="left" w:pos="0" w:leader="none"/>
      </w:tabs>
      <w:ind w:left="-207" w:hanging="360"/>
      <w:jc w:val="both"/>
    </w:pPr>
    <w:rPr>
      <w:rFonts w:ascii="Garamond" w:hAnsi="Garamond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Cs w:val="20"/>
    </w:rPr>
  </w:style>
  <w:style w:type="paragraph" w:styleId="27" w:customStyle="1">
    <w:name w:val="Нумерованный список ур2"/>
    <w:basedOn w:val="Normal"/>
    <w:link w:val="2"/>
    <w:qFormat/>
    <w:rsid w:val="00d22f6d"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Cs w:val="24"/>
      <w:lang w:val="x-none" w:eastAsia="x-none"/>
    </w:rPr>
  </w:style>
  <w:style w:type="paragraph" w:styleId="Style4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8" w:customStyle="1">
    <w:name w:val="Подподпункт"/>
    <w:basedOn w:val="Style38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9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50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/>
      <w:jc w:val="both"/>
    </w:pPr>
    <w:rPr>
      <w:sz w:val="26"/>
      <w:szCs w:val="28"/>
      <w:lang w:eastAsia="en-US"/>
    </w:rPr>
  </w:style>
  <w:style w:type="paragraph" w:styleId="Style51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52">
    <w:name w:val="Endnote Text"/>
    <w:basedOn w:val="Normal"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kern w:val="2"/>
      <w:szCs w:val="20"/>
      <w:lang w:eastAsia="x-none"/>
    </w:rPr>
  </w:style>
  <w:style w:type="paragraph" w:styleId="Style5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Cs w:val="24"/>
    </w:rPr>
  </w:style>
  <w:style w:type="paragraph" w:styleId="110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4" w:customStyle="1">
    <w:name w:val="сновной текст"/>
    <w:basedOn w:val="Normal"/>
    <w:qFormat/>
    <w:pPr>
      <w:widowControl w:val="false"/>
    </w:pPr>
    <w:rPr>
      <w:szCs w:val="20"/>
    </w:rPr>
  </w:style>
  <w:style w:type="paragraph" w:styleId="Style5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56" w:customStyle="1">
    <w:name w:val="Заголовок таблицы"/>
    <w:basedOn w:val="Style55"/>
    <w:qFormat/>
    <w:pPr>
      <w:jc w:val="center"/>
    </w:pPr>
    <w:rPr>
      <w:b/>
      <w:bCs/>
    </w:rPr>
  </w:style>
  <w:style w:type="paragraph" w:styleId="112">
    <w:name w:val="Основной текст1"/>
    <w:basedOn w:val="Normal"/>
    <w:qFormat/>
    <w:pPr>
      <w:widowControl w:val="false"/>
      <w:shd w:val="clear" w:color="auto" w:fill="FFFFFF"/>
      <w:ind w:firstLine="400"/>
      <w:jc w:val="left"/>
    </w:pPr>
    <w:rPr>
      <w:rFonts w:eastAsia="Times New Roman" w:cs="Times New Roman"/>
      <w:sz w:val="22"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1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eganorm.ru/mega_doc/dop_fire_update_01022025/apellyatsionnoe_opredelenie_krasnodarskogo_kraevogo_suda_ot_820/0/federalnyy_zakon_ot_30_12_2009_N_384-fz_red_ot_25_12_2023.html" TargetMode="External"/><Relationship Id="rId3" Type="http://schemas.openxmlformats.org/officeDocument/2006/relationships/hyperlink" Target="https://meganorm.ru/mega_doc/fire_update_01092026/zakon/0/federalnyy_zakon_ot_22_07_2008_N_123-fz_red_ot_04_08_2026.html" TargetMode="External"/><Relationship Id="rId4" Type="http://schemas.openxmlformats.org/officeDocument/2006/relationships/hyperlink" Target="https://meganorm.ru/mega_doc/dop_norm_update_01092026/0/gost_r_72738-2026_natsionalnyy_standart_rossiyskoy/0/reshenie_komissii_tamozhennogo_soyuza_ot_18_10_2011_N_823.html" TargetMode="External"/><Relationship Id="rId5" Type="http://schemas.openxmlformats.org/officeDocument/2006/relationships/hyperlink" Target="https://files.stroyinf.ru/Data/866/86643.pdf" TargetMode="External"/><Relationship Id="rId6" Type="http://schemas.openxmlformats.org/officeDocument/2006/relationships/hyperlink" Target="https://meganorm.ru/Data2/1/4293767/4293767375.htm" TargetMode="External"/><Relationship Id="rId7" Type="http://schemas.openxmlformats.org/officeDocument/2006/relationships/hyperlink" Target="https://meganorm.ru/Data2/1/4293774/4293774399.htm" TargetMode="External"/><Relationship Id="rId8" Type="http://schemas.openxmlformats.org/officeDocument/2006/relationships/hyperlink" Target="https://meganorm.ru/Data2/1/4294853/4294853607.htm" TargetMode="External"/><Relationship Id="rId9" Type="http://schemas.openxmlformats.org/officeDocument/2006/relationships/hyperlink" Target="https://meganorm.ru/Data2/1/4293774/4293774380.htm" TargetMode="External"/><Relationship Id="rId10" Type="http://schemas.openxmlformats.org/officeDocument/2006/relationships/hyperlink" Target="https://meganorm.ru/mega_doc/norm_update_01032026/klassifikator/0/sp_31_13330_2021_svod_pravil_vodosnabzhenie_naruzhnye_seti_i.html" TargetMode="External"/><Relationship Id="rId11" Type="http://schemas.openxmlformats.org/officeDocument/2006/relationships/hyperlink" Target="https://meganorm.ru/Data2/1/4293736/4293736459.htm" TargetMode="External"/><Relationship Id="rId12" Type="http://schemas.openxmlformats.org/officeDocument/2006/relationships/hyperlink" Target="https://meganorm.ru/mega_doc/norm_update_29032025/pravila/0/sp_16_13330_2017_svod_pravil_stalnye_konstruktsii.html" TargetMode="External"/><Relationship Id="rId13" Type="http://schemas.openxmlformats.org/officeDocument/2006/relationships/hyperlink" Target="https://meganorm.ru/mega_doc/norm/klassifikaciya/0/sp_28_13330_2017_svod_pravil_zashchita_stroitelnykh.html" TargetMode="External"/><Relationship Id="rId14" Type="http://schemas.openxmlformats.org/officeDocument/2006/relationships/hyperlink" Target="https://meganorm.ru/mega_doc/norm/akt_forma/0/sp_76_13330_2016_svod_pravil_elektrotekhnicheskie_ustroystva.html" TargetMode="External"/><Relationship Id="rId15" Type="http://schemas.openxmlformats.org/officeDocument/2006/relationships/hyperlink" Target="https://meganorm.ru/mega_doc/norm/akt_forma/0/sp_77_13330_2016_svod_pravil_sistemy_avtomatizatsii.html" TargetMode="External"/><Relationship Id="rId16" Type="http://schemas.openxmlformats.org/officeDocument/2006/relationships/hyperlink" Target="https://meganorm.ru/Data2/1/4294849/4294849766.htm" TargetMode="External"/><Relationship Id="rId17" Type="http://schemas.openxmlformats.org/officeDocument/2006/relationships/hyperlink" Target="https://meganorm.ru/Data2/1/4294849/4294849815.htm" TargetMode="External"/><Relationship Id="rId18" Type="http://schemas.openxmlformats.org/officeDocument/2006/relationships/hyperlink" Target="https://meganorm.ru/Data2/1/4294852/4294852592.htm" TargetMode="External"/><Relationship Id="rId19" Type="http://schemas.openxmlformats.org/officeDocument/2006/relationships/hyperlink" Target="https://meganorm.ru/mega_doc/dop_fire_update_01022025/apellyatsionnoe_opredelenie_krasnodarskogo_kraevogo_suda_ot_820/0/federalnyy_zakon_ot_30_12_2009_N_384-fz_red_ot_25_12_2023.html" TargetMode="External"/><Relationship Id="rId20" Type="http://schemas.openxmlformats.org/officeDocument/2006/relationships/hyperlink" Target="https://meganorm.ru/mega_doc/fire_update_01092026/zakon/0/federalnyy_zakon_ot_22_07_2008_N_123-fz_red_ot_04_08_2026.html" TargetMode="External"/><Relationship Id="rId21" Type="http://schemas.openxmlformats.org/officeDocument/2006/relationships/hyperlink" Target="https://files.stroyinf.ru/Data/866/86643.pdf" TargetMode="External"/><Relationship Id="rId22" Type="http://schemas.openxmlformats.org/officeDocument/2006/relationships/hyperlink" Target="https://meganorm.ru/Data2/1/4293767/4293767375.htm" TargetMode="External"/><Relationship Id="rId23" Type="http://schemas.openxmlformats.org/officeDocument/2006/relationships/hyperlink" Target="https://meganorm.ru/Data2/1/4293774/4293774399.htm" TargetMode="External"/><Relationship Id="rId24" Type="http://schemas.openxmlformats.org/officeDocument/2006/relationships/hyperlink" Target="https://meganorm.ru/mega_doc/norm/gost_gosudarstvennyj-standart/1/gost_21_704-2011_mezhgosudarstvennyy_standart_sistema.html" TargetMode="External"/><Relationship Id="rId25" Type="http://schemas.openxmlformats.org/officeDocument/2006/relationships/hyperlink" Target="https://meganorm.ru/mega_doc/norm_update_01032026/klassifikator/0/sp_31_13330_2021_svod_pravil_vodosnabzhenie_naruzhnye_seti_i.html" TargetMode="External"/><Relationship Id="rId26" Type="http://schemas.openxmlformats.org/officeDocument/2006/relationships/hyperlink" Target="https://meganorm.ru/mega_doc/norm/akt_forma/0/sp_129_13330_2019_svod_pravil_naruzhnye_seti_i_sooruzheniya.html" TargetMode="External"/><Relationship Id="rId27" Type="http://schemas.openxmlformats.org/officeDocument/2006/relationships/hyperlink" Target="https://meganorm.ru/Data2/1/4293736/4293736459.htm" TargetMode="External"/><Relationship Id="rId28" Type="http://schemas.openxmlformats.org/officeDocument/2006/relationships/hyperlink" Target="https://meganorm.ru/mega_doc/norm_update_29032025/pravila/0/sp_16_13330_2017_svod_pravil_stalnye_konstruktsii.html" TargetMode="External"/><Relationship Id="rId29" Type="http://schemas.openxmlformats.org/officeDocument/2006/relationships/hyperlink" Target="https://meganorm.ru/mega_doc/norm_update_29032025/pravila/0/sp_25_13330_2020_svod_pravil_osnovaniya_i_fundamenty_na.html" TargetMode="External"/><Relationship Id="rId30" Type="http://schemas.openxmlformats.org/officeDocument/2006/relationships/hyperlink" Target="https://meganorm.ru/mega_doc/norm/klassifikaciya/0/sp_28_13330_2017_svod_pravil_zashchita_stroitelnykh.html" TargetMode="External"/><Relationship Id="rId31" Type="http://schemas.openxmlformats.org/officeDocument/2006/relationships/hyperlink" Target="https://meganorm.ru/mega_doc/norm/perechen/0/sp_61_13330_2012_svod_pravil_teplovaya_izolyatsiya.html" TargetMode="External"/><Relationship Id="rId32" Type="http://schemas.openxmlformats.org/officeDocument/2006/relationships/hyperlink" Target="https://meganorm.ru/mega_doc/norm/gost_gosudarstvennyj-standart/2/gost_9_602-2016_mezhgosudarstvennyy_standart_edinaya_sistema.html" TargetMode="External"/><Relationship Id="rId33" Type="http://schemas.openxmlformats.org/officeDocument/2006/relationships/header" Target="header1.xml"/><Relationship Id="rId34" Type="http://schemas.openxmlformats.org/officeDocument/2006/relationships/header" Target="header2.xml"/><Relationship Id="rId35" Type="http://schemas.openxmlformats.org/officeDocument/2006/relationships/hyperlink" Target="https://files.stroyinf.ru/Data/866/86643.pdf" TargetMode="External"/><Relationship Id="rId36" Type="http://schemas.openxmlformats.org/officeDocument/2006/relationships/hyperlink" Target="https://meganorm.ru/Data2/1/4293767/4293767375.htm" TargetMode="External"/><Relationship Id="rId37" Type="http://schemas.openxmlformats.org/officeDocument/2006/relationships/hyperlink" Target="https://files.stroyinf.ru/Data/866/86643.pdf" TargetMode="External"/><Relationship Id="rId38" Type="http://schemas.openxmlformats.org/officeDocument/2006/relationships/hyperlink" Target="https://meganorm.ru/Data2/1/4294853/4294853607.htm" TargetMode="External"/><Relationship Id="rId39" Type="http://schemas.openxmlformats.org/officeDocument/2006/relationships/hyperlink" Target="https://meganorm.ru/Data2/1/4293774/4293774380.htm" TargetMode="External"/><Relationship Id="rId40" Type="http://schemas.openxmlformats.org/officeDocument/2006/relationships/hyperlink" Target="https://meganorm.ru/Data2/1/4293774/4293774399.htm" TargetMode="External"/><Relationship Id="rId41" Type="http://schemas.openxmlformats.org/officeDocument/2006/relationships/hyperlink" Target="https://meganorm.ru/Data2/1/4293767/4293767375.htm" TargetMode="External"/><Relationship Id="rId42" Type="http://schemas.openxmlformats.org/officeDocument/2006/relationships/hyperlink" Target="https://files.stroyinf.ru/Data/866/86643.pdf" TargetMode="External"/><Relationship Id="rId43" Type="http://schemas.openxmlformats.org/officeDocument/2006/relationships/hyperlink" Target="https://meganorm.ru/mega_doc/norm/gost_gosudarstvennyj-standart/1/gost_21_704-2011_mezhgosudarstvennyy_standart_sistema.html" TargetMode="External"/><Relationship Id="rId44" Type="http://schemas.openxmlformats.org/officeDocument/2006/relationships/hyperlink" Target="https://meganorm.ru/Data2/1/4293774/4293774399.htm" TargetMode="External"/><Relationship Id="rId45" Type="http://schemas.openxmlformats.org/officeDocument/2006/relationships/hyperlink" Target="https://meganorm.ru/Data2/1/4293767/4293767375.htm" TargetMode="External"/><Relationship Id="rId46" Type="http://schemas.openxmlformats.org/officeDocument/2006/relationships/header" Target="header3.xml"/><Relationship Id="rId47" Type="http://schemas.openxmlformats.org/officeDocument/2006/relationships/header" Target="header4.xml"/><Relationship Id="rId48" Type="http://schemas.openxmlformats.org/officeDocument/2006/relationships/header" Target="header5.xml"/><Relationship Id="rId49" Type="http://schemas.openxmlformats.org/officeDocument/2006/relationships/header" Target="header6.xml"/><Relationship Id="rId50" Type="http://schemas.openxmlformats.org/officeDocument/2006/relationships/numbering" Target="numbering.xml"/><Relationship Id="rId51" Type="http://schemas.openxmlformats.org/officeDocument/2006/relationships/fontTable" Target="fontTable.xml"/><Relationship Id="rId52" Type="http://schemas.openxmlformats.org/officeDocument/2006/relationships/settings" Target="settings.xml"/><Relationship Id="rId53" Type="http://schemas.openxmlformats.org/officeDocument/2006/relationships/theme" Target="theme/theme1.xml"/><Relationship Id="rId5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4859A-461E-4BC5-8F3E-46919C40C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Application>LibreOffice/7.1.8.1$Linux_X86_64 LibreOffice_project/10$Build-1</Application>
  <AppVersion>15.0000</AppVersion>
  <Pages>12</Pages>
  <Words>2330</Words>
  <Characters>17079</Characters>
  <CharactersWithSpaces>19161</CharactersWithSpaces>
  <Paragraphs>297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2026-03-18T12:40:00Z</dcterms:created>
  <dc:creator>Быстров Олег Геннадьевич</dc:creator>
  <dc:description/>
  <dc:language>ru-RU</dc:language>
  <cp:lastModifiedBy/>
  <cp:lastPrinted>2026-03-20T10:59:38Z</cp:lastPrinted>
  <dcterms:modified xsi:type="dcterms:W3CDTF">2026-10-23T11:21:16Z</dcterms:modified>
  <cp:revision>35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